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ACE287">
      <w:pPr>
        <w:rPr>
          <w:rFonts w:hint="default" w:ascii="Times New Roman Bold" w:hAnsi="Times New Roman Bold" w:cs="Times New Roman Bold"/>
          <w:b/>
          <w:bCs/>
          <w:lang w:val="en-US" w:eastAsia="zh-CN"/>
        </w:rPr>
      </w:pPr>
      <w:bookmarkStart w:id="0" w:name="_GoBack"/>
      <w:bookmarkEnd w:id="0"/>
      <w:r>
        <w:rPr>
          <w:rFonts w:hint="default" w:ascii="Times New Roman Bold" w:hAnsi="Times New Roman Bold" w:cs="Times New Roman Bold"/>
          <w:b/>
          <w:bCs/>
          <w:lang w:val="en-US" w:eastAsia="zh-CN"/>
        </w:rPr>
        <w:t xml:space="preserve">Supplementary Methods </w:t>
      </w:r>
      <w:r>
        <w:rPr>
          <w:rFonts w:hint="eastAsia" w:ascii="Times New Roman Bold" w:hAnsi="Times New Roman Bold" w:cs="Times New Roman Bold"/>
          <w:b/>
          <w:bCs/>
          <w:lang w:val="en-US" w:eastAsia="zh-CN"/>
        </w:rPr>
        <w:t>1</w:t>
      </w:r>
      <w:r>
        <w:rPr>
          <w:rFonts w:hint="default" w:ascii="Times New Roman Bold" w:hAnsi="Times New Roman Bold" w:cs="Times New Roman Bold"/>
          <w:b/>
          <w:bCs/>
          <w:lang w:val="en-US" w:eastAsia="zh-CN"/>
        </w:rPr>
        <w:t>: T2 Signature construction and freezing (core3 and extended-20)</w:t>
      </w:r>
    </w:p>
    <w:p w14:paraId="36E0D04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Overview and datasets</w:t>
      </w:r>
    </w:p>
    <w:p w14:paraId="0BBDD03B">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constructed and “froze” a cohort-robust T2 signature (T2 Signature v1) by recomputing t2_score and t2_class_final from Phase2 analysis_ready expression matrices. Six GEO cohorts were analyzed (discovery: GSE67472, GSE41861, GSE43696; validation: GSE63142, GSE4302, GSE64913). All procedures were performed within each cohort to avoid cross-cohort information leakage, and analyses were run with a fixed random seed (42) for reproducibility.</w:t>
      </w:r>
    </w:p>
    <w:p w14:paraId="2DDCF49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Expression preprocessing and sample alignment</w:t>
      </w:r>
    </w:p>
    <w:p w14:paraId="59FC646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cohort, gene symbols were standardized by uppercasing and removing trailing version suffixes (e.g., “.1”, “.2”). Rows with missing/empty gene names were removed. When multiple probes mapped to the same gene symbol, duplicates were aggregated by mean expression to generate a single gene-level measurement. Expression matrices (genes × samples) were then aligned to metadata by intersecting sample identifiers and reordering the metadata to match the expression sample order.</w:t>
      </w:r>
    </w:p>
    <w:p w14:paraId="1B6D035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Core T2 signature (core3)</w:t>
      </w:r>
    </w:p>
    <w:p w14:paraId="76180BE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primary (“core”) signature comprised three genes: POSTN, CLCA1, and SERPINB2 (core3). This core3 version was used as the main signature for downstream score computation, class assignment, and as the anchor phenotype for deriving the extended signature.</w:t>
      </w:r>
    </w:p>
    <w:p w14:paraId="18A13DB4">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Leakage-free computation of t2_score (within-cohort z-standardization)</w:t>
      </w:r>
    </w:p>
    <w:p w14:paraId="380A73E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ensure leakage-free scoring across heterogeneous platforms, we standardized expression separately within each cohort using gene-wise z-scores across samples:</w:t>
      </w:r>
    </w:p>
    <w:p w14:paraId="2B184AB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t>
      </w:r>
    </w:p>
    <w:p w14:paraId="5332068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anchor distT="0" distB="0" distL="114300" distR="114300" simplePos="0" relativeHeight="251659264" behindDoc="0" locked="0" layoutInCell="1" allowOverlap="1">
            <wp:simplePos x="0" y="0"/>
            <wp:positionH relativeFrom="column">
              <wp:posOffset>956310</wp:posOffset>
            </wp:positionH>
            <wp:positionV relativeFrom="paragraph">
              <wp:posOffset>24765</wp:posOffset>
            </wp:positionV>
            <wp:extent cx="3086100" cy="1028700"/>
            <wp:effectExtent l="0" t="0" r="12700" b="12700"/>
            <wp:wrapTopAndBottom/>
            <wp:docPr id="1" name="图片 1" descr="截屏2026-01-29 10.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截屏2026-01-29 10.53.41"/>
                    <pic:cNvPicPr>
                      <a:picLocks noChangeAspect="1"/>
                    </pic:cNvPicPr>
                  </pic:nvPicPr>
                  <pic:blipFill>
                    <a:blip r:embed="rId4"/>
                    <a:stretch>
                      <a:fillRect/>
                    </a:stretch>
                  </pic:blipFill>
                  <pic:spPr>
                    <a:xfrm>
                      <a:off x="0" y="0"/>
                      <a:ext cx="3086100" cy="1028700"/>
                    </a:xfrm>
                    <a:prstGeom prst="rect">
                      <a:avLst/>
                    </a:prstGeom>
                  </pic:spPr>
                </pic:pic>
              </a:graphicData>
            </a:graphic>
          </wp:anchor>
        </w:drawing>
      </w:r>
      <w:r>
        <w:rPr>
          <w:rFonts w:hint="default" w:ascii="Times New Roman Regular" w:hAnsi="Times New Roman Regular" w:cs="Times New Roman Regular"/>
          <w:lang w:val="en-US" w:eastAsia="zh-CN"/>
        </w:rPr>
        <w:t>where X</w:t>
      </w:r>
      <w:r>
        <w:rPr>
          <w:rFonts w:hint="default" w:ascii="Times New Roman Regular" w:hAnsi="Times New Roman Regular" w:cs="Times New Roman Regular"/>
          <w:vertAlign w:val="subscript"/>
          <w:lang w:val="en-US" w:eastAsia="zh-CN"/>
        </w:rPr>
        <w:t>g,s</w:t>
      </w:r>
      <w:r>
        <w:rPr>
          <w:rFonts w:hint="eastAsia" w:ascii="Times New Roman Regular" w:hAnsi="Times New Roman Regular" w:cs="Times New Roman Regular"/>
          <w:lang w:val="en-US" w:eastAsia="zh-CN"/>
        </w:rPr>
        <w:t xml:space="preserve"> </w:t>
      </w:r>
      <w:r>
        <w:rPr>
          <w:rFonts w:hint="default" w:ascii="Times New Roman Regular" w:hAnsi="Times New Roman Regular" w:cs="Times New Roman Regular"/>
          <w:lang w:val="en-US" w:eastAsia="zh-CN"/>
        </w:rPr>
        <w:t>is expression of gene ggg in sample sss, and μg\mu_gμg​, σg\sigma_gσg​ are computed within the same cohort. For a given signature gene set GGG, the t2_score for each sample sss was defined as the mean z-score across signature genes detected in that cohort:</w:t>
      </w:r>
    </w:p>
    <w:p w14:paraId="70D5F89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anchor distT="0" distB="0" distL="114300" distR="114300" simplePos="0" relativeHeight="251660288" behindDoc="0" locked="0" layoutInCell="1" allowOverlap="1">
            <wp:simplePos x="0" y="0"/>
            <wp:positionH relativeFrom="column">
              <wp:posOffset>984250</wp:posOffset>
            </wp:positionH>
            <wp:positionV relativeFrom="paragraph">
              <wp:posOffset>5080</wp:posOffset>
            </wp:positionV>
            <wp:extent cx="3568700" cy="1054100"/>
            <wp:effectExtent l="0" t="0" r="12700" b="12700"/>
            <wp:wrapTopAndBottom/>
            <wp:docPr id="2" name="图片 2" descr="截屏2026-01-29 10.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截屏2026-01-29 10.54.18"/>
                    <pic:cNvPicPr>
                      <a:picLocks noChangeAspect="1"/>
                    </pic:cNvPicPr>
                  </pic:nvPicPr>
                  <pic:blipFill>
                    <a:blip r:embed="rId5"/>
                    <a:stretch>
                      <a:fillRect/>
                    </a:stretch>
                  </pic:blipFill>
                  <pic:spPr>
                    <a:xfrm>
                      <a:off x="0" y="0"/>
                      <a:ext cx="3568700" cy="1054100"/>
                    </a:xfrm>
                    <a:prstGeom prst="rect">
                      <a:avLst/>
                    </a:prstGeom>
                  </pic:spPr>
                </pic:pic>
              </a:graphicData>
            </a:graphic>
          </wp:anchor>
        </w:drawing>
      </w:r>
      <w:r>
        <w:rPr>
          <w:rFonts w:hint="default" w:ascii="Times New Roman Regular" w:hAnsi="Times New Roman Regular" w:cs="Times New Roman Regular"/>
          <w:lang w:val="en-US" w:eastAsia="zh-CN"/>
        </w:rPr>
        <w:t>where G′⊆G</w:t>
      </w:r>
      <w:r>
        <w:rPr>
          <w:rFonts w:hint="eastAsia" w:ascii="Times New Roman Regular" w:hAnsi="Times New Roman Regular" w:cs="Times New Roman Regular"/>
          <w:lang w:val="en-US" w:eastAsia="zh-CN"/>
        </w:rPr>
        <w:t xml:space="preserve"> </w:t>
      </w:r>
      <w:r>
        <w:rPr>
          <w:rFonts w:hint="default" w:ascii="Times New Roman Regular" w:hAnsi="Times New Roman Regular" w:cs="Times New Roman Regular"/>
          <w:lang w:val="en-US" w:eastAsia="zh-CN"/>
        </w:rPr>
        <w:t>denotes the subset of signature genes present in the cohort. A minimum of two detected signature genes was required to compute a score for that cohort-signature combination.</w:t>
      </w:r>
    </w:p>
    <w:p w14:paraId="54E582E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Cohort-specific discretization into t2_class_final</w:t>
      </w:r>
    </w:p>
    <w:p w14:paraId="00525D2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assigned t2_class_final within each cohort using score quantiles to achieve platform-robust stratification. For each cohort, the upper and lower thresholds were defined as:</w:t>
      </w:r>
    </w:p>
    <w:p w14:paraId="4AA8FDE3">
      <w:pPr>
        <w:rPr>
          <w:rFonts w:hint="default" w:ascii="Times New Roman Regular" w:hAnsi="Times New Roman Regular" w:cs="Times New Roman Regular"/>
          <w:vertAlign w:val="subscript"/>
          <w:lang w:val="en-US" w:eastAsia="zh-CN"/>
        </w:rPr>
      </w:pPr>
      <w:r>
        <w:rPr>
          <w:rFonts w:hint="default" w:ascii="Times New Roman Regular" w:hAnsi="Times New Roman Regular" w:cs="Times New Roman Regular"/>
          <w:lang w:val="en-US" w:eastAsia="zh-CN"/>
        </w:rPr>
        <w:t>t2_high: t2_score≥Q</w:t>
      </w:r>
      <w:r>
        <w:rPr>
          <w:rFonts w:hint="default" w:ascii="Times New Roman Regular" w:hAnsi="Times New Roman Regular" w:cs="Times New Roman Regular"/>
          <w:vertAlign w:val="subscript"/>
          <w:lang w:val="en-US" w:eastAsia="zh-CN"/>
        </w:rPr>
        <w:t>0.67</w:t>
      </w:r>
    </w:p>
    <w:p w14:paraId="0053F006">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t2_low: t2_score≤Q</w:t>
      </w:r>
      <w:r>
        <w:rPr>
          <w:rFonts w:hint="default" w:ascii="Times New Roman Regular" w:hAnsi="Times New Roman Regular" w:cs="Times New Roman Regular"/>
          <w:vertAlign w:val="subscript"/>
          <w:lang w:val="en-US" w:eastAsia="zh-CN"/>
        </w:rPr>
        <w:t>0.33</w:t>
      </w:r>
    </w:p>
    <w:p w14:paraId="0E24A3D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mid: otherwise</w:t>
      </w:r>
    </w:p>
    <w:p w14:paraId="2F72860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This quantile-based discretization was applied independently per cohort. When legacy fields existed, prior values were retained in “*_old” columns and the recalculated values were written to the final frozen fields (t2_score, t2_class_final).</w:t>
      </w:r>
    </w:p>
    <w:p w14:paraId="3E3B72D7">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Derivation of the extended signature (extended-20) in discovery cohorts</w:t>
      </w:r>
    </w:p>
    <w:p w14:paraId="3A09E45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 extended signature of 20 genes (extended-20) was derived using discovery cohorts only to avoid biasing the signature with validation data. First, core3-based t2_score was computed within each discovery cohort. Candidate genes were restricted to genes shared across discovery cohorts, excluding the core3 genes. For each candidate gene, we computed the Spearman correlation between its within-cohort z-standardized expression and the core3 t2_score, separately in each discovery cohort. Genes were retained if they met both criteria:</w:t>
      </w:r>
    </w:p>
    <w:p w14:paraId="5D872E62">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consistent positive directionality across all discovery cohorts (minimum Spearman rho across cohorts &gt;0&gt;0&gt;0), and</w:t>
      </w:r>
    </w:p>
    <w:p w14:paraId="06B35E95">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sufficient average association strength (ρ‾≥0.15\overline{\rho}\ge 0.15ρ​≥0.15, mean rho across discovery cohorts).</w:t>
      </w:r>
    </w:p>
    <w:p w14:paraId="7857EF2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Retained genes were ranked by ρ‾\overline{\rho}ρ​, and the top 20 constituted the extended-20 signature. We then recomputed and froze t2_score and t2_class_final using the same scoring and quantile rules described above for both discovery and validation cohorts, labeling the signature version accordingly.</w:t>
      </w:r>
    </w:p>
    <w:p w14:paraId="6BC8CEE7">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Quality control and acceptance checks</w:t>
      </w:r>
    </w:p>
    <w:p w14:paraId="62667EB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performed two QC layers for both core3 and extended-20 signatures:</w:t>
      </w:r>
    </w:p>
    <w:p w14:paraId="10428DF2">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Score distribution QC: cohort-wise violin/box plots of t2_score stratified by t2_class_final to verify expected separation.</w:t>
      </w:r>
    </w:p>
    <w:p w14:paraId="79A2CF15">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Directional coherence QC: within each cohort, Spearman correlations were computed between each signature gene’s z-standardized expression and t2_score. Cohorts were summarized by the fraction of signature genes with rho &gt;0&gt;0&gt;0, and by rho_min and rho_median. Directional consistency required rho &gt;0&gt;0&gt;0 for all signature genes within a cohort.</w:t>
      </w:r>
    </w:p>
    <w:p w14:paraId="1A5EB75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Outputs</w:t>
      </w:r>
    </w:p>
    <w:p w14:paraId="06B7972B">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pipeline exported: (i) frozen signature gene lists (core3 and extended-20), (ii) frozen metadata tables for discovery and validation cohorts containing t2_score and t2_class_final, (iii) QC tables (gene–score correlations, class counts, and acceptance summaries), and (iv) publication-ready QC figures (PDF and 600-dpi PNG).</w:t>
      </w:r>
    </w:p>
    <w:p w14:paraId="61D5C37A">
      <w:pPr>
        <w:rPr>
          <w:rFonts w:hint="default" w:ascii="Times New Roman Regular" w:hAnsi="Times New Roman Regular" w:cs="Times New Roman Regular"/>
          <w:lang w:val="en-US" w:eastAsia="zh-CN"/>
        </w:rPr>
      </w:pPr>
    </w:p>
    <w:p w14:paraId="116C22B8">
      <w:pPr>
        <w:rPr>
          <w:rFonts w:hint="eastAsia"/>
          <w:lang w:val="en-US" w:eastAsia="zh-CN"/>
        </w:rPr>
      </w:pPr>
    </w:p>
    <w:p w14:paraId="2B6E5B1B">
      <w:pPr>
        <w:rPr>
          <w:rFonts w:hint="eastAsia"/>
          <w:lang w:val="en-US" w:eastAsia="zh-CN"/>
        </w:rPr>
      </w:pPr>
    </w:p>
    <w:p w14:paraId="24433EC1">
      <w:pPr>
        <w:rPr>
          <w:rFonts w:hint="eastAsia"/>
          <w:lang w:val="en-US" w:eastAsia="zh-CN"/>
        </w:rPr>
      </w:pPr>
    </w:p>
    <w:p w14:paraId="52FBA32B">
      <w:pPr>
        <w:rPr>
          <w:rFonts w:hint="eastAsia"/>
          <w:lang w:val="en-US" w:eastAsia="zh-CN"/>
        </w:rPr>
      </w:pPr>
    </w:p>
    <w:p w14:paraId="35A58889">
      <w:pPr>
        <w:rPr>
          <w:rFonts w:hint="default" w:ascii="Times New Roman Bold" w:hAnsi="Times New Roman Bold" w:cs="Times New Roman Bold"/>
          <w:b/>
          <w:bCs/>
          <w:sz w:val="22"/>
          <w:szCs w:val="28"/>
          <w:lang w:val="en-US" w:eastAsia="zh-CN"/>
        </w:rPr>
      </w:pPr>
      <w:r>
        <w:rPr>
          <w:rFonts w:hint="default" w:ascii="Times New Roman Bold" w:hAnsi="Times New Roman Bold" w:cs="Times New Roman Bold"/>
          <w:b/>
          <w:bCs/>
          <w:sz w:val="22"/>
          <w:szCs w:val="28"/>
          <w:lang w:val="en-US" w:eastAsia="zh-CN"/>
        </w:rPr>
        <w:t>Supplementary Methods</w:t>
      </w:r>
      <w:r>
        <w:rPr>
          <w:rFonts w:hint="eastAsia" w:ascii="Times New Roman Bold" w:hAnsi="Times New Roman Bold" w:cs="Times New Roman Bold"/>
          <w:b/>
          <w:bCs/>
          <w:sz w:val="22"/>
          <w:szCs w:val="28"/>
          <w:lang w:val="en-US" w:eastAsia="zh-CN"/>
        </w:rPr>
        <w:t xml:space="preserve"> 2</w:t>
      </w:r>
      <w:r>
        <w:rPr>
          <w:rFonts w:hint="default" w:ascii="Times New Roman Bold" w:hAnsi="Times New Roman Bold" w:cs="Times New Roman Bold"/>
          <w:b/>
          <w:bCs/>
          <w:sz w:val="22"/>
          <w:szCs w:val="28"/>
          <w:lang w:val="en-US" w:eastAsia="zh-CN"/>
        </w:rPr>
        <w:t>: Leakage-free LODO elastic-net pipeline for cross-cohort classification</w:t>
      </w:r>
    </w:p>
    <w:p w14:paraId="4E282D56">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Overview and design principle</w:t>
      </w:r>
    </w:p>
    <w:p w14:paraId="36D7780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implemented a leakage-free, leave-one-dataset-out (LODO) training and evaluation framework to classify T2-high versus T2-low samples across multiple GEO cohorts. The core principle was strict separation of information between training and evaluation: all preprocessing steps that could learn from sample distributions (imputation, feature selection, and model tuning) were fitted exclusively on training data and then applied to held-out or external datasets without refitting.</w:t>
      </w:r>
    </w:p>
    <w:p w14:paraId="431605D4">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Data sources and cohort split</w:t>
      </w:r>
    </w:p>
    <w:p w14:paraId="556CF90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Six independent GEO cohorts were analyzed as raw expression matrices (gene × sample, first column = gene symbol). Discovery cohorts (used for model development and internal LODO) were GSE67472, GSE41861, and GSE43696; validation cohorts (held out until final evaluation) were GSE63142, GSE4302, and GSE64913. Sample metadata were provided separately and aligned to expression matrices by exact sample ID overlap. Each sample was annotated with its cohort identity (GSE) for downstream splitting and reporting.</w:t>
      </w:r>
    </w:p>
    <w:p w14:paraId="2FA441A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Gene symbol harmonization and probe-to-gene aggregation</w:t>
      </w:r>
    </w:p>
    <w:p w14:paraId="7C5D3F6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 symbols were standardized by uppercasing, trimming whitespace, and removing trailing version suffixes (e.g., “.1/.2”). Empty or missing gene names were removed. When multiple rows mapped to the same gene symbol (e.g., multi-probe platforms), values were aggregated to a single gene-level profile using mean aggregation (optionally max, but mean was the default).</w:t>
      </w:r>
    </w:p>
    <w:p w14:paraId="26E0C5E4">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Leakage-free within-cohort normalization (training inputs)</w:t>
      </w:r>
    </w:p>
    <w:p w14:paraId="1DDA313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avoid cross-cohort information leakage and to preserve platform-robust comparability, expression matrices were normalized independently within each GSE prior to any model training. The default normalization was gene-wise z-scoring across samples within the same cohort:</w:t>
      </w:r>
    </w:p>
    <w:p w14:paraId="7E5FCA8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anchor distT="0" distB="0" distL="114300" distR="114300" simplePos="0" relativeHeight="251662336" behindDoc="0" locked="0" layoutInCell="1" allowOverlap="1">
            <wp:simplePos x="0" y="0"/>
            <wp:positionH relativeFrom="column">
              <wp:posOffset>1395730</wp:posOffset>
            </wp:positionH>
            <wp:positionV relativeFrom="paragraph">
              <wp:posOffset>62865</wp:posOffset>
            </wp:positionV>
            <wp:extent cx="3086100" cy="1028700"/>
            <wp:effectExtent l="0" t="0" r="12700" b="12700"/>
            <wp:wrapTopAndBottom/>
            <wp:docPr id="5" name="图片 5" descr="截屏2026-01-29 10.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截屏2026-01-29 10.53.41"/>
                    <pic:cNvPicPr>
                      <a:picLocks noChangeAspect="1"/>
                    </pic:cNvPicPr>
                  </pic:nvPicPr>
                  <pic:blipFill>
                    <a:blip r:embed="rId4"/>
                    <a:stretch>
                      <a:fillRect/>
                    </a:stretch>
                  </pic:blipFill>
                  <pic:spPr>
                    <a:xfrm>
                      <a:off x="0" y="0"/>
                      <a:ext cx="3086100" cy="1028700"/>
                    </a:xfrm>
                    <a:prstGeom prst="rect">
                      <a:avLst/>
                    </a:prstGeom>
                  </pic:spPr>
                </pic:pic>
              </a:graphicData>
            </a:graphic>
          </wp:anchor>
        </w:drawing>
      </w:r>
    </w:p>
    <w:p w14:paraId="79E18EF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where μ</w:t>
      </w:r>
      <w:r>
        <w:rPr>
          <w:rFonts w:hint="default" w:ascii="Times New Roman Regular" w:hAnsi="Times New Roman Regular" w:cs="Times New Roman Regular"/>
          <w:vertAlign w:val="subscript"/>
          <w:lang w:val="en-US" w:eastAsia="zh-CN"/>
        </w:rPr>
        <w:t>g</w:t>
      </w:r>
      <w:r>
        <w:rPr>
          <w:rFonts w:hint="eastAsia" w:ascii="Times New Roman Regular" w:hAnsi="Times New Roman Regular" w:cs="Times New Roman Regular"/>
          <w:lang w:val="en-US" w:eastAsia="zh-CN"/>
        </w:rPr>
        <w:t xml:space="preserve"> </w:t>
      </w:r>
      <w:r>
        <w:rPr>
          <w:rFonts w:hint="default" w:ascii="Times New Roman Regular" w:hAnsi="Times New Roman Regular" w:cs="Times New Roman Regular"/>
          <w:lang w:val="en-US" w:eastAsia="zh-CN"/>
        </w:rPr>
        <w:t>and</w:t>
      </w:r>
      <w:r>
        <w:rPr>
          <w:rFonts w:hint="eastAsia" w:ascii="Times New Roman Regular" w:hAnsi="Times New Roman Regular" w:cs="Times New Roman Regular"/>
          <w:lang w:val="en-US" w:eastAsia="zh-CN"/>
        </w:rPr>
        <w:t xml:space="preserve"> </w:t>
      </w:r>
      <w:r>
        <w:rPr>
          <w:rFonts w:hint="default" w:ascii="Times New Roman Regular" w:hAnsi="Times New Roman Regular" w:cs="Times New Roman Regular"/>
          <w:lang w:val="en-US" w:eastAsia="zh-CN"/>
        </w:rPr>
        <w:t>σ</w:t>
      </w:r>
      <w:r>
        <w:rPr>
          <w:rFonts w:hint="default" w:ascii="Times New Roman Regular" w:hAnsi="Times New Roman Regular" w:cs="Times New Roman Regular"/>
          <w:vertAlign w:val="subscript"/>
          <w:lang w:val="en-US" w:eastAsia="zh-CN"/>
        </w:rPr>
        <w:t>g</w:t>
      </w:r>
      <w:r>
        <w:rPr>
          <w:rFonts w:hint="eastAsia" w:ascii="Times New Roman Regular" w:hAnsi="Times New Roman Regular" w:cs="Times New Roman Regular"/>
          <w:lang w:val="en-US" w:eastAsia="zh-CN"/>
        </w:rPr>
        <w:t xml:space="preserve"> </w:t>
      </w:r>
      <w:r>
        <w:rPr>
          <w:rFonts w:hint="default" w:ascii="Times New Roman Regular" w:hAnsi="Times New Roman Regular" w:cs="Times New Roman Regular"/>
          <w:lang w:val="en-US" w:eastAsia="zh-CN"/>
        </w:rPr>
        <w:t>were computed using samples from the same GSE only; near-zero σg\sigma_gσg​ values were stabilized by setting σ</w:t>
      </w:r>
      <w:r>
        <w:rPr>
          <w:rFonts w:hint="default" w:ascii="Times New Roman Regular" w:hAnsi="Times New Roman Regular" w:cs="Times New Roman Regular"/>
          <w:vertAlign w:val="subscript"/>
          <w:lang w:val="en-US" w:eastAsia="zh-CN"/>
        </w:rPr>
        <w:t>g</w:t>
      </w:r>
      <w:r>
        <w:rPr>
          <w:rFonts w:hint="default" w:ascii="Times New Roman Regular" w:hAnsi="Times New Roman Regular" w:cs="Times New Roman Regular"/>
          <w:lang w:val="en-US" w:eastAsia="zh-CN"/>
        </w:rPr>
        <w:t>=1. An alternative within-sample rank-based inverse normal transform was implemented but not used by default. Importantly, ComBat batch correction was never used for model training and was reserved strictly for visualization (see below).</w:t>
      </w:r>
    </w:p>
    <w:p w14:paraId="294811E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Gene set harmonization across cohorts</w:t>
      </w:r>
    </w:p>
    <w:p w14:paraId="3A1F25B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ensure that training and testing matrices shared a consistent feature space, genes were harmonized in two steps:</w:t>
      </w:r>
    </w:p>
    <w:p w14:paraId="3321BB0B">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Discovery cohorts were restricted to the intersection of genes present across the three discovery GSEs.</w:t>
      </w:r>
    </w:p>
    <w:p w14:paraId="4740F877">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Each validation cohort was then restricted to genes overlapping this discovery intersection (with missing genes handled at prediction time; see External validation).</w:t>
      </w:r>
    </w:p>
    <w:p w14:paraId="16D2D9A9">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Label binarization and handling of “mid” class</w:t>
      </w:r>
    </w:p>
    <w:p w14:paraId="5C8E513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Sample labels were provided in metadata as a three-level class (t2_low, mid, t2_high). For binary model training, labels were binarized as t2_high = 1 and t2_low = 0, with mid samples excluded by default (mid_action = “drop”). This filtering was applied consistently to both metadata and the corresponding expression columns to maintain alignment.</w:t>
      </w:r>
    </w:p>
    <w:p w14:paraId="0927B3F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Model family and objective</w:t>
      </w:r>
    </w:p>
    <w:p w14:paraId="25EED03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Models were trained using elastic-net regularized logistic regression (glmnet, family = binomial), with standardize = FALSE because inputs were already normalized within cohort. Hyperparameters included:</w:t>
      </w:r>
    </w:p>
    <w:p w14:paraId="357C303D">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Mixing parameter α∈{0,0.25,0.5,0.75,1}\alpha \in \{0, 0.25, 0.5, 0.75, 1\}α∈{0,0.25,0.5,0.75,1} (ridge → lasso continuum),</w:t>
      </w:r>
    </w:p>
    <w:p w14:paraId="158B9D30">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Regularization strength λ\lambdaλ selected from glmnet’s cross-validated path, using λ1se\lambda_{1se}λ1se​ by default (more conservative than λmin\lambda_{min}λmin​).</w:t>
      </w:r>
    </w:p>
    <w:p w14:paraId="39159368">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Leakage-free imputation (training-fitted median)</w:t>
      </w:r>
    </w:p>
    <w:p w14:paraId="5592674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Missing values were handled with a strict, leakage-free strategy. For each training split, a per-feature median imputer was fitted on the training matrix only:</w:t>
      </w:r>
    </w:p>
    <w:p w14:paraId="67F5C4C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anchor distT="0" distB="0" distL="114300" distR="114300" simplePos="0" relativeHeight="251661312" behindDoc="0" locked="0" layoutInCell="1" allowOverlap="1">
            <wp:simplePos x="0" y="0"/>
            <wp:positionH relativeFrom="column">
              <wp:posOffset>1639570</wp:posOffset>
            </wp:positionH>
            <wp:positionV relativeFrom="paragraph">
              <wp:posOffset>67310</wp:posOffset>
            </wp:positionV>
            <wp:extent cx="3035300" cy="673100"/>
            <wp:effectExtent l="0" t="0" r="12700" b="12700"/>
            <wp:wrapTopAndBottom/>
            <wp:docPr id="3" name="图片 3" descr="截屏2026-01-29 11.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截屏2026-01-29 11.16.16"/>
                    <pic:cNvPicPr>
                      <a:picLocks noChangeAspect="1"/>
                    </pic:cNvPicPr>
                  </pic:nvPicPr>
                  <pic:blipFill>
                    <a:blip r:embed="rId6"/>
                    <a:stretch>
                      <a:fillRect/>
                    </a:stretch>
                  </pic:blipFill>
                  <pic:spPr>
                    <a:xfrm>
                      <a:off x="0" y="0"/>
                      <a:ext cx="3035300" cy="673100"/>
                    </a:xfrm>
                    <a:prstGeom prst="rect">
                      <a:avLst/>
                    </a:prstGeom>
                  </pic:spPr>
                </pic:pic>
              </a:graphicData>
            </a:graphic>
          </wp:anchor>
        </w:drawing>
      </w:r>
    </w:p>
    <w:p w14:paraId="0B63EA2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and applied unchanged to the held-out test fold and all external validation cohorts. Features with undefined training median (all NA) were assigned 0. Post-imputation checks ensured no remaining NA values in train/test matrices.</w:t>
      </w:r>
    </w:p>
    <w:p w14:paraId="72CD865F">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Training-only feature selection</w:t>
      </w:r>
    </w:p>
    <w:p w14:paraId="61D6B1C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reduce noise and improve stability, feature selection was performed only on training data. Genes were filtered by variance (minimum variance threshold &gt;0&gt;0&gt;0, default min_var = 0), and the top 5,000 most variable genes were retained (top_n_var = 5000). The selected feature set from a given training split was applied unchanged to the corresponding held-out test split. For the final model used in external validation, feature selection was refit once using all discovery samples.</w:t>
      </w:r>
    </w:p>
    <w:p w14:paraId="389BE7A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Nested cross-validation without dataset leakage</w:t>
      </w:r>
    </w:p>
    <w:p w14:paraId="7C6B7C1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Outer loop: Leave-one-dataset-out (LODO) within discovery</w:t>
      </w:r>
    </w:p>
    <w:p w14:paraId="5FEFF8F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Internal generalization across discovery cohorts was assessed using a LODO scheme: in each outer iteration, one discovery GSE was held out as the test set, while the remaining discovery GSE(s) formed the training set.</w:t>
      </w:r>
    </w:p>
    <w:p w14:paraId="0CB1AC9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Inner loop: Stratified K-fold CV (not by GSE fold) for stable glmnet tuning</w:t>
      </w:r>
    </w:p>
    <w:p w14:paraId="4310A92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Within each outer training set, hyperparameter tuning used stratified K-fold cross-validation (default K = 10), implemented via an explicit foldid passed to cv.glmnet. Stratification was performed on the interaction of (training-cohort identity × class label) to maintain class balance across folds and to avoid degenerate folds that can occur when folds are defined directly by GSE (a known instability for glmnet when the effective number of folds becomes too small). The best α\alphaα was chosen by maximizing inner-CV AUROC, and λ was chosen as λ1se​ (or λmin if specified).</w:t>
      </w:r>
    </w:p>
    <w:p w14:paraId="43217ED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Performance metrics</w:t>
      </w:r>
    </w:p>
    <w:p w14:paraId="5AEC213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held-out discovery cohort (LODO) and for each external validation cohort, we computed:</w:t>
      </w:r>
    </w:p>
    <w:p w14:paraId="54C45930">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AUROC (pROC),</w:t>
      </w:r>
    </w:p>
    <w:p w14:paraId="7FDA02B8">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AUPRC (PRROC; area under precision–recall curve),</w:t>
      </w:r>
    </w:p>
    <w:p w14:paraId="0AE1F3FA">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Accuracy at threshold 0.5,</w:t>
      </w:r>
    </w:p>
    <w:p w14:paraId="61C28B93">
      <w:pPr>
        <w:numPr>
          <w:ilvl w:val="0"/>
          <w:numId w:val="1"/>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Sensitivity, specificity, and F1 score.</w:t>
      </w:r>
    </w:p>
    <w:p w14:paraId="02D7E52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In external validation, metrics were reported per GSE and also pooled across all validation cohorts by concatenating predictions and labels.</w:t>
      </w:r>
    </w:p>
    <w:p w14:paraId="4587277A">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Final model training and external validation</w:t>
      </w:r>
    </w:p>
    <w:p w14:paraId="2DE84A69">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After LODO evaluation, a final elastic-net model was trained using all discovery samples with the same leakage-free pipeline (training-fitted imputation + training-only feature selection + inner CV for α\alphaα and λ\lambdaλ). Coefficients were exported for interpretability.</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For each validation GSE, expression was mapped to the final model’s feature set: overlapping genes were used directly, while missing genes were introduced as NA and then imputed using the discovery-fitted medians to preserve the training feature space without using validation distributional information. Predictions were generated as probabilities P(T2-high).</w:t>
      </w:r>
    </w:p>
    <w:p w14:paraId="0205F09F">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Annotation-based epithelial-origin evidence and marker sanity checks</w:t>
      </w:r>
    </w:p>
    <w:p w14:paraId="6745C28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support epithelial origin, GEO sample annotations (GSM metadata) were programmatically retrieved (GEOquery) for each cohort and scanned for predefined epithelial keywords (e.g., “epithelial”, “bronchial”, “airway”) and non-epithelial flags (e.g., “PBMC”, “blood”, “fibroblast”, “endothelial”). Result tables reported per-sample keyword/flag hits for transparent manual review.</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As an additional QC, median normalized expression levels of canonical epithelial markers (EPCAM, KRT8/18/19, KRT7, MUC1) and non-epithelial markers (PTPRC, COL1A1, PECAM1, VWF, ACTA2) were summarized per cohort.</w:t>
      </w:r>
    </w:p>
    <w:p w14:paraId="241CA042">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Exports and reproducibility</w:t>
      </w:r>
    </w:p>
    <w:p w14:paraId="635C5B9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pipeline exported:</w:t>
      </w:r>
    </w:p>
    <w:p w14:paraId="4FE03223">
      <w:pPr>
        <w:numPr>
          <w:ilvl w:val="0"/>
          <w:numId w:val="2"/>
        </w:num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analysis_ready objects: per-GSE normalized matrices (zWithinGSE) and aligned metadata, plus model-input matrices after label filtering;</w:t>
      </w:r>
    </w:p>
    <w:p w14:paraId="03A18396">
      <w:pPr>
        <w:numPr>
          <w:ilvl w:val="0"/>
          <w:numId w:val="2"/>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model outputs: LODO predictions/performance, external predictions/performance (per-GSE and pooled), final coefficients, selected feature genes, and imputer medians;</w:t>
      </w:r>
    </w:p>
    <w:p w14:paraId="18AFC3E2">
      <w:pPr>
        <w:numPr>
          <w:ilvl w:val="0"/>
          <w:numId w:val="2"/>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viz_ready matrices: ComBat-corrected matrices for PCA/heatmaps for visualization only (explicitly not used in training).</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All analyses were run with a fixed random seed (set.seed = 42).</w:t>
      </w:r>
    </w:p>
    <w:p w14:paraId="539A2422">
      <w:pPr>
        <w:rPr>
          <w:rFonts w:hint="eastAsia"/>
          <w:lang w:val="en-US" w:eastAsia="zh-CN"/>
        </w:rPr>
      </w:pPr>
    </w:p>
    <w:p w14:paraId="55CD0BE8">
      <w:pPr>
        <w:rPr>
          <w:rFonts w:hint="eastAsia"/>
          <w:lang w:val="en-US" w:eastAsia="zh-CN"/>
        </w:rPr>
      </w:pPr>
    </w:p>
    <w:p w14:paraId="6E2F32F5">
      <w:pPr>
        <w:rPr>
          <w:rFonts w:hint="eastAsia"/>
          <w:lang w:val="en-US" w:eastAsia="zh-CN"/>
        </w:rPr>
      </w:pPr>
    </w:p>
    <w:p w14:paraId="08F5CF92">
      <w:pPr>
        <w:rPr>
          <w:rFonts w:hint="eastAsia"/>
          <w:lang w:val="en-US" w:eastAsia="zh-CN"/>
        </w:rPr>
      </w:pPr>
    </w:p>
    <w:p w14:paraId="5D92D459">
      <w:pPr>
        <w:rPr>
          <w:rFonts w:hint="eastAsia"/>
          <w:lang w:val="en-US" w:eastAsia="zh-CN"/>
        </w:rPr>
      </w:pPr>
    </w:p>
    <w:p w14:paraId="04584BE9">
      <w:pPr>
        <w:rPr>
          <w:rFonts w:hint="eastAsia"/>
          <w:lang w:val="en-US" w:eastAsia="zh-CN"/>
        </w:rPr>
      </w:pPr>
    </w:p>
    <w:p w14:paraId="068B6473">
      <w:pPr>
        <w:rPr>
          <w:rFonts w:hint="eastAsia"/>
          <w:lang w:val="en-US" w:eastAsia="zh-CN"/>
        </w:rPr>
      </w:pPr>
    </w:p>
    <w:p w14:paraId="06392668">
      <w:pPr>
        <w:rPr>
          <w:rFonts w:hint="eastAsia"/>
          <w:lang w:val="en-US" w:eastAsia="zh-CN"/>
        </w:rPr>
      </w:pPr>
    </w:p>
    <w:p w14:paraId="5E21A4C6">
      <w:pPr>
        <w:rPr>
          <w:rFonts w:hint="eastAsia"/>
          <w:lang w:val="en-US" w:eastAsia="zh-CN"/>
        </w:rPr>
      </w:pPr>
    </w:p>
    <w:p w14:paraId="0BC3A79D">
      <w:pPr>
        <w:rPr>
          <w:rFonts w:hint="eastAsia"/>
          <w:lang w:val="en-US" w:eastAsia="zh-CN"/>
        </w:rPr>
      </w:pPr>
    </w:p>
    <w:p w14:paraId="223FB1B8">
      <w:pPr>
        <w:rPr>
          <w:rFonts w:hint="eastAsia"/>
          <w:lang w:val="en-US" w:eastAsia="zh-CN"/>
        </w:rPr>
      </w:pPr>
    </w:p>
    <w:p w14:paraId="6CAE6FBF">
      <w:pPr>
        <w:rPr>
          <w:rFonts w:hint="eastAsia"/>
          <w:lang w:val="en-US" w:eastAsia="zh-CN"/>
        </w:rPr>
      </w:pPr>
    </w:p>
    <w:p w14:paraId="50C1A808">
      <w:pPr>
        <w:rPr>
          <w:rFonts w:hint="eastAsia"/>
          <w:lang w:val="en-US" w:eastAsia="zh-CN"/>
        </w:rPr>
      </w:pPr>
    </w:p>
    <w:p w14:paraId="4E6F9601">
      <w:pPr>
        <w:rPr>
          <w:rFonts w:hint="eastAsia"/>
          <w:lang w:val="en-US" w:eastAsia="zh-CN"/>
        </w:rPr>
      </w:pPr>
    </w:p>
    <w:p w14:paraId="3B79C5FD">
      <w:pPr>
        <w:rPr>
          <w:rFonts w:hint="eastAsia"/>
          <w:lang w:val="en-US" w:eastAsia="zh-CN"/>
        </w:rPr>
      </w:pPr>
    </w:p>
    <w:p w14:paraId="0758571A">
      <w:pPr>
        <w:rPr>
          <w:rFonts w:hint="eastAsia"/>
          <w:lang w:val="en-US" w:eastAsia="zh-CN"/>
        </w:rPr>
      </w:pPr>
    </w:p>
    <w:p w14:paraId="1237C2B2">
      <w:pPr>
        <w:rPr>
          <w:rFonts w:hint="eastAsia"/>
          <w:lang w:val="en-US" w:eastAsia="zh-CN"/>
        </w:rPr>
      </w:pPr>
    </w:p>
    <w:p w14:paraId="354967D8">
      <w:pPr>
        <w:rPr>
          <w:rFonts w:hint="eastAsia"/>
          <w:lang w:val="en-US" w:eastAsia="zh-CN"/>
        </w:rPr>
      </w:pPr>
    </w:p>
    <w:p w14:paraId="01949B31">
      <w:pPr>
        <w:rPr>
          <w:rFonts w:hint="eastAsia"/>
          <w:lang w:val="en-US" w:eastAsia="zh-CN"/>
        </w:rPr>
      </w:pPr>
    </w:p>
    <w:p w14:paraId="06AEFDA5">
      <w:pPr>
        <w:rPr>
          <w:rFonts w:hint="default" w:ascii="Times New Roman Bold" w:hAnsi="Times New Roman Bold" w:cs="Times New Roman Bold"/>
          <w:b/>
          <w:bCs/>
          <w:sz w:val="22"/>
          <w:szCs w:val="28"/>
          <w:lang w:val="en-US" w:eastAsia="zh-CN"/>
        </w:rPr>
      </w:pPr>
      <w:r>
        <w:rPr>
          <w:rFonts w:hint="default" w:ascii="Times New Roman Bold" w:hAnsi="Times New Roman Bold" w:cs="Times New Roman Bold"/>
          <w:b/>
          <w:bCs/>
          <w:sz w:val="22"/>
          <w:szCs w:val="28"/>
          <w:lang w:val="en-US" w:eastAsia="zh-CN"/>
        </w:rPr>
        <w:t>Supplementary Methods</w:t>
      </w:r>
      <w:r>
        <w:rPr>
          <w:rFonts w:hint="eastAsia" w:ascii="Times New Roman Bold" w:hAnsi="Times New Roman Bold" w:cs="Times New Roman Bold"/>
          <w:b/>
          <w:bCs/>
          <w:sz w:val="22"/>
          <w:szCs w:val="28"/>
          <w:lang w:val="en-US" w:eastAsia="zh-CN"/>
        </w:rPr>
        <w:t xml:space="preserve">3: </w:t>
      </w:r>
      <w:r>
        <w:rPr>
          <w:rFonts w:hint="default" w:ascii="Times New Roman Bold" w:hAnsi="Times New Roman Bold" w:cs="Times New Roman Bold"/>
          <w:b/>
          <w:bCs/>
          <w:sz w:val="22"/>
          <w:szCs w:val="28"/>
          <w:lang w:val="en-US" w:eastAsia="zh-CN"/>
        </w:rPr>
        <w:t>Discovery-only “Epithelial Core Axis”</w:t>
      </w:r>
    </w:p>
    <w:p w14:paraId="7115E1F1">
      <w:pPr>
        <w:rPr>
          <w:rFonts w:hint="default" w:ascii="Times New Roman Bold" w:hAnsi="Times New Roman Bold" w:cs="Times New Roman Bold"/>
          <w:b/>
          <w:bCs/>
          <w:sz w:val="22"/>
          <w:szCs w:val="28"/>
          <w:lang w:val="en-US" w:eastAsia="zh-CN"/>
        </w:rPr>
      </w:pPr>
      <w:r>
        <w:rPr>
          <w:rFonts w:hint="default" w:ascii="Times New Roman Bold" w:hAnsi="Times New Roman Bold" w:cs="Times New Roman Bold"/>
          <w:b/>
          <w:bCs/>
          <w:sz w:val="22"/>
          <w:szCs w:val="28"/>
          <w:lang w:val="en-US" w:eastAsia="zh-CN"/>
        </w:rPr>
        <w:t>Discovery datasets, inputs, and sample annotation</w:t>
      </w:r>
    </w:p>
    <w:p w14:paraId="765D95A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Three discovery transcriptomic cohorts (GSE67472, GSE41861, GSE43696) were analyzed. For each dataset, an “analysis-ready” expression matrix (genes × samples; RDS format) and a harmonized discovery metadata table (CSV) were used. Sample identifiers were aligned strictly between expression and metadata, retaining only intersecting samples per dataset. T2 status was defined using a precomputed classifier output, including a categorical label (t2_class_final: t2_high/t2_low/mid) and a continuous score (t2_score). When available, a condition/diagnosis field was parsed and normalized to support asthma-only analyses; otherwise, analyses were performed on all samples with the corresponding limitation explicitly logged.</w:t>
      </w:r>
    </w:p>
    <w:p w14:paraId="0F86995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 symbols were uppercased and version suffixes were removed (e.g., “GENE.1” → “GENE”). Duplicate gene symbols within a matrix were collapsed by taking the mean across duplicates.</w:t>
      </w:r>
    </w:p>
    <w:p w14:paraId="2CF9E0FF">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Per-dataset expression standardization and merged discovery matrix</w:t>
      </w:r>
    </w:p>
    <w:p w14:paraId="24E92F1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reduce between-study scale differences while preserving within-study gene–gene correlation structure, expression values were standardized within each GSE by gene-wise z-scoring (row-wise):</w:t>
      </w:r>
    </w:p>
    <w:p w14:paraId="5B35225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anchor distT="0" distB="0" distL="114300" distR="114300" simplePos="0" relativeHeight="251663360" behindDoc="0" locked="0" layoutInCell="1" allowOverlap="1">
            <wp:simplePos x="0" y="0"/>
            <wp:positionH relativeFrom="column">
              <wp:posOffset>1493520</wp:posOffset>
            </wp:positionH>
            <wp:positionV relativeFrom="paragraph">
              <wp:posOffset>71120</wp:posOffset>
            </wp:positionV>
            <wp:extent cx="2654300" cy="1231900"/>
            <wp:effectExtent l="0" t="0" r="12700" b="12700"/>
            <wp:wrapTopAndBottom/>
            <wp:docPr id="6" name="图片 6" descr="截屏2026-01-29 11.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截屏2026-01-29 11.24.59"/>
                    <pic:cNvPicPr>
                      <a:picLocks noChangeAspect="1"/>
                    </pic:cNvPicPr>
                  </pic:nvPicPr>
                  <pic:blipFill>
                    <a:blip r:embed="rId7"/>
                    <a:stretch>
                      <a:fillRect/>
                    </a:stretch>
                  </pic:blipFill>
                  <pic:spPr>
                    <a:xfrm>
                      <a:off x="0" y="0"/>
                      <a:ext cx="2654300" cy="1231900"/>
                    </a:xfrm>
                    <a:prstGeom prst="rect">
                      <a:avLst/>
                    </a:prstGeom>
                  </pic:spPr>
                </pic:pic>
              </a:graphicData>
            </a:graphic>
          </wp:anchor>
        </w:drawing>
      </w:r>
    </w:p>
    <w:p w14:paraId="44E790A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where μ</w:t>
      </w:r>
      <w:r>
        <w:rPr>
          <w:rFonts w:hint="default" w:ascii="Times New Roman Regular" w:hAnsi="Times New Roman Regular" w:cs="Times New Roman Regular"/>
          <w:vertAlign w:val="subscript"/>
          <w:lang w:val="en-US" w:eastAsia="zh-CN"/>
        </w:rPr>
        <w:t>g</w:t>
      </w:r>
      <w:r>
        <w:rPr>
          <w:rFonts w:hint="eastAsia" w:ascii="Times New Roman Regular" w:hAnsi="Times New Roman Regular" w:cs="Times New Roman Regular"/>
          <w:vertAlign w:val="subscript"/>
          <w:lang w:val="en-US" w:eastAsia="zh-CN"/>
        </w:rPr>
        <w:t xml:space="preserve"> </w:t>
      </w:r>
      <w:r>
        <w:rPr>
          <w:rFonts w:hint="default" w:ascii="Times New Roman Regular" w:hAnsi="Times New Roman Regular" w:cs="Times New Roman Regular"/>
          <w:lang w:val="en-US" w:eastAsia="zh-CN"/>
        </w:rPr>
        <w:t>and σ</w:t>
      </w:r>
      <w:r>
        <w:rPr>
          <w:rFonts w:hint="default" w:ascii="Times New Roman Regular" w:hAnsi="Times New Roman Regular" w:cs="Times New Roman Regular"/>
          <w:vertAlign w:val="subscript"/>
          <w:lang w:val="en-US" w:eastAsia="zh-CN"/>
        </w:rPr>
        <w:t>g</w:t>
      </w:r>
      <w:r>
        <w:rPr>
          <w:rFonts w:hint="default" w:ascii="Times New Roman Regular" w:hAnsi="Times New Roman Regular" w:cs="Times New Roman Regular"/>
          <w:lang w:val="en-US" w:eastAsia="zh-CN"/>
        </w:rPr>
        <w:t xml:space="preserve"> are computed across samples within the same dataset.</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A merged discovery matrix was constructed by restricting to the intersection of genes shared across all three datasets, then concatenating samples across datasets. All downstream ssGSEA and WGCNA analyses were performed using these per-GSE standardized values unless otherwise stated.</w:t>
      </w:r>
    </w:p>
    <w:p w14:paraId="289434C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Differential expression analysis (DEG) per GSE</w:t>
      </w:r>
    </w:p>
    <w:p w14:paraId="766B5FB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Within each GSE, differential expression was computed for t2_high vs t2_low, using asthma-only samples when feasible. Specifically, if an asthma/control annotation existed and asthma-only filtering retained at least 10 samples, DEGs were computed within asthma; otherwise, all samples were used.</w:t>
      </w:r>
    </w:p>
    <w:p w14:paraId="09E8376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Linear modeling was performed using the limma framework. For data detected as “counts-like” (integer-like values with large dynamic range), an edgeR TMM normalization followed by voom was used prior to limma; otherwise, limma was applied directly to the expression matrix. Moderated statistics were obtained via empirical Bayes shrinkage. Genes were ranked by P value and multiple testing was controlled by Benjamini–Hochberg FDR. Genes were considered significant if:</w:t>
      </w:r>
    </w:p>
    <w:p w14:paraId="165EAFC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FDR ≤ 0.05, and</w:t>
      </w:r>
    </w:p>
    <w:p w14:paraId="4590C361">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|log2 fold-change| ≥ 0.25.</w:t>
      </w:r>
    </w:p>
    <w:p w14:paraId="014B95C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Cross-GSE DEG consensus</w:t>
      </w:r>
    </w:p>
    <w:p w14:paraId="2E07777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derive robust axis candidates, significant genes were aggregated across datasets and classified by directionality. A gene was called “consensus up in T2-high” (or “consensus down in T2-high”) if it was significant and showed the same sign in at least 2 of 3 datasets, with no opposing direction among significant datasets. Mixed-direction genes were excluded from consensus.</w:t>
      </w:r>
    </w:p>
    <w:p w14:paraId="77228F47">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ssGSEA of epithelial functional pathways</w:t>
      </w:r>
    </w:p>
    <w:p w14:paraId="4B951D5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quantify epithelial functional axes, single-sample GSEA (ssGSEA) was performed using GSVA on the per-GSE gene-wise z-scored merged discovery matrix. Five epithelial pathway gene sets were evaluated (Barrier/TJ, Alarmins, Mucus, Oxidative stress, Wound/ECM). The implementation supported both legacy and updated GSVA APIs to ensure compatibility across package versions. ssGSEA scores were exported per sample and visualized stratified by dataset and T2 class.</w:t>
      </w:r>
    </w:p>
    <w:p w14:paraId="68B2BFCB">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WGCNA on merged discovery (asthma-only network)</w:t>
      </w:r>
    </w:p>
    <w:p w14:paraId="11B068B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Sample inclusion</w:t>
      </w:r>
    </w:p>
    <w:p w14:paraId="6F5DF5D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merged network was constructed using the per-GSE z-scored merged discovery matrix. When condition labels were available, asthma-only samples were used for network inference; otherwise, all samples were included. Unless explicitly disabled, “mid” samples were retained in network construction to stabilize correlation estimates, while downstream contrasts could be evaluated on high vs low subsets.</w:t>
      </w:r>
    </w:p>
    <w:p w14:paraId="0DC1D5C3">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Gene filtering and preprocessing for WGCNA</w:t>
      </w:r>
    </w:p>
    <w:p w14:paraId="2768B11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WGCNA input was formatted as samples × genes. The top 8,000 most variable genes (by variance across included samples) were selected, and genes with near-zero variance were removed. Missing/invalid entries were imputed by column mean. Quality control was performed using goodSamplesGenes, and sample clustering was generated to screen for outliers.</w:t>
      </w:r>
    </w:p>
    <w:p w14:paraId="43AA9584">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Soft-thresholding and network construction</w:t>
      </w:r>
    </w:p>
    <w:p w14:paraId="05D1D39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signed co-expression network was inferred. The soft-thresholding power was selected using pickSoftThreshold evaluated over powers 1–20; if an estimated power was not returned, a fallback power of 6 was used. Modules were detected using blockwiseModules with parameters:</w:t>
      </w:r>
    </w:p>
    <w:p w14:paraId="432AB75A">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networkType = signed</w:t>
      </w:r>
    </w:p>
    <w:p w14:paraId="77043081">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minModuleSize = 30</w:t>
      </w:r>
    </w:p>
    <w:p w14:paraId="2F4691A3">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mergeCutHeight = 0.25</w:t>
      </w:r>
    </w:p>
    <w:p w14:paraId="1B93180E">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pamRespectsDendro = FALSE</w:t>
      </w:r>
    </w:p>
    <w:p w14:paraId="1405D0E5">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numericLabels = FALSE</w:t>
      </w:r>
    </w:p>
    <w:p w14:paraId="5BA54BA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Module eigengenes (MEs) were recomputed using moduleEigengenes and ordered with orderMEs.</w:t>
      </w:r>
    </w:p>
    <w:p w14:paraId="2C6E7E5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Module–trait association testing</w:t>
      </w:r>
    </w:p>
    <w:p w14:paraId="3386C59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Trait variables included t2_score (continuous), a signed high_vs_low contrast (t2_high = 1, t2_low = −1), and indicator variables for t2_high and t2_low. Module–trait associations were assessed using Spearman correlation between MEs and trait variables. P values were derived from Student asymptotic correlation tests and adjusted using BH-FDR across modules for each trait.</w:t>
      </w:r>
    </w:p>
    <w:p w14:paraId="19BC06E7">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Epithelial enrichment proxy at module level</w:t>
      </w:r>
    </w:p>
    <w:p w14:paraId="06A467E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link modules to epithelial biology, for each module we computed overlap with the union of epithelial pathway gene sets, reporting module size, overlap count, and overlap fraction.</w:t>
      </w:r>
    </w:p>
    <w:p w14:paraId="2E72D94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Hub gene prioritization within trait-relevant modules</w:t>
      </w:r>
    </w:p>
    <w:p w14:paraId="698961E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gene, module membership was quantified by Pearson correlation between gene expression and module eigengenes (MM/kME). An “own-module kME” (kME_own) was extracted as the correlation with the gene’s assigned module eigengene. Gene significance (GS) was computed as Spearman correlation between gene expression and the selected trait (default high_vs_low, alternatively t2_score).</w:t>
      </w:r>
    </w:p>
    <w:p w14:paraId="634A8D3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Modules were considered trait-relevant if they met FDR &lt; 0.05 for the key trait; if none met this criterion, the top 3 modules by |correlation| were used as a fallback for visualization and hub extraction. Hub genes were defined within these modules using thresholds:</w:t>
      </w:r>
    </w:p>
    <w:p w14:paraId="7B63C30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|kME_own| ≥ 0.70, and</w:t>
      </w:r>
      <w:r>
        <w:rPr>
          <w:rFonts w:hint="eastAsia" w:ascii="Times New Roman Regular" w:hAnsi="Times New Roman Regular" w:cs="Times New Roman Regular"/>
          <w:lang w:val="en-US" w:eastAsia="zh-CN"/>
        </w:rPr>
        <w:t xml:space="preserve"> </w:t>
      </w:r>
      <w:r>
        <w:rPr>
          <w:rFonts w:hint="default" w:ascii="Times New Roman Regular" w:hAnsi="Times New Roman Regular" w:cs="Times New Roman Regular"/>
          <w:lang w:val="en-US" w:eastAsia="zh-CN"/>
        </w:rPr>
        <w:t>|GS| ≥ 0.20.</w:t>
      </w:r>
    </w:p>
    <w:p w14:paraId="29407DD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composite hub score was computed as ∣kME_own∣×∣GS∣|kME\_own| \times |GS|∣kME_own∣×∣GS∣, and the top 30 hub genes per module were exported. Key figures included (i) ME distributions by T2 high/low, and (ii) MM vs GS scatterplots for a representative key module (module with minimum FDR for the key trait).</w:t>
      </w:r>
    </w:p>
    <w:p w14:paraId="2C525F2A">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Construction of the “Epithelial Core Axis” gene set</w:t>
      </w:r>
    </w:p>
    <w:p w14:paraId="46382A5B">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 axis gene set was constructed by integrating four evidence sources:</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(A) cross-GSE DEG-consensus genes,</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(B) top module genes from trait-relevant modules (ranked by |kME_own|; up to 200 per module),</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(C) curated epithelial pathway genes used for ssGSEA, and</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(H) hub genes from trait-relevant modules.</w:t>
      </w:r>
    </w:p>
    <w:p w14:paraId="074D174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defined:</w:t>
      </w:r>
    </w:p>
    <w:p w14:paraId="5E95A9BB">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Tier 1: A∩HA \cap HA∩H (genes supported by both DEG-consensus and hub logic)</w:t>
      </w:r>
    </w:p>
    <w:p w14:paraId="0BE643F4">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Tier 2: mechanistic/supporting genes from (B∩C)∪(H∩C)∪(A∩C)</w:t>
      </w:r>
    </w:p>
    <w:p w14:paraId="23F169D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final axis gene list was restricted to genes present in the shared-gene merged discovery matrix. For each axis gene, evidence flags (DEG-consensus/module-top/pathway/hub) were recorded for traceability.</w:t>
      </w:r>
    </w:p>
    <w:p w14:paraId="74F717B6">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Axis direction assignment</w:t>
      </w:r>
    </w:p>
    <w:p w14:paraId="058A3F2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 direction (up in T2-high vs down in T2-high) was assigned preferentially from DEG-consensus directionality. For genes without DEG-consensus direction, direction was inferred from the sign of the module–t2_score correlation for the gene’s module. Remaining unresolved genes were conservatively assigned to “up in T2-high” to avoid empty down sets (with explicit logging).</w:t>
      </w:r>
    </w:p>
    <w:p w14:paraId="41FAE7C0">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Axis score computation (per sample)</w:t>
      </w:r>
    </w:p>
    <w:p w14:paraId="0FCCF81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obtain a robust within-study score comparable across cohorts, axis scores were computed within each GSE using gene-wise z-scored expression (computed per dataset). For each sample:</w:t>
      </w:r>
    </w:p>
    <w:p w14:paraId="3CB1AF6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anchor distT="0" distB="0" distL="114300" distR="114300" simplePos="0" relativeHeight="251664384" behindDoc="0" locked="0" layoutInCell="1" allowOverlap="1">
            <wp:simplePos x="0" y="0"/>
            <wp:positionH relativeFrom="column">
              <wp:posOffset>209550</wp:posOffset>
            </wp:positionH>
            <wp:positionV relativeFrom="paragraph">
              <wp:posOffset>25400</wp:posOffset>
            </wp:positionV>
            <wp:extent cx="4775200" cy="685800"/>
            <wp:effectExtent l="0" t="0" r="0" b="0"/>
            <wp:wrapTopAndBottom/>
            <wp:docPr id="7" name="图片 7" descr="截屏2026-01-29 11.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截屏2026-01-29 11.29.09"/>
                    <pic:cNvPicPr>
                      <a:picLocks noChangeAspect="1"/>
                    </pic:cNvPicPr>
                  </pic:nvPicPr>
                  <pic:blipFill>
                    <a:blip r:embed="rId8"/>
                    <a:stretch>
                      <a:fillRect/>
                    </a:stretch>
                  </pic:blipFill>
                  <pic:spPr>
                    <a:xfrm>
                      <a:off x="0" y="0"/>
                      <a:ext cx="4775200" cy="685800"/>
                    </a:xfrm>
                    <a:prstGeom prst="rect">
                      <a:avLst/>
                    </a:prstGeom>
                  </pic:spPr>
                </pic:pic>
              </a:graphicData>
            </a:graphic>
          </wp:anchor>
        </w:drawing>
      </w:r>
    </w:p>
    <w:p w14:paraId="7B8B321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where UP and DOWN are axis genes assigned as up- or down-regulated in T2-high. Axis scores were exported with metadata and ssGSEA scores and visualized against t2_score and across T2 classes.</w:t>
      </w:r>
    </w:p>
    <w:p w14:paraId="4C515640">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Visualization and reproducibility</w:t>
      </w:r>
    </w:p>
    <w:p w14:paraId="2E48D449">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All plots were generated using ggplot2 with publication-oriented themes (classic/journal styling), exporting both PDF and high-resolution PNG. Key QC plots included: ssGSEA pathway distributions, axis score vs T2 score, axis score distributions by class, WGCNA sample clustering, module dendrograms with colors, and module–trait heatmaps (annotated with FDR significance). A fixed random seed (42) and multithreading (WGCNA threads) were enabled when available.</w:t>
      </w:r>
    </w:p>
    <w:p w14:paraId="76B9BC13">
      <w:pPr>
        <w:rPr>
          <w:rFonts w:hint="eastAsia"/>
          <w:lang w:val="en-US" w:eastAsia="zh-CN"/>
        </w:rPr>
      </w:pPr>
    </w:p>
    <w:p w14:paraId="72A71A6B">
      <w:pPr>
        <w:rPr>
          <w:rFonts w:hint="eastAsia"/>
          <w:lang w:val="en-US" w:eastAsia="zh-CN"/>
        </w:rPr>
      </w:pPr>
    </w:p>
    <w:p w14:paraId="2C1AAF6B">
      <w:pPr>
        <w:rPr>
          <w:rFonts w:hint="eastAsia"/>
          <w:lang w:val="en-US" w:eastAsia="zh-CN"/>
        </w:rPr>
      </w:pPr>
    </w:p>
    <w:p w14:paraId="184EACDB">
      <w:pPr>
        <w:rPr>
          <w:rFonts w:hint="eastAsia"/>
          <w:lang w:val="en-US" w:eastAsia="zh-CN"/>
        </w:rPr>
      </w:pPr>
    </w:p>
    <w:p w14:paraId="666C73D8">
      <w:pPr>
        <w:rPr>
          <w:rFonts w:hint="eastAsia"/>
          <w:lang w:val="en-US" w:eastAsia="zh-CN"/>
        </w:rPr>
      </w:pPr>
    </w:p>
    <w:p w14:paraId="74B0C13C">
      <w:pPr>
        <w:rPr>
          <w:rFonts w:hint="eastAsia"/>
          <w:lang w:val="en-US" w:eastAsia="zh-CN"/>
        </w:rPr>
      </w:pPr>
    </w:p>
    <w:p w14:paraId="2FB3C5BC">
      <w:pPr>
        <w:rPr>
          <w:rFonts w:hint="eastAsia"/>
          <w:lang w:val="en-US" w:eastAsia="zh-CN"/>
        </w:rPr>
      </w:pPr>
    </w:p>
    <w:p w14:paraId="22C1394C">
      <w:pPr>
        <w:rPr>
          <w:rFonts w:hint="eastAsia"/>
          <w:lang w:val="en-US" w:eastAsia="zh-CN"/>
        </w:rPr>
      </w:pPr>
    </w:p>
    <w:p w14:paraId="4DAED684">
      <w:pPr>
        <w:rPr>
          <w:rFonts w:hint="default" w:ascii="Times New Roman Regular" w:hAnsi="Times New Roman Regular" w:cs="Times New Roman Regular"/>
          <w:b/>
          <w:bCs/>
          <w:lang w:val="en-US" w:eastAsia="zh-CN"/>
        </w:rPr>
      </w:pPr>
      <w:r>
        <w:rPr>
          <w:rFonts w:hint="default" w:ascii="Times New Roman Regular" w:hAnsi="Times New Roman Regular" w:cs="Times New Roman Regular"/>
          <w:b/>
          <w:bCs/>
          <w:lang w:val="en-US" w:eastAsia="zh-CN"/>
        </w:rPr>
        <w:t xml:space="preserve">Supplementary Methods </w:t>
      </w:r>
      <w:r>
        <w:rPr>
          <w:rFonts w:hint="eastAsia" w:ascii="Times New Roman Regular" w:hAnsi="Times New Roman Regular" w:cs="Times New Roman Regular"/>
          <w:b/>
          <w:bCs/>
          <w:lang w:val="en-US" w:eastAsia="zh-CN"/>
        </w:rPr>
        <w:t>4</w:t>
      </w:r>
      <w:r>
        <w:rPr>
          <w:rFonts w:hint="default" w:ascii="Times New Roman Regular" w:hAnsi="Times New Roman Regular" w:cs="Times New Roman Regular"/>
          <w:b/>
          <w:bCs/>
          <w:lang w:val="en-US" w:eastAsia="zh-CN"/>
        </w:rPr>
        <w:t>: Strict leave-one-dataset-out learning and SHAP-derived minimal epithelial panel</w:t>
      </w:r>
    </w:p>
    <w:p w14:paraId="07AA1DA2">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Overview and inputs</w:t>
      </w:r>
    </w:p>
    <w:p w14:paraId="1CC5BA5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Phase 5 aimed to derive an explainable minimal gene panel (5–10 genes) for discriminating T2-high vs T2-low samples, using a strict leave-one-dataset-out (LODO) evaluation in discovery cohorts and optional external validation. The candidate feature space was locked to the Phase 4 epithelial axis gene set (axis_gene_set_v14.csv), preventing post hoc feature hunting.</w:t>
      </w:r>
    </w:p>
    <w:p w14:paraId="59784A6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Discovery cohorts comprised three datasets (GSE67472, GSE41861, GSE43696). Validation cohorts (if available) included GSE63142, GSE4302, and GSE64913. Expression matrices were provided as analysis-ready RDS objects (gene × sample), and sample metadata were provided as curated model-input tables. All analyses used a fixed random seed (set.seed(42)).</w:t>
      </w:r>
    </w:p>
    <w:p w14:paraId="005E267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Sample definition and label processing</w:t>
      </w:r>
    </w:p>
    <w:p w14:paraId="5A67DD16">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primary outcome was a binary label derived from t2_class_final. Labels were robustly standardized by lowercasing, removing whitespace, and normalizing separators (e.g., t2high, t2_high, high → t2_high; similarly for t2_low). Samples labeled as “mid” (or non-recognized variants) were excluded from model training and evaluation to enforce a clear binary task.</w:t>
      </w:r>
    </w:p>
    <w:p w14:paraId="7FC7268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ensure stable training/evaluation, datasets were filtered with permissive but explicit minimum sizes:</w:t>
      </w:r>
    </w:p>
    <w:p w14:paraId="2E09E596">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Training inclusion per GSE: at least MIN_SAMPLES_PER_GSE_TRAIN = 5 usable (T2-high/T2-low) samples and both classes present.</w:t>
      </w:r>
    </w:p>
    <w:p w14:paraId="62FEF154">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Held-out test fold: at least MIN_SAMPLES_TEST = 3 usable samples.</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If a held-out fold contained a single class after filtering, ROC/PR AUCs were reported as NA for that fold (probabilities were still saved).</w:t>
      </w:r>
    </w:p>
    <w:p w14:paraId="4784278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Expression handling and feature harmonization</w:t>
      </w:r>
    </w:p>
    <w:p w14:paraId="6CE5123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 identifiers were harmonized by converting to uppercase and removing trailing version suffixes (\\.\\d+$). If duplicated gene symbols existed, expression was collapsed by mean aggregation.</w:t>
      </w:r>
    </w:p>
    <w:p w14:paraId="2926718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Within each dataset (GSE), the expression matrix was processed as follows:</w:t>
      </w:r>
    </w:p>
    <w:p w14:paraId="0101FBF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Missing values were imputed by gene-wise mean (row mean).</w:t>
      </w:r>
    </w:p>
    <w:p w14:paraId="43EE8A2F">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gene-wise z-score was computed within that dataset:</w:t>
      </w:r>
    </w:p>
    <w:p w14:paraId="48E4B0C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inline distT="0" distB="0" distL="114300" distR="114300">
            <wp:extent cx="2743200" cy="901700"/>
            <wp:effectExtent l="0" t="0" r="0" b="12700"/>
            <wp:docPr id="10" name="图片 10" descr="截屏2026-01-29 12.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截屏2026-01-29 12.40.50"/>
                    <pic:cNvPicPr>
                      <a:picLocks noChangeAspect="1"/>
                    </pic:cNvPicPr>
                  </pic:nvPicPr>
                  <pic:blipFill>
                    <a:blip r:embed="rId9"/>
                    <a:stretch>
                      <a:fillRect/>
                    </a:stretch>
                  </pic:blipFill>
                  <pic:spPr>
                    <a:xfrm>
                      <a:off x="0" y="0"/>
                      <a:ext cx="2743200" cy="901700"/>
                    </a:xfrm>
                    <a:prstGeom prst="rect">
                      <a:avLst/>
                    </a:prstGeom>
                  </pic:spPr>
                </pic:pic>
              </a:graphicData>
            </a:graphic>
          </wp:inline>
        </w:drawing>
      </w:r>
    </w:p>
    <w:p w14:paraId="733FEC93">
      <w:pPr>
        <w:rPr>
          <w:rFonts w:hint="default" w:ascii="Times New Roman Regular" w:hAnsi="Times New Roman Regular" w:cs="Times New Roman Regular"/>
          <w:lang w:val="en-US" w:eastAsia="zh-CN"/>
        </w:rPr>
      </w:pPr>
    </w:p>
    <w:p w14:paraId="3B480369">
      <w:pPr>
        <w:rPr>
          <w:rFonts w:hint="default" w:ascii="Times New Roman Regular" w:hAnsi="Times New Roman Regular" w:cs="Times New Roman Regular"/>
          <w:lang w:val="en-US" w:eastAsia="zh-CN"/>
        </w:rPr>
      </w:pPr>
    </w:p>
    <w:p w14:paraId="42BF7F3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where μ</w:t>
      </w:r>
      <w:r>
        <w:rPr>
          <w:rFonts w:hint="default" w:ascii="Times New Roman Regular" w:hAnsi="Times New Roman Regular" w:cs="Times New Roman Regular"/>
          <w:vertAlign w:val="subscript"/>
          <w:lang w:val="en-US" w:eastAsia="zh-CN"/>
        </w:rPr>
        <w:t>g</w:t>
      </w:r>
      <w:r>
        <w:rPr>
          <w:rFonts w:hint="default" w:ascii="Times New Roman Regular" w:hAnsi="Times New Roman Regular" w:cs="Times New Roman Regular"/>
          <w:lang w:val="en-US" w:eastAsia="zh-CN"/>
        </w:rPr>
        <w:t xml:space="preserve"> and σ</w:t>
      </w:r>
      <w:r>
        <w:rPr>
          <w:rFonts w:hint="default" w:ascii="Times New Roman Regular" w:hAnsi="Times New Roman Regular" w:cs="Times New Roman Regular"/>
          <w:vertAlign w:val="subscript"/>
          <w:lang w:val="en-US" w:eastAsia="zh-CN"/>
        </w:rPr>
        <w:t>g</w:t>
      </w:r>
      <w:r>
        <w:rPr>
          <w:rFonts w:hint="default" w:ascii="Times New Roman Regular" w:hAnsi="Times New Roman Regular" w:cs="Times New Roman Regular"/>
          <w:lang w:val="en-US" w:eastAsia="zh-CN"/>
        </w:rPr>
        <w:t xml:space="preserve"> are computed across samples within the same dataset; σg\sigma_gσg​ was floored to avoid division instability.</w:t>
      </w:r>
    </w:p>
    <w:p w14:paraId="796D8C8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a target feature list FFF (axis genes or final panel genes), the design matrix XXX was built as samples × genes. If a feature gene was absent in a dataset, it was added as a zero column, consistent with z-scored expression (i.e., cohort-mean after standardization). Non-finite values were set to zero.</w:t>
      </w:r>
    </w:p>
    <w:p w14:paraId="2C17739F">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Strict LODO discovery framework (no leakage)</w:t>
      </w:r>
    </w:p>
    <w:p w14:paraId="184841F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Discovery performance was estimated using LODO by dataset: each discovery GSE was held out as the test fold once, while the remaining discovery datasets formed the training pool.</w:t>
      </w:r>
    </w:p>
    <w:p w14:paraId="7122095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Critically, all transformations that could leak information were confined to the training data only within each LODO split:</w:t>
      </w:r>
    </w:p>
    <w:p w14:paraId="4D84FF8E">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Zero-variance feature removal was computed on the training matrix only (features with SD ≤ 1e−8 removed), and the same feature set was applied to the test fold.</w:t>
      </w:r>
    </w:p>
    <w:p w14:paraId="2E068B41">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Feature scaling was computed using training-only mean and SD, then applied to both training and held-out test:</w:t>
      </w:r>
    </w:p>
    <w:p w14:paraId="5C97CE7F">
      <w:pPr>
        <w:rPr>
          <w:rFonts w:hint="default" w:ascii="Times New Roman Regular" w:hAnsi="Times New Roman Regular" w:cs="Times New Roman Regular"/>
          <w:lang w:val="en-US" w:eastAsia="zh-CN"/>
        </w:rPr>
      </w:pPr>
    </w:p>
    <w:p w14:paraId="5CA77D6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This ensured that test samples did not influence feature selection or scaling.</w:t>
      </w:r>
    </w:p>
    <w:p w14:paraId="49F36AC3">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Model training (XGBoost with internal CV)</w:t>
      </w:r>
    </w:p>
    <w:p w14:paraId="5B64D4C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binary XGBoost classifier (objective = "binary:logistic") was trained on each LODO training pool. Model complexity was deliberately constrained to reduce overfitting across heterogeneous cohorts:</w:t>
      </w:r>
    </w:p>
    <w:p w14:paraId="6686606B">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max_depth = 2, eta = 0.08</w:t>
      </w:r>
    </w:p>
    <w:p w14:paraId="7091B479">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subsample = 0.85, colsample_bytree = 0.7</w:t>
      </w:r>
      <w:r>
        <w:rPr>
          <w:rFonts w:hint="eastAsia" w:ascii="Times New Roman Regular" w:hAnsi="Times New Roman Regular" w:cs="Times New Roman Regular"/>
          <w:lang w:val="en-US" w:eastAsia="zh-CN"/>
        </w:rPr>
        <w:t>5</w:t>
      </w:r>
    </w:p>
    <w:p w14:paraId="5F491A06">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min_child_weight = 1, gamma = 0</w:t>
      </w:r>
    </w:p>
    <w:p w14:paraId="45B33CBF">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lambda = 1, alpha = 0</w:t>
      </w:r>
    </w:p>
    <w:p w14:paraId="3699DAF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evaluation metric: logloss</w:t>
      </w:r>
    </w:p>
    <w:p w14:paraId="5313D7D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number of boosting rounds was determined by stratified internal cross-validation (INNER_NFOLDS = 5) with early stopping (EARLY_STOP = 30, MAX_ROUNDS = 2000). To ensure feasible stratification under class imbalance, the effective fold number was adaptively set to:</w:t>
      </w:r>
    </w:p>
    <w:p w14:paraId="1169953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inline distT="0" distB="0" distL="114300" distR="114300">
            <wp:extent cx="3746500" cy="762000"/>
            <wp:effectExtent l="0" t="0" r="12700" b="0"/>
            <wp:docPr id="9" name="图片 9" descr="截屏2026-01-29 12.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截屏2026-01-29 12.39.58"/>
                    <pic:cNvPicPr>
                      <a:picLocks noChangeAspect="1"/>
                    </pic:cNvPicPr>
                  </pic:nvPicPr>
                  <pic:blipFill>
                    <a:blip r:embed="rId10"/>
                    <a:stretch>
                      <a:fillRect/>
                    </a:stretch>
                  </pic:blipFill>
                  <pic:spPr>
                    <a:xfrm>
                      <a:off x="0" y="0"/>
                      <a:ext cx="3746500" cy="762000"/>
                    </a:xfrm>
                    <a:prstGeom prst="rect">
                      <a:avLst/>
                    </a:prstGeom>
                  </pic:spPr>
                </pic:pic>
              </a:graphicData>
            </a:graphic>
          </wp:inline>
        </w:drawing>
      </w:r>
    </w:p>
    <w:p w14:paraId="3457F176">
      <w:pPr>
        <w:rPr>
          <w:rFonts w:hint="default" w:ascii="Times New Roman Regular" w:hAnsi="Times New Roman Regular" w:cs="Times New Roman Regular"/>
          <w:lang w:val="en-US" w:eastAsia="zh-CN"/>
        </w:rPr>
      </w:pPr>
    </w:p>
    <w:p w14:paraId="21D373B4">
      <w:pPr>
        <w:rPr>
          <w:rFonts w:hint="eastAsia"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and training aborted if nfolduse&lt;2nfold</w:t>
      </w:r>
      <w:r>
        <w:rPr>
          <w:rFonts w:hint="eastAsia" w:ascii="Times New Roman Regular" w:hAnsi="Times New Roman Regular" w:cs="Times New Roman Regular"/>
          <w:lang w:val="en-US" w:eastAsia="zh-CN"/>
        </w:rPr>
        <w:t>。</w:t>
      </w:r>
    </w:p>
    <w:p w14:paraId="5F3DDC2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Predicted probabilities P(T2-high) were generated for each held-out dataset and saved along with sample identifiers.</w:t>
      </w:r>
    </w:p>
    <w:p w14:paraId="09199A6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Performance metrics</w:t>
      </w:r>
    </w:p>
    <w:p w14:paraId="1CEE41A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Per held-out dataset, discrimination was summarized using:</w:t>
      </w:r>
    </w:p>
    <w:p w14:paraId="3B48B4C9">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AUROC computed with pROC</w:t>
      </w:r>
    </w:p>
    <w:p w14:paraId="167ECC16">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AUPRC computed with PRROC (positive class = T2-high)</w:t>
      </w:r>
    </w:p>
    <w:p w14:paraId="00EFCD1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 a fold contained only one class in the held-out set, AUROC/AUPRC were not computed (reported as NA), consistent with standard definitions.</w:t>
      </w:r>
    </w:p>
    <w:p w14:paraId="75BFC4B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Explainability and SHAP-based panel selection</w:t>
      </w:r>
    </w:p>
    <w:p w14:paraId="1BC6EA0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obtain an interpretable minimal panel, feature attributions were computed on each LODO training fold using XGBoost’s SHAP contribution outputs (predict(..., predcontrib = TRUE)). For each fold:</w:t>
      </w:r>
    </w:p>
    <w:p w14:paraId="46A5C8BC">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SHAP contribution matrix (samples × features) was converted to mean absolute SHAP per feature,</w:t>
      </w:r>
    </w:p>
    <w:p w14:paraId="5320FD5F">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features were ranked by mean(|SHAP|),</w:t>
      </w:r>
    </w:p>
    <w:p w14:paraId="681E94E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top TOP_SHAP_PER_FOLD = 20 features were retained.</w:t>
      </w:r>
    </w:p>
    <w:p w14:paraId="4C652FE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final panel of size 5–10 genes was selected using stability across folds:</w:t>
      </w:r>
    </w:p>
    <w:p w14:paraId="04DD640D">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Count how often each gene appears in fold-specific top-20 lists (frequency).</w:t>
      </w:r>
    </w:p>
    <w:p w14:paraId="3654C70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Compute each gene’s mean rank across folds.</w:t>
      </w:r>
    </w:p>
    <w:p w14:paraId="21937760">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Form a core set with frequency ≥ 2, rank by (frequency desc, mean-rank asc), then truncate to PANEL_MAX = 10.</w:t>
      </w:r>
    </w:p>
    <w:p w14:paraId="3AFE71A2">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 fewer than PANEL_MIN = 5 genes remain, add the highest-ranked remaining genes until reaching 5.</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If stability-based selection yields too few genes, a fallback selects the global top genes by averaged mean(|SHAP|).</w:t>
      </w:r>
    </w:p>
    <w:p w14:paraId="6B934E2A">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Final model training on full discovery and panel-based axis score</w:t>
      </w:r>
    </w:p>
    <w:p w14:paraId="2EAB675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After fixing the final panel, a final classifier was trained using all eligible discovery samples (T2-high/T2-low only), using the same dataset-wise preprocessing:</w:t>
      </w:r>
    </w:p>
    <w:p w14:paraId="55E52BF2">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per-dataset gene-wise z-scoring,</w:t>
      </w:r>
    </w:p>
    <w:p w14:paraId="28B31106">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design matrix built only on panel genes (with missing genes filled as zero),</w:t>
      </w:r>
    </w:p>
    <w:p w14:paraId="3DDA2C71">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remove zero-variance features on the full discovery set,</w:t>
      </w:r>
    </w:p>
    <w:p w14:paraId="08A908F7">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scale using discovery-only statistics (stored for validation),</w:t>
      </w:r>
    </w:p>
    <w:p w14:paraId="3DE0ABFA">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XGBoost trained with the same CV/early-stopping procedure.</w:t>
      </w:r>
    </w:p>
    <w:p w14:paraId="4AF002E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sample, the panel-based score was defined as the logit transform of the predicted probability:</w:t>
      </w:r>
    </w:p>
    <w:p w14:paraId="22DADCE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inline distT="0" distB="0" distL="114300" distR="114300">
            <wp:extent cx="4495800" cy="863600"/>
            <wp:effectExtent l="0" t="0" r="0" b="0"/>
            <wp:docPr id="8" name="图片 8" descr="截屏2026-01-29 12.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截屏2026-01-29 12.39.36"/>
                    <pic:cNvPicPr>
                      <a:picLocks noChangeAspect="1"/>
                    </pic:cNvPicPr>
                  </pic:nvPicPr>
                  <pic:blipFill>
                    <a:blip r:embed="rId11"/>
                    <a:stretch>
                      <a:fillRect/>
                    </a:stretch>
                  </pic:blipFill>
                  <pic:spPr>
                    <a:xfrm>
                      <a:off x="0" y="0"/>
                      <a:ext cx="4495800" cy="863600"/>
                    </a:xfrm>
                    <a:prstGeom prst="rect">
                      <a:avLst/>
                    </a:prstGeom>
                  </pic:spPr>
                </pic:pic>
              </a:graphicData>
            </a:graphic>
          </wp:inline>
        </w:drawing>
      </w:r>
    </w:p>
    <w:p w14:paraId="518B51B1">
      <w:pPr>
        <w:rPr>
          <w:rFonts w:hint="default" w:ascii="Times New Roman Regular" w:hAnsi="Times New Roman Regular" w:cs="Times New Roman Regular"/>
          <w:lang w:val="en-US" w:eastAsia="zh-CN"/>
        </w:rPr>
      </w:pPr>
    </w:p>
    <w:p w14:paraId="7E01EFE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with probabilities numerically clipped to [10−6,1−10−6][10^{-6}, 1-10^{-6}][10−6,1−10−6] for stability. Both probability and axis score were exported for downstream analyses.</w:t>
      </w:r>
    </w:p>
    <w:p w14:paraId="43A17630">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 xml:space="preserve">External validation </w:t>
      </w:r>
    </w:p>
    <w:p w14:paraId="7ABD9CF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external validation dataset:</w:t>
      </w:r>
    </w:p>
    <w:p w14:paraId="63E034C0">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load expression matrix and metadata,</w:t>
      </w:r>
    </w:p>
    <w:p w14:paraId="61048A7D">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filter to T2-high/T2-low samples,</w:t>
      </w:r>
    </w:p>
    <w:p w14:paraId="056619AB">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apply gene-wise mean imputation and within-dataset gene-wise z-scoring,</w:t>
      </w:r>
    </w:p>
    <w:p w14:paraId="62B27EEE">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build the design matrix using the final discovery feature set (post variance-filter),</w:t>
      </w:r>
    </w:p>
    <w:p w14:paraId="6EC6E803">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apply discovery-derived scaling parameters (mean/SD) to the validation matrix,</w:t>
      </w:r>
    </w:p>
    <w:p w14:paraId="7C47037C">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generate predicted probabilities and compute AUROC/AUPRC per validation cohort where both classes are present.</w:t>
      </w:r>
    </w:p>
    <w:p w14:paraId="572ADF22">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Visualization (publication-style figures)</w:t>
      </w:r>
    </w:p>
    <w:p w14:paraId="6F2AAC19">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discovery and validation, the following figures were generated:</w:t>
      </w:r>
    </w:p>
    <w:p w14:paraId="2BE7149E">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Bar plots of AUROC and AUPRC by held-out cohort (Q (LODO) or by validation GSE.</w:t>
      </w:r>
    </w:p>
    <w:p w14:paraId="226E330B">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ROC and PR curves per cohort; in some versions, a pooled curve was highlighted and a PR prevalence baseline (positive rate) was shown as a dashed line.</w:t>
      </w:r>
    </w:p>
    <w:p w14:paraId="31D90267">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Violin + box plots showing predicted P(T2-high)P(T2\text{-high})P(T2-high) (LODO) and panel axis score distributions stratified by class and faceted by cohort.</w:t>
      </w:r>
    </w:p>
    <w:p w14:paraId="472C83D2">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SHAP stability bar plots using mean(|SHAP|) and fold frequency.</w:t>
      </w:r>
    </w:p>
    <w:p w14:paraId="1533223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All plots were saved as PDF and high-resolution PNG (typically 600 dpi) with consistent “journal-style” themes (clean axes, minimal grids, colorblind-friendly palettes).</w:t>
      </w:r>
    </w:p>
    <w:p w14:paraId="3607B634">
      <w:pPr>
        <w:rPr>
          <w:rFonts w:hint="default" w:ascii="Times New Roman Regular" w:hAnsi="Times New Roman Regular" w:cs="Times New Roman Regular"/>
          <w:lang w:val="en-US" w:eastAsia="zh-CN"/>
        </w:rPr>
      </w:pPr>
    </w:p>
    <w:p w14:paraId="1B5A2168">
      <w:pPr>
        <w:rPr>
          <w:rFonts w:hint="default" w:ascii="Times New Roman Regular" w:hAnsi="Times New Roman Regular" w:cs="Times New Roman Regular"/>
          <w:lang w:val="en-US" w:eastAsia="zh-CN"/>
        </w:rPr>
      </w:pPr>
    </w:p>
    <w:p w14:paraId="7B254644">
      <w:pPr>
        <w:rPr>
          <w:rFonts w:hint="default" w:ascii="Times New Roman Regular" w:hAnsi="Times New Roman Regular" w:cs="Times New Roman Regular"/>
          <w:lang w:val="en-US" w:eastAsia="zh-CN"/>
        </w:rPr>
      </w:pPr>
    </w:p>
    <w:p w14:paraId="377AF61C">
      <w:pPr>
        <w:rPr>
          <w:rFonts w:hint="default" w:ascii="Times New Roman Regular" w:hAnsi="Times New Roman Regular" w:cs="Times New Roman Regular"/>
          <w:lang w:val="en-US" w:eastAsia="zh-CN"/>
        </w:rPr>
      </w:pPr>
    </w:p>
    <w:p w14:paraId="2CD4D6D7">
      <w:pPr>
        <w:rPr>
          <w:rFonts w:hint="default" w:ascii="Times New Roman Regular" w:hAnsi="Times New Roman Regular" w:cs="Times New Roman Regular"/>
          <w:lang w:val="en-US" w:eastAsia="zh-CN"/>
        </w:rPr>
      </w:pPr>
    </w:p>
    <w:p w14:paraId="09121710">
      <w:pPr>
        <w:rPr>
          <w:rFonts w:hint="default" w:ascii="Times New Roman Regular" w:hAnsi="Times New Roman Regular" w:cs="Times New Roman Regular"/>
          <w:lang w:val="en-US" w:eastAsia="zh-CN"/>
        </w:rPr>
      </w:pPr>
    </w:p>
    <w:p w14:paraId="4B27E478">
      <w:pPr>
        <w:rPr>
          <w:rFonts w:hint="default" w:ascii="Times New Roman Regular" w:hAnsi="Times New Roman Regular" w:cs="Times New Roman Regular"/>
          <w:lang w:val="en-US" w:eastAsia="zh-CN"/>
        </w:rPr>
      </w:pPr>
    </w:p>
    <w:p w14:paraId="495903F0">
      <w:pPr>
        <w:rPr>
          <w:rFonts w:hint="default" w:ascii="Times New Roman Regular" w:hAnsi="Times New Roman Regular" w:cs="Times New Roman Regular"/>
          <w:lang w:val="en-US" w:eastAsia="zh-CN"/>
        </w:rPr>
      </w:pPr>
    </w:p>
    <w:p w14:paraId="43DBFB02">
      <w:pPr>
        <w:rPr>
          <w:rFonts w:hint="default" w:ascii="Times New Roman Regular" w:hAnsi="Times New Roman Regular" w:cs="Times New Roman Regular"/>
          <w:lang w:val="en-US" w:eastAsia="zh-CN"/>
        </w:rPr>
      </w:pPr>
    </w:p>
    <w:p w14:paraId="3D85FCDE">
      <w:pPr>
        <w:rPr>
          <w:rFonts w:hint="default" w:ascii="Times New Roman Regular" w:hAnsi="Times New Roman Regular" w:cs="Times New Roman Regular"/>
          <w:lang w:val="en-US" w:eastAsia="zh-CN"/>
        </w:rPr>
      </w:pPr>
    </w:p>
    <w:p w14:paraId="3DBD190B">
      <w:pPr>
        <w:rPr>
          <w:rFonts w:hint="default" w:ascii="Times New Roman Regular" w:hAnsi="Times New Roman Regular" w:cs="Times New Roman Regular"/>
          <w:lang w:val="en-US" w:eastAsia="zh-CN"/>
        </w:rPr>
      </w:pPr>
    </w:p>
    <w:p w14:paraId="4F52B72A">
      <w:pPr>
        <w:rPr>
          <w:rFonts w:hint="default" w:ascii="Times New Roman Regular" w:hAnsi="Times New Roman Regular" w:cs="Times New Roman Regular"/>
          <w:lang w:val="en-US" w:eastAsia="zh-CN"/>
        </w:rPr>
      </w:pPr>
    </w:p>
    <w:p w14:paraId="746C8C12">
      <w:pPr>
        <w:rPr>
          <w:rFonts w:hint="default" w:ascii="Times New Roman Regular" w:hAnsi="Times New Roman Regular" w:cs="Times New Roman Regular"/>
          <w:lang w:val="en-US" w:eastAsia="zh-CN"/>
        </w:rPr>
      </w:pPr>
    </w:p>
    <w:p w14:paraId="0E4B85E6">
      <w:pPr>
        <w:rPr>
          <w:rFonts w:hint="default" w:ascii="Times New Roman Regular" w:hAnsi="Times New Roman Regular" w:cs="Times New Roman Regular"/>
          <w:lang w:val="en-US" w:eastAsia="zh-CN"/>
        </w:rPr>
      </w:pPr>
    </w:p>
    <w:p w14:paraId="4B88EFB9">
      <w:pPr>
        <w:rPr>
          <w:rFonts w:hint="default" w:ascii="Times New Roman Regular" w:hAnsi="Times New Roman Regular" w:cs="Times New Roman Regular"/>
          <w:lang w:val="en-US" w:eastAsia="zh-CN"/>
        </w:rPr>
      </w:pPr>
    </w:p>
    <w:p w14:paraId="08BF7256">
      <w:pPr>
        <w:rPr>
          <w:rFonts w:hint="default" w:ascii="Times New Roman Regular" w:hAnsi="Times New Roman Regular" w:cs="Times New Roman Regular"/>
          <w:lang w:val="en-US" w:eastAsia="zh-CN"/>
        </w:rPr>
      </w:pPr>
    </w:p>
    <w:p w14:paraId="62D4BAA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Supplementary Methods</w:t>
      </w:r>
      <w:r>
        <w:rPr>
          <w:rFonts w:hint="eastAsia" w:ascii="Times New Roman Bold" w:hAnsi="Times New Roman Bold" w:cs="Times New Roman Bold"/>
          <w:b/>
          <w:bCs/>
          <w:lang w:val="en-US" w:eastAsia="zh-CN"/>
        </w:rPr>
        <w:t xml:space="preserve"> 5</w:t>
      </w:r>
      <w:r>
        <w:rPr>
          <w:rFonts w:hint="default" w:ascii="Times New Roman Bold" w:hAnsi="Times New Roman Bold" w:cs="Times New Roman Bold"/>
          <w:b/>
          <w:bCs/>
          <w:lang w:val="en-US" w:eastAsia="zh-CN"/>
        </w:rPr>
        <w:t>: non-T2 multi-axis scoring and unsupervised endotyping within T2-low epithelium (Scheme C)</w:t>
      </w:r>
    </w:p>
    <w:p w14:paraId="56EE16C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Study design and cohorts</w:t>
      </w:r>
    </w:p>
    <w:p w14:paraId="0A79AE4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performed a non-T2 program characterization and unsupervised endotyping analysis restricted to T2-low epithelial samples. Discovery cohorts comprised three GEO datasets (GSE67472, GSE41861, GSE43696), with optional external validation cohorts (e.g., GSE143303, GSE45111, GSE148004) processed in an analogous manner. For each dataset, we used the analysis-ready gene expression matrices (gene × sample) and harmonized metadata tables. All analyses were conducted in R with a fixed random seed (set.seed(42)).</w:t>
      </w:r>
    </w:p>
    <w:p w14:paraId="21DC984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Sample harmonization and gating</w:t>
      </w:r>
    </w:p>
    <w:p w14:paraId="4EE44A7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Sample identifiers were determined robustly by selecting the first available column among Sample, sample, sample_id, SampleID, or id, and expression matrices were aligned to metadata by intersecting sample IDs. T2 status labels were standardized by collapsing label synonyms to three levels: t2_low, t2_high, and mid. The analysis was explicitly gated to T2-low samples only; datasets with fewer than 8 T2-low samples after gating were excluded to avoid unstable clustering.</w:t>
      </w:r>
    </w:p>
    <w:p w14:paraId="4B9E71A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When a condition/phenotype column was present (searched among .__COND__, condition, group, phenotype, etc.), we additionally applied a conservative “asthma/case” filter (values matching asthma/asthmatic/case) if such samples existed, to reduce heterogeneity from mixed indications within the same dataset.</w:t>
      </w:r>
    </w:p>
    <w:p w14:paraId="6CD665A6">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Expression preprocessing</w:t>
      </w:r>
    </w:p>
    <w:p w14:paraId="7624B9F6">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 symbols were normalized to uppercase and de-versioned (removal of trailing “.x” suffixes). Duplicate gene symbols were collapsed by averaging. Missing expression values were imputed by the gene-wise mean within the dataset. To minimize cross-dataset scale differences and retain within-dataset relative biology, expression values were transformed to gene-wise z-scores within each dataset (gene × sample): for gene g, z</w:t>
      </w:r>
      <w:r>
        <w:rPr>
          <w:rFonts w:hint="default" w:ascii="Times New Roman Regular" w:hAnsi="Times New Roman Regular" w:cs="Times New Roman Regular"/>
          <w:vertAlign w:val="subscript"/>
          <w:lang w:val="en-US" w:eastAsia="zh-CN"/>
        </w:rPr>
        <w:t>g,s</w:t>
      </w:r>
      <w:r>
        <w:rPr>
          <w:rFonts w:hint="default" w:ascii="Times New Roman Regular" w:hAnsi="Times New Roman Regular" w:cs="Times New Roman Regular"/>
          <w:lang w:val="en-US" w:eastAsia="zh-CN"/>
        </w:rPr>
        <w:t>=(x</w:t>
      </w:r>
      <w:r>
        <w:rPr>
          <w:rFonts w:hint="default" w:ascii="Times New Roman Regular" w:hAnsi="Times New Roman Regular" w:cs="Times New Roman Regular"/>
          <w:vertAlign w:val="subscript"/>
          <w:lang w:val="en-US" w:eastAsia="zh-CN"/>
        </w:rPr>
        <w:t>g,s</w:t>
      </w:r>
      <w:r>
        <w:rPr>
          <w:rFonts w:hint="default" w:ascii="Times New Roman Regular" w:hAnsi="Times New Roman Regular" w:cs="Times New Roman Regular"/>
          <w:lang w:val="en-US" w:eastAsia="zh-CN"/>
        </w:rPr>
        <w:t>−μ</w:t>
      </w:r>
      <w:r>
        <w:rPr>
          <w:rFonts w:hint="default" w:ascii="Times New Roman Regular" w:hAnsi="Times New Roman Regular" w:cs="Times New Roman Regular"/>
          <w:vertAlign w:val="subscript"/>
          <w:lang w:val="en-US" w:eastAsia="zh-CN"/>
        </w:rPr>
        <w:t>g</w:t>
      </w:r>
      <w:r>
        <w:rPr>
          <w:rFonts w:hint="default" w:ascii="Times New Roman Regular" w:hAnsi="Times New Roman Regular" w:cs="Times New Roman Regular"/>
          <w:lang w:val="en-US" w:eastAsia="zh-CN"/>
        </w:rPr>
        <w:t>)/σ</w:t>
      </w:r>
      <w:r>
        <w:rPr>
          <w:rFonts w:hint="default" w:ascii="Times New Roman Regular" w:hAnsi="Times New Roman Regular" w:cs="Times New Roman Regular"/>
          <w:vertAlign w:val="subscript"/>
          <w:lang w:val="en-US" w:eastAsia="zh-CN"/>
        </w:rPr>
        <w:t>g</w:t>
      </w:r>
      <w:r>
        <w:rPr>
          <w:rFonts w:hint="default" w:ascii="Times New Roman Regular" w:hAnsi="Times New Roman Regular" w:cs="Times New Roman Regular"/>
          <w:lang w:val="en-US" w:eastAsia="zh-CN"/>
        </w:rPr>
        <w:t>, with σ</w:t>
      </w:r>
      <w:r>
        <w:rPr>
          <w:rFonts w:hint="default" w:ascii="Times New Roman Regular" w:hAnsi="Times New Roman Regular" w:cs="Times New Roman Regular"/>
          <w:vertAlign w:val="subscript"/>
          <w:lang w:val="en-US" w:eastAsia="zh-CN"/>
        </w:rPr>
        <w:t xml:space="preserve">g </w:t>
      </w:r>
      <w:r>
        <w:rPr>
          <w:rFonts w:hint="default" w:ascii="Times New Roman Regular" w:hAnsi="Times New Roman Regular" w:cs="Times New Roman Regular"/>
          <w:lang w:val="en-US" w:eastAsia="zh-CN"/>
        </w:rPr>
        <w:t>floored at 10</w:t>
      </w:r>
      <w:r>
        <w:rPr>
          <w:rFonts w:hint="default" w:ascii="Times New Roman Regular" w:hAnsi="Times New Roman Regular" w:cs="Times New Roman Regular"/>
          <w:vertAlign w:val="superscript"/>
          <w:lang w:val="en-US" w:eastAsia="zh-CN"/>
        </w:rPr>
        <w:t>−8</w:t>
      </w:r>
      <w:r>
        <w:rPr>
          <w:rFonts w:hint="default" w:ascii="Times New Roman Regular" w:hAnsi="Times New Roman Regular" w:cs="Times New Roman Regular"/>
          <w:lang w:val="en-US" w:eastAsia="zh-CN"/>
        </w:rPr>
        <w:t xml:space="preserve"> to prevent division instability; non-finite values were set to 0.</w:t>
      </w:r>
    </w:p>
    <w:p w14:paraId="62FB285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Definition of non-T2 epithelial axes (gene-set programs)</w:t>
      </w:r>
    </w:p>
    <w:p w14:paraId="3C368CE6">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defined six biologically interpretable epithelial programs (axes) using curated gene sets:</w:t>
      </w:r>
    </w:p>
    <w:p w14:paraId="5FB87601">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Barrier/Repair (e.g., EPCAM, KRT8/18/19, CLDN1/4, OCLN, TJP1, ITGA6/ITGB4, LAMA3/LAMC2)</w:t>
      </w:r>
    </w:p>
    <w:p w14:paraId="5EB461D5">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IFN/Antiviral (e.g., STAT1, IRF7, ISG15, MX1/2, OAS family, IFIT family, RSAD2, CXCL10)</w:t>
      </w:r>
    </w:p>
    <w:p w14:paraId="59CF9C0E">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IL-1/Inflammasome (e.g., IL1A/B, IL18, NLRP3, PYCARD, CASP1, TNF, PTGS2, CXCL8)</w:t>
      </w:r>
    </w:p>
    <w:p w14:paraId="0FF1215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Th17/Neutrophil (e.g., CXCL1/2/3/5/8, CSF3, S100A8/A9, LCN2, DEFB4A/B, SLPI)</w:t>
      </w:r>
    </w:p>
    <w:p w14:paraId="0C9FB020">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Oxidative stress/NRF2 (e.g., NQO1, HMOX1, GCLC/GCLM, SLC7A11, TXNRD1, SRXN1)</w:t>
      </w:r>
    </w:p>
    <w:p w14:paraId="737916B8">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EMT/Fibrosis (e.g., VIM, FN1, COL1A1/A2, COL3A1, SERPINE1, TGFBI, MMP2/9)</w:t>
      </w:r>
    </w:p>
    <w:p w14:paraId="7AA10944">
      <w:pPr>
        <w:rPr>
          <w:rFonts w:hint="default" w:ascii="Times New Roman Regular" w:hAnsi="Times New Roman Regular" w:cs="Times New Roman Regular"/>
          <w:lang w:val="en-US" w:eastAsia="zh-CN"/>
        </w:rPr>
      </w:pPr>
    </w:p>
    <w:p w14:paraId="2F2B146F">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Axis scoring</w:t>
      </w:r>
    </w:p>
    <w:p w14:paraId="333947B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dataset, axis activity was computed per sample as the mean of within-dataset gene z-scores across genes present in the corresponding axis set:</w:t>
      </w:r>
    </w:p>
    <w:p w14:paraId="08EA435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drawing>
          <wp:inline distT="0" distB="0" distL="114300" distR="114300">
            <wp:extent cx="4533900" cy="1117600"/>
            <wp:effectExtent l="0" t="0" r="12700" b="0"/>
            <wp:docPr id="11" name="图片 11" descr="截屏2026-01-29 12.5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截屏2026-01-29 12.55.24"/>
                    <pic:cNvPicPr>
                      <a:picLocks noChangeAspect="1"/>
                    </pic:cNvPicPr>
                  </pic:nvPicPr>
                  <pic:blipFill>
                    <a:blip r:embed="rId12"/>
                    <a:stretch>
                      <a:fillRect/>
                    </a:stretch>
                  </pic:blipFill>
                  <pic:spPr>
                    <a:xfrm>
                      <a:off x="0" y="0"/>
                      <a:ext cx="4533900" cy="1117600"/>
                    </a:xfrm>
                    <a:prstGeom prst="rect">
                      <a:avLst/>
                    </a:prstGeom>
                  </pic:spPr>
                </pic:pic>
              </a:graphicData>
            </a:graphic>
          </wp:inline>
        </w:drawing>
      </w:r>
    </w:p>
    <w:p w14:paraId="31F5171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 fewer than three genes from an axis were present, the axis score was set to 0 for that dataset to avoid unstable estimates. Axis scores were then additionally standardized within each dataset (z-score across samples for each axis) to remove dataset-specific offsets in program magnitude prior to pooling for clustering.</w:t>
      </w:r>
    </w:p>
    <w:p w14:paraId="3D1A05CB">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 optional external “panel score” table could be merged by sample ID (when available) for downstream overlays, without affecting clustering or axis definitions.</w:t>
      </w:r>
    </w:p>
    <w:p w14:paraId="489C9A2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Unsupervised clustering to define non-T2 endotypes in discovery</w:t>
      </w:r>
    </w:p>
    <w:p w14:paraId="23659F3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Endotypes were inferred using discovery T2-low samples pooled across datasets in the standardized axis space (six axes). We performed k-means clustering with multiple initializations (nstart=50) and evaluated candidate cluster numbers k∈{2,3}k \in \{2,3\}k∈{2,3}. The optimal kkk was selected by maximizing the mean silhouette width computed from Euclidean distances in axis space. Cluster assignments from the best-silhouette solution were carried forward.</w:t>
      </w:r>
    </w:p>
    <w:p w14:paraId="2986D68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Scheme C: model-based axis importance using ridge-regularized glmnet</w:t>
      </w:r>
    </w:p>
    <w:p w14:paraId="363086D6">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obtain an interpretable, model-based ranking of which axes most strongly separated the discovered clusters, we fit a ridge-regularized generalized linear model using glmnet with α=0 (ridge) on the same standardized axis matrix (no additional standardization in glmnet signaling, standardize=FALSE).</w:t>
      </w:r>
    </w:p>
    <w:p w14:paraId="2F43D9DC">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 k=2k=2k=2, we fit a binomial logistic ridge model to discriminate the two clusters.</w:t>
      </w:r>
    </w:p>
    <w:p w14:paraId="0F937F8F">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 k&gt;2k&gt;2k&gt;2, we fit a multinomial ridge model; axis importance was summarized by aggregating coefficients across classes (sum of absolute coefficients per axis; additionally tracked mean absolute coefficient).</w:t>
      </w:r>
    </w:p>
    <w:p w14:paraId="204C292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regularization strength λ\lambdaλ was selected by 5-fold cross-validation (cv.glmnet, lambda.min). The resulting absolute coefficient magnitude served as the axis importance score, producing a ranked list of axes.</w:t>
      </w:r>
    </w:p>
    <w:p w14:paraId="2F2600D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Stable, data-driven endotype naming (anchor-axis ordering)</w:t>
      </w:r>
    </w:p>
    <w:p w14:paraId="029EF1B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provide reproducible endotype labels independent of arbitrary cluster IDs, we defined an anchor axis as the top-ranked axis by ridge importance. Clusters were then ordered by the mean anchor-axis score (descending). Ordered clusters were mapped deterministically to endotype labels E1…Ek (E1 = highest mean anchor-axis activity), yielding stable naming across reruns and facilitating cohort-to-cohort comparisons.</w:t>
      </w:r>
    </w:p>
    <w:p w14:paraId="6FAFC44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External validation assignment (nearest-centroid mapping)</w:t>
      </w:r>
    </w:p>
    <w:p w14:paraId="2DC30B7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validation datasets (T2-low only), we computed axis scores and within-dataset standardization identically. We then assigned each validation sample to the nearest discovery cluster centroid in axis space (minimum squared Euclidean distance to the discovery cluster means), and propagated the discovery-derived E1…Ek label mapping to produce validation endotype calls.</w:t>
      </w:r>
    </w:p>
    <w:p w14:paraId="2432D5A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Outputs and visualization</w:t>
      </w:r>
    </w:p>
    <w:p w14:paraId="60DE0A2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exported (i) raw axis scores and within-dataset standardized axis scores, (ii) ridge-derived axis importance tables, (iii) discovery and validation endotype assignments, and (iv) clustering diagnostics (silhouette scores). Figures included: (a) bar plot of ridge-based axis importance, (b) heatmap of axis activity (discovery), (c) mean axis profiles per endotype, (d) endotype composition by dataset/cohort, and (e) LDA scatterplots for visualization only (not used for naming).</w:t>
      </w:r>
    </w:p>
    <w:p w14:paraId="64F6E5A2">
      <w:pPr>
        <w:rPr>
          <w:rFonts w:hint="default" w:ascii="Times New Roman Regular" w:hAnsi="Times New Roman Regular" w:cs="Times New Roman Regular"/>
          <w:lang w:val="en-US" w:eastAsia="zh-CN"/>
        </w:rPr>
      </w:pPr>
    </w:p>
    <w:p w14:paraId="5BE374F5">
      <w:pPr>
        <w:rPr>
          <w:rFonts w:hint="default" w:ascii="Times New Roman Regular" w:hAnsi="Times New Roman Regular" w:cs="Times New Roman Regular"/>
          <w:lang w:val="en-US" w:eastAsia="zh-CN"/>
        </w:rPr>
      </w:pPr>
    </w:p>
    <w:p w14:paraId="4753ACCC">
      <w:pPr>
        <w:rPr>
          <w:rFonts w:hint="default" w:ascii="Times New Roman Regular" w:hAnsi="Times New Roman Regular" w:cs="Times New Roman Regular"/>
          <w:lang w:val="en-US" w:eastAsia="zh-CN"/>
        </w:rPr>
      </w:pPr>
    </w:p>
    <w:p w14:paraId="6EA21946">
      <w:pPr>
        <w:rPr>
          <w:rFonts w:hint="default" w:ascii="Times New Roman Regular" w:hAnsi="Times New Roman Regular" w:cs="Times New Roman Regular"/>
          <w:lang w:val="en-US" w:eastAsia="zh-CN"/>
        </w:rPr>
      </w:pPr>
    </w:p>
    <w:p w14:paraId="0BFDA4E9">
      <w:pPr>
        <w:rPr>
          <w:rFonts w:hint="default" w:ascii="Times New Roman Regular" w:hAnsi="Times New Roman Regular" w:cs="Times New Roman Regular"/>
          <w:lang w:val="en-US" w:eastAsia="zh-CN"/>
        </w:rPr>
      </w:pPr>
    </w:p>
    <w:p w14:paraId="38139694">
      <w:pPr>
        <w:rPr>
          <w:rFonts w:hint="default" w:ascii="Times New Roman Regular" w:hAnsi="Times New Roman Regular" w:cs="Times New Roman Regular"/>
          <w:lang w:val="en-US" w:eastAsia="zh-CN"/>
        </w:rPr>
      </w:pPr>
    </w:p>
    <w:p w14:paraId="1809F2FA">
      <w:pPr>
        <w:rPr>
          <w:rFonts w:hint="default" w:ascii="Times New Roman Regular" w:hAnsi="Times New Roman Regular" w:cs="Times New Roman Regular"/>
          <w:lang w:val="en-US" w:eastAsia="zh-CN"/>
        </w:rPr>
      </w:pPr>
    </w:p>
    <w:p w14:paraId="5D464F58">
      <w:pPr>
        <w:rPr>
          <w:rFonts w:hint="default" w:ascii="Times New Roman Regular" w:hAnsi="Times New Roman Regular" w:cs="Times New Roman Regular"/>
          <w:lang w:val="en-US" w:eastAsia="zh-CN"/>
        </w:rPr>
      </w:pPr>
    </w:p>
    <w:p w14:paraId="03EDA4BC">
      <w:pPr>
        <w:rPr>
          <w:rFonts w:hint="default" w:ascii="Times New Roman Regular" w:hAnsi="Times New Roman Regular" w:cs="Times New Roman Regular"/>
          <w:lang w:val="en-US" w:eastAsia="zh-CN"/>
        </w:rPr>
      </w:pPr>
    </w:p>
    <w:p w14:paraId="1DCA0CA5">
      <w:pPr>
        <w:rPr>
          <w:rFonts w:hint="default" w:ascii="Times New Roman Regular" w:hAnsi="Times New Roman Regular" w:cs="Times New Roman Regular"/>
          <w:lang w:val="en-US" w:eastAsia="zh-CN"/>
        </w:rPr>
      </w:pPr>
    </w:p>
    <w:p w14:paraId="428533B7">
      <w:pPr>
        <w:rPr>
          <w:rFonts w:hint="default" w:ascii="Times New Roman Regular" w:hAnsi="Times New Roman Regular" w:cs="Times New Roman Regular"/>
          <w:lang w:val="en-US" w:eastAsia="zh-CN"/>
        </w:rPr>
      </w:pPr>
    </w:p>
    <w:p w14:paraId="7657A7D6">
      <w:pPr>
        <w:rPr>
          <w:rFonts w:hint="default" w:ascii="Times New Roman Regular" w:hAnsi="Times New Roman Regular" w:cs="Times New Roman Regular"/>
          <w:lang w:val="en-US" w:eastAsia="zh-CN"/>
        </w:rPr>
      </w:pPr>
    </w:p>
    <w:p w14:paraId="62E0BD66">
      <w:pPr>
        <w:rPr>
          <w:rFonts w:hint="default" w:ascii="Times New Roman Regular" w:hAnsi="Times New Roman Regular" w:cs="Times New Roman Regular"/>
          <w:lang w:val="en-US" w:eastAsia="zh-CN"/>
        </w:rPr>
      </w:pPr>
    </w:p>
    <w:p w14:paraId="7513E702">
      <w:pPr>
        <w:rPr>
          <w:rFonts w:hint="default" w:ascii="Times New Roman Regular" w:hAnsi="Times New Roman Regular" w:cs="Times New Roman Regular"/>
          <w:lang w:val="en-US" w:eastAsia="zh-CN"/>
        </w:rPr>
      </w:pPr>
    </w:p>
    <w:p w14:paraId="2FE6360F">
      <w:pPr>
        <w:rPr>
          <w:rFonts w:hint="default" w:ascii="Times New Roman Regular" w:hAnsi="Times New Roman Regular" w:cs="Times New Roman Regular"/>
          <w:lang w:val="en-US" w:eastAsia="zh-CN"/>
        </w:rPr>
      </w:pPr>
    </w:p>
    <w:p w14:paraId="4FF5E4BB">
      <w:pPr>
        <w:rPr>
          <w:rFonts w:hint="default" w:ascii="Times New Roman Regular" w:hAnsi="Times New Roman Regular" w:cs="Times New Roman Regular"/>
          <w:lang w:val="en-US" w:eastAsia="zh-CN"/>
        </w:rPr>
      </w:pPr>
    </w:p>
    <w:p w14:paraId="56B56F14">
      <w:pPr>
        <w:rPr>
          <w:rFonts w:hint="default" w:ascii="Times New Roman Regular" w:hAnsi="Times New Roman Regular" w:cs="Times New Roman Regular"/>
          <w:lang w:val="en-US" w:eastAsia="zh-CN"/>
        </w:rPr>
      </w:pPr>
    </w:p>
    <w:p w14:paraId="7EE3B84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Supplementary Methods</w:t>
      </w:r>
      <w:r>
        <w:rPr>
          <w:rFonts w:hint="eastAsia" w:ascii="Times New Roman Bold" w:hAnsi="Times New Roman Bold" w:cs="Times New Roman Bold"/>
          <w:b/>
          <w:bCs/>
          <w:lang w:val="en-US" w:eastAsia="zh-CN"/>
        </w:rPr>
        <w:t xml:space="preserve"> 6</w:t>
      </w:r>
      <w:r>
        <w:rPr>
          <w:rFonts w:hint="default" w:ascii="Times New Roman Bold" w:hAnsi="Times New Roman Bold" w:cs="Times New Roman Bold"/>
          <w:b/>
          <w:bCs/>
          <w:lang w:val="en-US" w:eastAsia="zh-CN"/>
        </w:rPr>
        <w:t>: Automatic 1D axis selection and rule-based non-T2 endotyping in T2-low epithelium, with LODO validation and external replication</w:t>
      </w:r>
      <w:r>
        <w:rPr>
          <w:rFonts w:hint="eastAsia" w:ascii="Times New Roman Bold" w:hAnsi="Times New Roman Bold" w:cs="Times New Roman Bold"/>
          <w:b/>
          <w:bCs/>
          <w:lang w:val="en-US" w:eastAsia="zh-CN"/>
        </w:rPr>
        <w:t>（</w:t>
      </w:r>
      <w:r>
        <w:rPr>
          <w:rFonts w:hint="default" w:ascii="Times New Roman Regular" w:hAnsi="Times New Roman Regular" w:cs="Times New Roman Regular"/>
          <w:b/>
          <w:bCs/>
          <w:color w:val="7030A0"/>
          <w:lang w:val="en-US" w:eastAsia="zh-CN"/>
        </w:rPr>
        <w:t>T2_low 内 E1 vs E2 的最小基因面板（LODO-LASSO）（Minimal panel for E1/E2）</w:t>
      </w:r>
    </w:p>
    <w:p w14:paraId="032A63D9">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Input data and preprocessing</w:t>
      </w:r>
    </w:p>
    <w:p w14:paraId="712ED389">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started from a sample-level table of non-T2 epithelial axis scores standardized within each dataset (nonT2_axes_scores_zWithinGSE.csv). This table contained per-sample z-scored activities for six predefined non-T2 epithelial programs—BarrierRepair, IFN_Antiviral, IL1_Inflammasome, Th17_Neutrophil, OxStress_NRF2, and EMT_Fibrosis—computed upstream and then standardized to zero mean and unit variance within each GEO series (GSE) to minimize dataset-level offsets. When present, the cohort field was used to separate discovery and validation samples; otherwise, all samples were treated as discovery. Column name inconsistencies (e.g., cohort.x, GSE.x) were programmatically harmonized to cohort, GSE, and sample_id. All analyses were performed in R with set.seed(42).</w:t>
      </w:r>
    </w:p>
    <w:p w14:paraId="2CFF57D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Automatic selection of the best separating 1D axis (discovery only)</w:t>
      </w:r>
    </w:p>
    <w:p w14:paraId="597D6F7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avoid manual axis selection, we automatically identified the single axis that most consistently supported a two-group separation across discovery datasets. For each candidate axis among the six programs, we evaluated within-GSE 1D k-means clustering (k=2; nstart=50) using the axis value alone, and quantified separation via the mean silhouette width computed from Euclidean distances in one dimension (silhouette(…, dist(x))). This produced one silhouette score per GSE per axis; GSEs with insufficient information were excluded (axis values with &lt;2 unique values or &lt;10 samples). For each axis, silhouette scores were averaged across evaluable GSEs, and the best axis was defined as the one with the highest cross-GSE mean silhouette. The full ranking (mean silhouette and number of contributing GSEs) was saved (planA_axis_silhouette_rank.csv).</w:t>
      </w:r>
    </w:p>
    <w:p w14:paraId="78762CA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Rule-based endotype assignment (E1/E2) within each dataset</w:t>
      </w:r>
    </w:p>
    <w:p w14:paraId="2D08E58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Using the selected axis, we assigned rule-based endotypes independently within each GSE to preserve interpretability and avoid cross-platform thresholding. Specifically, within each GSE we fit 1D k-means (k=2; nstart=50) on the best-axis z-score. Clusters were then oriented by their mean axis value: the cluster with higher mean best-axis score was labeled E1, and the other E2. Endotypes were stored as an ordered factor (E1, E2), and the discovery endotype table was exported (nonT2_endotypes_planA.csv or cohort-specific variants).</w:t>
      </w:r>
    </w:p>
    <w:p w14:paraId="51CC612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Descriptive endotype characterization and visualization</w:t>
      </w:r>
    </w:p>
    <w:p w14:paraId="5C3BC0FF">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Endotype axis profiles were summarized as mean axis z-scores per endotype (discovery and validation separately). Publication-style bar plots were generated for (i) endotype axis profiles, and (ii) endotype composition per dataset, displayed as stacked fractions within each GSE. For “top-journal” style figures, optional summaries included 95% confidence intervals around endotype means (mean ± 1.96×SE) based on sample-level scores, with a zero baseline for interpretability of z-scores. All figures were saved in PDF/PNG with consistent typography and margins.</w:t>
      </w:r>
    </w:p>
    <w:p w14:paraId="5A2285D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Supervised predictability assessment under leave-one-dataset-out (LODO) in discovery</w:t>
      </w:r>
    </w:p>
    <w:p w14:paraId="5B522D5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quantify cross-dataset generalization of the multi-axis representation, we trained a supervised model to predict the rule-based endotype label from the six-axis feature vector and evaluated performance under leave-one-dataset-out (LODO) cross-validation across discovery GSEs. For each held-out GSE:</w:t>
      </w:r>
    </w:p>
    <w:p w14:paraId="4F843ED0">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Training samples were all discovery samples not in the held-out GSE; test samples were the held-out GSE (skipping folds with &lt;10 test samples or degenerate training labels).</w:t>
      </w:r>
    </w:p>
    <w:p w14:paraId="5AA22C05">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Features were re-standardized using training statistics only (per-axis mean and SD computed on training; SD floored at 1e-8), and the same scaling was applied to the held-out set.</w:t>
      </w:r>
    </w:p>
    <w:p w14:paraId="38D2E08D">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logistic elastic-net model was trained using glmnet with binomial family, α=0.5 (elastic net), and 5-fold internal CV to select λ_min (cv.glmnet(..., nfolds=5)), followed by refitting at lambda.min.</w:t>
      </w:r>
    </w:p>
    <w:p w14:paraId="647A46F1">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Predicted probabilities P(E1)P(\mathrm{E1})P(E1) were obtained on held-out samples.</w:t>
      </w:r>
    </w:p>
    <w:p w14:paraId="66CF333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Performance was summarized per held-out GSE using ROC AUC (pROC) and PR-AUC (PRROC), saved to planA_LODO_metrics.csv; sample-level predictions were saved to planA_LODO_pred.csv. For calibration, predicted probabilities were binned into deciles by empirical quantiles (with safeguards for ties), and within each bin we computed the mean predicted probability and observed E1 rate, saved to planA_LODO_calibration_bins.csv. “Pooled” calibration curves were constructed by aggregating all LODO predictions.</w:t>
      </w:r>
    </w:p>
    <w:p w14:paraId="4DDD1FBD">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External validation: rule replication and supervised transfer</w:t>
      </w:r>
    </w:p>
    <w:p w14:paraId="23E6AB9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external validation datasets, we performed two complementary evaluations:</w:t>
      </w:r>
    </w:p>
    <w:p w14:paraId="4337B325">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Structure replication (unsupervised rule replication): the same within-GSE 1D k-means (k=2) on the pre-selected best axis was applied to validation GSEs, labeling E1/E2 by the higher mean axis cluster as in discovery. This tests whether the same axis supports a similar two-group structure in independent cohorts.</w:t>
      </w:r>
    </w:p>
    <w:p w14:paraId="65A81F04">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Supervised transfer (predictability): a final elastic-net logistic model (same settings: binomial glmnet, α=0.5, 5-fold CV for λ_min) was trained on all discovery samples using the six-axis feature vector (with training-only scaling), then applied to validation samples to obtain P(E1)P(\mathrm{E1})P(E1). When validation “ground truth” was required for metric computation, the rule-based validation labels were used as the reference to quantify consistency between model predictions and replicated structure. Validation AUC/PR-AUC were saved (planA_validation_metrics.csv), along with per-sample predicted probabilities (planA_validation_pred.csv). Calibration in validation used decile-binned predicted probabilities and observed E1 rates, analogous to discovery.</w:t>
      </w:r>
    </w:p>
    <w:p w14:paraId="0F203E5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Software and reproducibility</w:t>
      </w:r>
    </w:p>
    <w:p w14:paraId="470EFAA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All analyses were conducted in R using data.table, dplyr, cluster, glmnet, pROC, and PRROC. Randomness in k-means initialization and model CV splits was controlled with set.seed(42). Key hyperparameters were fixed a priori: k=2 for 1D clustering; nstart=50; silhouette-based axis selection across GSEs; elastic-net logistic regression with α=0.5, 5-fold CV, and λ_min selection; and training-only scaling for all predictive evaluations.</w:t>
      </w:r>
    </w:p>
    <w:p w14:paraId="286419A6">
      <w:pPr>
        <w:rPr>
          <w:rFonts w:hint="default" w:ascii="Times New Roman Regular" w:hAnsi="Times New Roman Regular" w:cs="Times New Roman Regular"/>
          <w:lang w:val="en-US" w:eastAsia="zh-CN"/>
        </w:rPr>
      </w:pPr>
    </w:p>
    <w:p w14:paraId="31B47C53">
      <w:pPr>
        <w:rPr>
          <w:rFonts w:hint="default" w:ascii="Times New Roman Regular" w:hAnsi="Times New Roman Regular" w:cs="Times New Roman Regular"/>
          <w:lang w:val="en-US" w:eastAsia="zh-CN"/>
        </w:rPr>
      </w:pPr>
    </w:p>
    <w:p w14:paraId="351FD7A9">
      <w:pPr>
        <w:rPr>
          <w:rFonts w:hint="default" w:ascii="Times New Roman Regular" w:hAnsi="Times New Roman Regular" w:cs="Times New Roman Regular"/>
          <w:lang w:val="en-US" w:eastAsia="zh-CN"/>
        </w:rPr>
      </w:pPr>
    </w:p>
    <w:p w14:paraId="0D02E22A">
      <w:pPr>
        <w:rPr>
          <w:rFonts w:hint="default" w:ascii="Times New Roman Regular" w:hAnsi="Times New Roman Regular" w:cs="Times New Roman Regular"/>
          <w:lang w:val="en-US" w:eastAsia="zh-CN"/>
        </w:rPr>
      </w:pPr>
    </w:p>
    <w:p w14:paraId="535AF29C">
      <w:pPr>
        <w:rPr>
          <w:rFonts w:hint="default" w:ascii="Times New Roman Regular" w:hAnsi="Times New Roman Regular" w:cs="Times New Roman Regular"/>
          <w:lang w:val="en-US" w:eastAsia="zh-CN"/>
        </w:rPr>
      </w:pPr>
    </w:p>
    <w:p w14:paraId="5DA7C4C8">
      <w:pPr>
        <w:rPr>
          <w:rFonts w:hint="default" w:ascii="Times New Roman Regular" w:hAnsi="Times New Roman Regular" w:cs="Times New Roman Regular"/>
          <w:lang w:val="en-US" w:eastAsia="zh-CN"/>
        </w:rPr>
      </w:pPr>
    </w:p>
    <w:p w14:paraId="7174DC12">
      <w:pPr>
        <w:rPr>
          <w:rFonts w:hint="default" w:ascii="Times New Roman Regular" w:hAnsi="Times New Roman Regular" w:cs="Times New Roman Regular"/>
          <w:lang w:val="en-US" w:eastAsia="zh-CN"/>
        </w:rPr>
      </w:pPr>
    </w:p>
    <w:p w14:paraId="25663D3C">
      <w:pPr>
        <w:rPr>
          <w:rFonts w:hint="default" w:ascii="Times New Roman Regular" w:hAnsi="Times New Roman Regular" w:cs="Times New Roman Regular"/>
          <w:lang w:val="en-US" w:eastAsia="zh-CN"/>
        </w:rPr>
      </w:pPr>
    </w:p>
    <w:p w14:paraId="5BEED4E1">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Supplementary Methods</w:t>
      </w:r>
      <w:r>
        <w:rPr>
          <w:rFonts w:hint="eastAsia" w:ascii="Times New Roman Bold" w:hAnsi="Times New Roman Bold" w:cs="Times New Roman Bold"/>
          <w:b/>
          <w:bCs/>
          <w:lang w:val="en-US" w:eastAsia="zh-CN"/>
        </w:rPr>
        <w:t xml:space="preserve"> 7</w:t>
      </w:r>
      <w:r>
        <w:rPr>
          <w:rFonts w:hint="default" w:ascii="Times New Roman Bold" w:hAnsi="Times New Roman Bold" w:cs="Times New Roman Bold"/>
          <w:b/>
          <w:bCs/>
          <w:lang w:val="en-US" w:eastAsia="zh-CN"/>
        </w:rPr>
        <w:t>: Differential expression, cross-dataset consensus, and pathway validation for non-T2 endotypes (E1/E2) within T2-low epithelium</w:t>
      </w:r>
    </w:p>
    <w:p w14:paraId="28880544">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Overview and inputs</w:t>
      </w:r>
    </w:p>
    <w:p w14:paraId="1CB339F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performed within–T2-low differential expression and multi-dataset consensus analysis to characterize non-T2 endotypes (E1/E2). Endotype labels were obtained from the discovery endotyping output (nonT2_endotypes_discovery.csv) restricted to samples annotated as E1 or E2 and belonging to the discovery cohort (when a cohort column was present). For each discovery dataset (GSE), we used a preprocessed expression matrix stored as an RDS object (genes × samples). Matrices were allowed to be either (i) expression values (e.g., log-scale) or (ii) z-score–standardized within GSE (zWithinGSE), in which case the estimated effect corresponds to a difference in mean z-scores (Δz) between endotypes; directional interpretation remains valid.</w:t>
      </w:r>
    </w:p>
    <w:p w14:paraId="061D3F35">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Expression matrix harmonization and preprocessing</w:t>
      </w:r>
    </w:p>
    <w:p w14:paraId="4BD7970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Gene identifiers were normalized by converting symbols to uppercase, trimming whitespace, and removing trailing version suffixes (e.g., “.1”, “.2”). When duplicate gene symbols were present, expression values were collapsed by taking the mean across duplicates (row-wise). Missing expression values, if any, were imputed by gene-wise mean imputation (each missing entry replaced by the mean of the corresponding gene across available samples). Samples were aligned by intersecting sample identifiers between the endotype table and the expression matrix column names; datasets were skipped if insufficient overlap was observed.</w:t>
      </w:r>
    </w:p>
    <w:p w14:paraId="00831EAF">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Per-dataset differential expression (limma) within T2-low</w:t>
      </w:r>
    </w:p>
    <w:p w14:paraId="14DDF4B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GSE independently, we tested E1 vs E2 within T2-low using limma. Endotype groups were encoded as a two-level factor with the reference ordering E2, E1, such that the estimated effect corresponds to E1 − E2. We fitted a no-intercept design matrix (~0 + grp) and evaluated the contrast E1 − E2 using empirical Bayes moderation (eBayes). Genes were ranked by p-value and full tables were retained.</w:t>
      </w:r>
    </w:p>
    <w:p w14:paraId="00693176">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Inclusion criteria (per GSE):</w:t>
      </w:r>
    </w:p>
    <w:p w14:paraId="63E4D006">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At least MIN_N_PER_GROUP samples per endotype group were required (implemented as MIN_N_PER_GROUP = 4).</w:t>
      </w:r>
    </w:p>
    <w:p w14:paraId="4E0E2336">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At least 2 × MIN_N_PER_GROUP aligned samples were required after sample matching.</w:t>
      </w:r>
    </w:p>
    <w:p w14:paraId="72700EFB">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Datasets with constant/degenerate group structure were excluded implicitly by the group-size rule.</w:t>
      </w:r>
    </w:p>
    <w:p w14:paraId="674854F1">
      <w:pPr>
        <w:rPr>
          <w:rFonts w:hint="default" w:ascii="Times New Roman Regular" w:hAnsi="Times New Roman Regular" w:cs="Times New Roman Regular"/>
          <w:lang w:val="en-US" w:eastAsia="zh-CN"/>
        </w:rPr>
      </w:pPr>
      <w:r>
        <w:rPr>
          <w:rFonts w:hint="default" w:ascii="Times New Roman Bold" w:hAnsi="Times New Roman Bold" w:cs="Times New Roman Bold"/>
          <w:b/>
          <w:bCs/>
          <w:lang w:val="en-US" w:eastAsia="zh-CN"/>
        </w:rPr>
        <w:t>Significance definition (per GSE):</w:t>
      </w:r>
      <w:r>
        <w:rPr>
          <w:rFonts w:hint="default" w:ascii="Times New Roman Bold" w:hAnsi="Times New Roman Bold" w:cs="Times New Roman Bold"/>
          <w:b/>
          <w:bCs/>
          <w:lang w:val="en-US" w:eastAsia="zh-CN"/>
        </w:rPr>
        <w:br w:type="textWrapping"/>
      </w:r>
      <w:r>
        <w:rPr>
          <w:rFonts w:hint="default" w:ascii="Times New Roman Regular" w:hAnsi="Times New Roman Regular" w:cs="Times New Roman Regular"/>
          <w:lang w:val="en-US" w:eastAsia="zh-CN"/>
        </w:rPr>
        <w:t>A gene was called significant if it met both:</w:t>
      </w:r>
    </w:p>
    <w:p w14:paraId="7213728A">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Benjamini–Hochberg FDR ≤ FDR_CUT (implemented as FDR_CUT = 0.05), and</w:t>
      </w:r>
    </w:p>
    <w:p w14:paraId="25019A25">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Absolute effect size |E1 − E2| ≥ EFF_CUT (implemented as EFF_CUT = 0.15).</w:t>
      </w:r>
    </w:p>
    <w:p w14:paraId="76A7CAA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interpretation, genes with positive effects were labeled E1_high and those with negative effects E2_high.</w:t>
      </w:r>
    </w:p>
    <w:p w14:paraId="2BBAA7FD">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Outputs included a diagnostics table (aligned sample counts and per-group counts), a complete per-GSE DEG table, and a per-GSE significant subset.</w:t>
      </w:r>
    </w:p>
    <w:p w14:paraId="5260E7F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Cross-dataset consensus DEG definition</w:t>
      </w:r>
    </w:p>
    <w:p w14:paraId="593B822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identify robust endotype-associated genes across datasets, we performed a consensus vote across discovery GSEs using only genes meeting the per-GSE significance criteria above. For each gene, we counted the number of datasets with significant positive effects (supporting E1_high) and significant negative effects (supporting E2_high). A gene was considered a consensus DEG if it was significant in at least CONSENSUS_K datasets with the same direction (implemented as CONSENSUS_K = 2, corresponding to ≥2/3 datasets). Genes failing directional agreement (i.e., mixed signs or insufficient support) were excluded. For reporting, we summarized for each consensus gene: number of significant supporting datasets, counts of positive/negative support, median effect size across supporting datasets, and minimum FDR observed.</w:t>
      </w:r>
    </w:p>
    <w:p w14:paraId="7A946372">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Visualization of per-dataset DEG and consensus summary</w:t>
      </w:r>
    </w:p>
    <w:p w14:paraId="7F01EAE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GSE, volcano plots were generated using:</w:t>
      </w:r>
    </w:p>
    <w:p w14:paraId="566AC514">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x-axis: effect size (E1 − E2),</w:t>
      </w:r>
    </w:p>
    <w:p w14:paraId="7A05492E">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y-axis: −log10(FDR),</w:t>
      </w:r>
    </w:p>
    <w:p w14:paraId="034B4F8B">
      <w:pPr>
        <w:numPr>
          <w:ilvl w:val="0"/>
          <w:numId w:val="3"/>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dashed thresholds at FDR = FDR_CUT and effect size = ±EFF_CUT.</w:t>
      </w:r>
    </w:p>
    <w:p w14:paraId="1F62392B">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Significant genes were colored by direction (E1_high vs E2_high), and non-significant genes were shown in light grey. To avoid overcrowding, gene labels were restricted to top-ranked significant genes (by FDR), with an optional balanced strategy labeling the top N genes from each direction. A consensus summary bar plot reported the number of consensus genes in each direction (E1_high and E2_high).</w:t>
      </w:r>
    </w:p>
    <w:p w14:paraId="0670B1F6">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Pathway validation by over-representation analysis (ORA)</w:t>
      </w:r>
    </w:p>
    <w:p w14:paraId="47293A3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We validated consensus signatures using ORA separately for consensus E1_high and consensus E2_high gene sets.</w:t>
      </w:r>
    </w:p>
    <w:p w14:paraId="1FD32444">
      <w:pPr>
        <w:rPr>
          <w:rFonts w:hint="default" w:ascii="Times New Roman Regular" w:hAnsi="Times New Roman Regular" w:cs="Times New Roman Regular"/>
          <w:lang w:val="en-US" w:eastAsia="zh-CN"/>
        </w:rPr>
      </w:pPr>
      <w:r>
        <w:rPr>
          <w:rFonts w:hint="default" w:ascii="Times New Roman Bold" w:hAnsi="Times New Roman Bold" w:cs="Times New Roman Bold"/>
          <w:b/>
          <w:bCs/>
          <w:lang w:val="en-US" w:eastAsia="zh-CN"/>
        </w:rPr>
        <w:t>Hallmark gene sets:</w:t>
      </w:r>
      <w:r>
        <w:rPr>
          <w:rFonts w:hint="default" w:ascii="Times New Roman Bold" w:hAnsi="Times New Roman Bold" w:cs="Times New Roman Bold"/>
          <w:b/>
          <w:bCs/>
          <w:lang w:val="en-US" w:eastAsia="zh-CN"/>
        </w:rPr>
        <w:br w:type="textWrapping"/>
      </w:r>
      <w:r>
        <w:rPr>
          <w:rFonts w:hint="default" w:ascii="Times New Roman Regular" w:hAnsi="Times New Roman Regular" w:cs="Times New Roman Regular"/>
          <w:lang w:val="en-US" w:eastAsia="zh-CN"/>
        </w:rPr>
        <w:t>Hallmark pathways were obtained from MSigDB (category H) using msigdbr. ORA was performed with clusterProfiler::enricher using a TERM2GENE mapping constructed from Hallmark gene sets. Results were retained broadly (permissive cutoffs during computation), and dot plots reported the top enriched terms ranked by adjusted p-value, showing −log10(FDR) and gene counts.</w:t>
      </w:r>
    </w:p>
    <w:p w14:paraId="5B281757">
      <w:pPr>
        <w:rPr>
          <w:rFonts w:hint="default" w:ascii="Times New Roman Regular" w:hAnsi="Times New Roman Regular" w:cs="Times New Roman Regular"/>
          <w:lang w:val="en-US" w:eastAsia="zh-CN"/>
        </w:rPr>
      </w:pPr>
      <w:r>
        <w:rPr>
          <w:rFonts w:hint="default" w:ascii="Times New Roman Bold" w:hAnsi="Times New Roman Bold" w:cs="Times New Roman Bold"/>
          <w:b/>
          <w:bCs/>
          <w:lang w:val="en-US" w:eastAsia="zh-CN"/>
        </w:rPr>
        <w:t>GO Biological Process (BP):</w:t>
      </w:r>
      <w:r>
        <w:rPr>
          <w:rFonts w:hint="default" w:ascii="Times New Roman Bold" w:hAnsi="Times New Roman Bold" w:cs="Times New Roman Bold"/>
          <w:b/>
          <w:bCs/>
          <w:lang w:val="en-US" w:eastAsia="zh-CN"/>
        </w:rPr>
        <w:br w:type="textWrapping"/>
      </w:r>
      <w:r>
        <w:rPr>
          <w:rFonts w:hint="default" w:ascii="Times New Roman Regular" w:hAnsi="Times New Roman Regular" w:cs="Times New Roman Regular"/>
          <w:lang w:val="en-US" w:eastAsia="zh-CN"/>
        </w:rPr>
        <w:t>Consensus gene symbols were mapped to Entrez IDs using clusterProfiler::bitr with org.Hs.eg.db. GO BP enrichment was performed using clusterProfiler::enrichGO with Benjamini–Hochberg adjustment. As above, enrichment was computed with permissive internal cutoffs to retain the full result table, and downstream reporting emphasized the most significant terms.</w:t>
      </w:r>
    </w:p>
    <w:p w14:paraId="00A5B8A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All enrichment outputs were saved separately for upregulated (E1_high) and downregulated (E2_high) consensus gene sets, alongside publication-ready dot plots.</w:t>
      </w:r>
    </w:p>
    <w:p w14:paraId="0CE92146">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Software and key parameters</w:t>
      </w:r>
    </w:p>
    <w:p w14:paraId="3E3BDC68">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Analyses were performed in R using: limma, clusterProfiler, org.Hs.eg.db, and msigdbr, with a fixed random seed (set.seed(42)) to ensure reproducibility for any stochastic components (e.g., label placement in plots). Key thresholds were: MIN_N_PER_GROUP = 4, FDR_CUT = 0.05, EFF_CUT = 0.15, and CONSENSUS_K = 2.</w:t>
      </w:r>
    </w:p>
    <w:p w14:paraId="4E25468A">
      <w:pPr>
        <w:rPr>
          <w:rFonts w:hint="default" w:ascii="Times New Roman Regular" w:hAnsi="Times New Roman Regular" w:cs="Times New Roman Regular"/>
          <w:lang w:val="en-US" w:eastAsia="zh-CN"/>
        </w:rPr>
      </w:pPr>
    </w:p>
    <w:p w14:paraId="4E09A7E0">
      <w:pPr>
        <w:rPr>
          <w:rFonts w:hint="default" w:ascii="Times New Roman Regular" w:hAnsi="Times New Roman Regular" w:cs="Times New Roman Regular"/>
          <w:lang w:val="en-US" w:eastAsia="zh-CN"/>
        </w:rPr>
      </w:pPr>
    </w:p>
    <w:p w14:paraId="1142A6CF">
      <w:pPr>
        <w:rPr>
          <w:rFonts w:hint="default" w:ascii="Times New Roman Regular" w:hAnsi="Times New Roman Regular" w:cs="Times New Roman Regular"/>
          <w:lang w:val="en-US" w:eastAsia="zh-CN"/>
        </w:rPr>
      </w:pPr>
    </w:p>
    <w:p w14:paraId="489B32C6">
      <w:pPr>
        <w:rPr>
          <w:rFonts w:hint="default" w:ascii="Times New Roman Regular" w:hAnsi="Times New Roman Regular" w:cs="Times New Roman Regular"/>
          <w:lang w:val="en-US" w:eastAsia="zh-CN"/>
        </w:rPr>
      </w:pPr>
    </w:p>
    <w:p w14:paraId="455ABAFB">
      <w:pPr>
        <w:rPr>
          <w:rFonts w:hint="default" w:ascii="Times New Roman Regular" w:hAnsi="Times New Roman Regular" w:cs="Times New Roman Regular"/>
          <w:lang w:val="en-US" w:eastAsia="zh-CN"/>
        </w:rPr>
      </w:pPr>
    </w:p>
    <w:p w14:paraId="3E646B58">
      <w:pPr>
        <w:rPr>
          <w:rFonts w:hint="default" w:ascii="Times New Roman Regular" w:hAnsi="Times New Roman Regular" w:cs="Times New Roman Regular"/>
          <w:lang w:val="en-US" w:eastAsia="zh-CN"/>
        </w:rPr>
      </w:pPr>
    </w:p>
    <w:p w14:paraId="4FCD8FB6">
      <w:pPr>
        <w:rPr>
          <w:rFonts w:hint="default" w:ascii="Times New Roman Regular" w:hAnsi="Times New Roman Regular" w:cs="Times New Roman Regular"/>
          <w:lang w:val="en-US" w:eastAsia="zh-CN"/>
        </w:rPr>
      </w:pPr>
    </w:p>
    <w:p w14:paraId="1C4FCB17">
      <w:pPr>
        <w:rPr>
          <w:rFonts w:hint="default" w:ascii="Times New Roman Regular" w:hAnsi="Times New Roman Regular" w:cs="Times New Roman Regular"/>
          <w:lang w:val="en-US" w:eastAsia="zh-CN"/>
        </w:rPr>
      </w:pPr>
    </w:p>
    <w:p w14:paraId="765B63BC">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Supplementary Methods: Plan A (Enhanced) — Automatic 1D axis selection and rule-based non-T2 endotyping in T2-low epithelium, with LODO validation and external replication</w:t>
      </w:r>
    </w:p>
    <w:p w14:paraId="4C49A7E7">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Overview and inputs</w:t>
      </w:r>
    </w:p>
    <w:p w14:paraId="3ECF62EE">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Plan A defines two non-T2 epithelial endotypes (E1/E2) within T2-low samples using a single best-separating axis selected automatically from a predefined multi-axis panel. The primary input is a sample-level table of within-dataset standardized axis scores (nonT2_axes_scores_zWithinGSE.csv), containing (i) sample_id, (ii) GSE (dataset identifier), (iii) cohort (discovery/validation), and (iv) six non-T2 axis scores: BarrierRepair, IFN_Antiviral, IL1_Inflammasome, Th17_Neutrophil, OxStress_NRF2, EMT_Fibrosis. All analyses were implemented in R, with reproducibility ensured by setting a fixed random seed (set.seed(42)).</w:t>
      </w:r>
    </w:p>
    <w:p w14:paraId="76E034A7">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Automatic 1D axis selection (discovery only)</w:t>
      </w:r>
    </w:p>
    <w:p w14:paraId="2CB1E850">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avoid manual axis choice, the “best” 1D axis was selected using discovery datasets only by quantifying how well each candidate axis supports a stable two-cluster split across datasets.</w:t>
      </w:r>
    </w:p>
    <w:p w14:paraId="530A1D9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candidate axis (a):</w:t>
      </w:r>
    </w:p>
    <w:p w14:paraId="7A04F9C4">
      <w:pPr>
        <w:numPr>
          <w:ilvl w:val="0"/>
          <w:numId w:val="4"/>
        </w:num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Within each discovery dataset (g) (GSE), extract the axis values (x_{ig}) for all samples in that dataset.</w:t>
      </w:r>
    </w:p>
    <w:p w14:paraId="4C8F34A7">
      <w:pPr>
        <w:numPr>
          <w:ilvl w:val="0"/>
          <w:numId w:val="4"/>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If (n_g &lt; 10) or the axis has insufficient variability, skip that dataset for this axis.</w:t>
      </w:r>
    </w:p>
    <w:p w14:paraId="74E51BC8">
      <w:pPr>
        <w:numPr>
          <w:ilvl w:val="0"/>
          <w:numId w:val="4"/>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Perform k-means clustering on the 1D values with k=2 and nstart=50.</w:t>
      </w:r>
    </w:p>
    <w:p w14:paraId="5F74EF77">
      <w:pPr>
        <w:numPr>
          <w:ilvl w:val="0"/>
          <w:numId w:val="4"/>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Compute the average silhouette width using Euclidean distance on the 1D values.</w:t>
      </w:r>
    </w:p>
    <w:p w14:paraId="6C9E9110">
      <w:pPr>
        <w:numPr>
          <w:ilvl w:val="0"/>
          <w:numId w:val="4"/>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Aggregate per-axis performance as the mean silhouette width across eligible GSEs (and record the number of contributing GSEs).</w:t>
      </w:r>
    </w:p>
    <w:p w14:paraId="67876077">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The axis with the highest mean silhouette was selected as the best_axis and used downstream.</w:t>
      </w:r>
    </w:p>
    <w:p w14:paraId="5E9C584E">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Rule-based endotype assignment (E1/E2)</w:t>
      </w:r>
    </w:p>
    <w:p w14:paraId="3022664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Endotypes were assigned within each dataset (GSE) using the selected best_axis:</w:t>
      </w:r>
    </w:p>
    <w:p w14:paraId="0029E4EE">
      <w:pPr>
        <w:numPr>
          <w:ilvl w:val="0"/>
          <w:numId w:val="5"/>
        </w:num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dataset (g), run k-means (k=2, nstart=50) on the 1D vector of best_axis scores.</w:t>
      </w:r>
    </w:p>
    <w:p w14:paraId="1BC30AB5">
      <w:pPr>
        <w:numPr>
          <w:ilvl w:val="0"/>
          <w:numId w:val="5"/>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Compute the mean best_axis score per cluster.</w:t>
      </w:r>
    </w:p>
    <w:p w14:paraId="14D389BD">
      <w:pPr>
        <w:numPr>
          <w:ilvl w:val="0"/>
          <w:numId w:val="5"/>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Label the cluster with higher mean best_axis as E1, and the lower as E2.</w:t>
      </w:r>
    </w:p>
    <w:p w14:paraId="53AF35D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This yields dataset-internal labels that are directionally harmonized across datasets by construction (E1 is always “axis-high”). The output is a sample-level table including sample_id, GSE, endotype, and the full axis panel.</w:t>
      </w:r>
    </w:p>
    <w:p w14:paraId="3BA80170">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Structural replication in external validation datasets</w:t>
      </w:r>
    </w:p>
    <w:p w14:paraId="135B0B73">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Using the same best_axis selected from discovery, the identical rule-based procedure (within-GSE k-means on the 1D axis, label high cluster as E1) was applied to validation datasets. Replication was assessed descriptively by comparing:</w:t>
      </w:r>
    </w:p>
    <w:p w14:paraId="0EDBD7A6">
      <w:pPr>
        <w:numPr>
          <w:ilvl w:val="0"/>
          <w:numId w:val="6"/>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Axis profiles: mean (and in some plots mean ± 95% CI) of each axis in E1 vs E2.</w:t>
      </w:r>
    </w:p>
    <w:p w14:paraId="260F4FDE">
      <w:pPr>
        <w:numPr>
          <w:ilvl w:val="0"/>
          <w:numId w:val="6"/>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Dataset composition: stacked fractions of E1/E2 within each GSE.</w:t>
      </w:r>
    </w:p>
    <w:p w14:paraId="3B3E1372">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Supervised “predictability” validation with leave-one-dataset-out (LODO)</w:t>
      </w:r>
    </w:p>
    <w:p w14:paraId="41D174E2">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To quantify whether endotypes generalize as a learnable pattern in the multi-axis space, we trained a supervised classifier using the six axis scores as features and the rule-based endotype (E1 vs E2) as labels.</w:t>
      </w:r>
    </w:p>
    <w:p w14:paraId="44165314">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Model. Elastic-net logistic regression using glmnet:</w:t>
      </w:r>
    </w:p>
    <w:p w14:paraId="5B7391E6">
      <w:pPr>
        <w:numPr>
          <w:ilvl w:val="0"/>
          <w:numId w:val="6"/>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Family: binomial</w:t>
      </w:r>
    </w:p>
    <w:p w14:paraId="3E092818">
      <w:pPr>
        <w:numPr>
          <w:ilvl w:val="0"/>
          <w:numId w:val="6"/>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Mixing parameter: α = 0.5</w:t>
      </w:r>
    </w:p>
    <w:p w14:paraId="58ECD084">
      <w:pPr>
        <w:numPr>
          <w:ilvl w:val="0"/>
          <w:numId w:val="6"/>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Regularization: λ chosen by 5-fold CV (using lambda.min)</w:t>
      </w:r>
    </w:p>
    <w:p w14:paraId="3EAF4895">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LODO protocol (discovery).</w:t>
      </w:r>
      <w:r>
        <w:rPr>
          <w:rFonts w:hint="default" w:ascii="Times New Roman Regular" w:hAnsi="Times New Roman Regular" w:cs="Times New Roman Regular"/>
          <w:lang w:val="en-US" w:eastAsia="zh-CN"/>
        </w:rPr>
        <w:br w:type="textWrapping"/>
      </w:r>
      <w:r>
        <w:rPr>
          <w:rFonts w:hint="default" w:ascii="Times New Roman Regular" w:hAnsi="Times New Roman Regular" w:cs="Times New Roman Regular"/>
          <w:lang w:val="en-US" w:eastAsia="zh-CN"/>
        </w:rPr>
        <w:t>For each held-out dataset (g):</w:t>
      </w:r>
    </w:p>
    <w:p w14:paraId="172BF97C">
      <w:pPr>
        <w:numPr>
          <w:ilvl w:val="0"/>
          <w:numId w:val="7"/>
        </w:num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Train on all other discovery datasets.</w:t>
      </w:r>
    </w:p>
    <w:p w14:paraId="5798F974">
      <w:pPr>
        <w:numPr>
          <w:ilvl w:val="0"/>
          <w:numId w:val="7"/>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Standardize features using training-set mean and SD (applied to both train and held-out test set).</w:t>
      </w:r>
    </w:p>
    <w:p w14:paraId="4CF59781">
      <w:pPr>
        <w:numPr>
          <w:ilvl w:val="0"/>
          <w:numId w:val="7"/>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Fit glmnet (CV selects λ), predict P(E1) for held-out samples.</w:t>
      </w:r>
    </w:p>
    <w:p w14:paraId="6C99E885">
      <w:pPr>
        <w:numPr>
          <w:ilvl w:val="0"/>
          <w:numId w:val="7"/>
        </w:numPr>
        <w:ind w:left="0" w:leftChars="0" w:firstLine="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Compute ROC AUC (pROC) and PR-AUC (PRROC) for each held-out GSE; also pool predictions across folds for global summaries.</w:t>
      </w:r>
    </w:p>
    <w:p w14:paraId="032875C0">
      <w:pPr>
        <w:rPr>
          <w:rFonts w:hint="default" w:ascii="Times New Roman Regular" w:hAnsi="Times New Roman Regular" w:cs="Times New Roman Regular"/>
          <w:lang w:val="en-US" w:eastAsia="zh-CN"/>
        </w:rPr>
      </w:pPr>
      <w:r>
        <w:rPr>
          <w:rFonts w:hint="default" w:ascii="Times New Roman Bold" w:hAnsi="Times New Roman Bold" w:cs="Times New Roman Bold"/>
          <w:b/>
          <w:bCs/>
          <w:lang w:val="en-US" w:eastAsia="zh-CN"/>
        </w:rPr>
        <w:t>Calibration (discovery, pooled LODO predictions).</w:t>
      </w:r>
      <w:r>
        <w:rPr>
          <w:rFonts w:hint="default" w:ascii="Times New Roman Bold" w:hAnsi="Times New Roman Bold" w:cs="Times New Roman Bold"/>
          <w:b/>
          <w:bCs/>
          <w:lang w:val="en-US" w:eastAsia="zh-CN"/>
        </w:rPr>
        <w:br w:type="textWrapping"/>
      </w:r>
      <w:r>
        <w:rPr>
          <w:rFonts w:hint="default" w:ascii="Times New Roman Regular" w:hAnsi="Times New Roman Regular" w:cs="Times New Roman Regular"/>
          <w:lang w:val="en-US" w:eastAsia="zh-CN"/>
        </w:rPr>
        <w:t>Calibration was evaluated using decile binning of predicted probabilities:</w:t>
      </w:r>
    </w:p>
    <w:p w14:paraId="79D83D78">
      <w:pPr>
        <w:numPr>
          <w:ilvl w:val="0"/>
          <w:numId w:val="8"/>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Bin samples by quantiles of predicted P(E1) (10 bins; robust handling of ties).</w:t>
      </w:r>
    </w:p>
    <w:p w14:paraId="5C78ADBC">
      <w:pPr>
        <w:numPr>
          <w:ilvl w:val="0"/>
          <w:numId w:val="8"/>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For each bin, compute mean predicted probability and observed E1 rate.</w:t>
      </w:r>
    </w:p>
    <w:p w14:paraId="3E4EB6D1">
      <w:pPr>
        <w:numPr>
          <w:ilvl w:val="0"/>
          <w:numId w:val="8"/>
        </w:numPr>
        <w:ind w:left="420" w:leftChars="0" w:hanging="420" w:firstLineChars="0"/>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Plot observed vs predicted against the y=x reference.</w:t>
      </w:r>
    </w:p>
    <w:p w14:paraId="3AFCEAE0">
      <w:pPr>
        <w:rPr>
          <w:rFonts w:hint="default" w:ascii="Times New Roman Bold" w:hAnsi="Times New Roman Bold" w:cs="Times New Roman Bold"/>
          <w:b/>
          <w:bCs/>
          <w:lang w:val="en-US" w:eastAsia="zh-CN"/>
        </w:rPr>
      </w:pPr>
      <w:r>
        <w:rPr>
          <w:rFonts w:hint="default" w:ascii="Times New Roman Bold" w:hAnsi="Times New Roman Bold" w:cs="Times New Roman Bold"/>
          <w:b/>
          <w:bCs/>
          <w:lang w:val="en-US" w:eastAsia="zh-CN"/>
        </w:rPr>
        <w:t>External supervised prediction (train discovery → test validation)</w:t>
      </w:r>
    </w:p>
    <w:p w14:paraId="1B03BABC">
      <w:pPr>
        <w:rPr>
          <w:rFonts w:hint="default" w:ascii="Times New Roman Regular" w:hAnsi="Times New Roman Regular" w:cs="Times New Roman Regular"/>
          <w:lang w:val="en-US" w:eastAsia="zh-CN"/>
        </w:rPr>
      </w:pPr>
      <w:r>
        <w:rPr>
          <w:rFonts w:hint="default" w:ascii="Times New Roman Regular" w:hAnsi="Times New Roman Regular" w:cs="Times New Roman Regular"/>
          <w:lang w:val="en-US" w:eastAsia="zh-CN"/>
        </w:rPr>
        <w:t>A final glmnet model was trained on all discovery samples (same preprocessing and CV for λ), then applied to validation samples after training-derived standardization. Performance summaries included ROC AUC, PR-AUC, and decile-binned calibration (when labels were available; in the provided implementation, validation “truth” can be the rule-based labels for structural consistency checks).</w:t>
      </w:r>
    </w:p>
    <w:p w14:paraId="38648730">
      <w:pPr>
        <w:rPr>
          <w:rFonts w:hint="default" w:ascii="Times New Roman Regular" w:hAnsi="Times New Roman Regular" w:cs="Times New Roman Regular"/>
          <w:lang w:val="en-US" w:eastAsia="zh-CN"/>
        </w:rPr>
      </w:pPr>
    </w:p>
    <w:p w14:paraId="2B792E46">
      <w:pPr>
        <w:rPr>
          <w:rFonts w:hint="default" w:ascii="Times New Roman Regular" w:hAnsi="Times New Roman Regular" w:cs="Times New Roman Regular"/>
          <w:lang w:val="en-US" w:eastAsia="zh-CN"/>
        </w:rPr>
      </w:pPr>
    </w:p>
    <w:p w14:paraId="0C03B151">
      <w:pPr>
        <w:rPr>
          <w:rFonts w:hint="default" w:ascii="Times New Roman Regular" w:hAnsi="Times New Roman Regular" w:cs="Times New Roman Regular"/>
          <w:lang w:val="en-US" w:eastAsia="zh-CN"/>
        </w:rPr>
      </w:pPr>
    </w:p>
    <w:p w14:paraId="35B9D3D8">
      <w:pPr>
        <w:rPr>
          <w:rFonts w:hint="default" w:ascii="Times New Roman Regular" w:hAnsi="Times New Roman Regular" w:cs="Times New Roman Regular"/>
          <w:lang w:val="en-US" w:eastAsia="zh-CN"/>
        </w:rPr>
      </w:pPr>
    </w:p>
    <w:p w14:paraId="25091D29">
      <w:pPr>
        <w:rPr>
          <w:rFonts w:hint="default" w:ascii="Times New Roman Regular" w:hAnsi="Times New Roman Regular" w:cs="Times New Roman Regular"/>
          <w:lang w:val="en-US" w:eastAsia="zh-CN"/>
        </w:rPr>
      </w:pPr>
    </w:p>
    <w:p w14:paraId="30AE694C">
      <w:pPr>
        <w:rPr>
          <w:rFonts w:hint="default" w:ascii="Times New Roman Regular" w:hAnsi="Times New Roman Regular" w:cs="Times New Roman Regular"/>
          <w:lang w:val="en-US" w:eastAsia="zh-CN"/>
        </w:rPr>
      </w:pPr>
    </w:p>
    <w:p w14:paraId="253C3BD0">
      <w:pPr>
        <w:rPr>
          <w:rFonts w:hint="default" w:ascii="Times New Roman Regular" w:hAnsi="Times New Roman Regular" w:cs="Times New Roman Regular"/>
          <w:lang w:val="en-US" w:eastAsia="zh-CN"/>
        </w:rPr>
      </w:pPr>
    </w:p>
    <w:p w14:paraId="6B808272">
      <w:pPr>
        <w:rPr>
          <w:rFonts w:hint="default" w:ascii="Times New Roman Regular" w:hAnsi="Times New Roman Regular" w:cs="Times New Roman Regular"/>
          <w:lang w:val="en-US" w:eastAsia="zh-CN"/>
        </w:rPr>
      </w:pPr>
    </w:p>
    <w:p w14:paraId="45900BCD">
      <w:pPr>
        <w:rPr>
          <w:rFonts w:hint="default" w:ascii="Times New Roman Regular" w:hAnsi="Times New Roman Regular" w:cs="Times New Roman Regular"/>
          <w:lang w:val="en-US" w:eastAsia="zh-CN"/>
        </w:rPr>
      </w:pPr>
    </w:p>
    <w:p w14:paraId="056B0201">
      <w:pPr>
        <w:rPr>
          <w:rFonts w:hint="default" w:ascii="Times New Roman Regular" w:hAnsi="Times New Roman Regular" w:cs="Times New Roman Regular"/>
          <w:lang w:val="en-US" w:eastAsia="zh-CN"/>
        </w:rPr>
      </w:pPr>
    </w:p>
    <w:p w14:paraId="22738147">
      <w:pPr>
        <w:rPr>
          <w:rFonts w:hint="default" w:ascii="Times New Roman Regular" w:hAnsi="Times New Roman Regular" w:cs="Times New Roman Regular"/>
          <w:lang w:val="en-US" w:eastAsia="zh-CN"/>
        </w:rPr>
      </w:pPr>
    </w:p>
    <w:p w14:paraId="07E3EA4A">
      <w:pPr>
        <w:rPr>
          <w:rFonts w:hint="default" w:ascii="Times New Roman Regular" w:hAnsi="Times New Roman Regular" w:cs="Times New Roman Regula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Times New Roman Bold">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Arial Unicode MS">
    <w:panose1 w:val="020B0604020202020204"/>
    <w:charset w:val="86"/>
    <w:family w:val="auto"/>
    <w:pitch w:val="default"/>
    <w:sig w:usb0="FFFFFFFF" w:usb1="E9FFFFFF" w:usb2="0000003F" w:usb3="00000000" w:csb0="603F01FF" w:csb1="FFFF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D65F18"/>
    <w:multiLevelType w:val="singleLevel"/>
    <w:tmpl w:val="B7D65F18"/>
    <w:lvl w:ilvl="0" w:tentative="0">
      <w:start w:val="1"/>
      <w:numFmt w:val="decimal"/>
      <w:suff w:val="space"/>
      <w:lvlText w:val="%1."/>
      <w:lvlJc w:val="left"/>
    </w:lvl>
  </w:abstractNum>
  <w:abstractNum w:abstractNumId="1">
    <w:nsid w:val="B97EEED3"/>
    <w:multiLevelType w:val="singleLevel"/>
    <w:tmpl w:val="B97EEED3"/>
    <w:lvl w:ilvl="0" w:tentative="0">
      <w:start w:val="1"/>
      <w:numFmt w:val="decimal"/>
      <w:suff w:val="space"/>
      <w:lvlText w:val="%1."/>
      <w:lvlJc w:val="left"/>
    </w:lvl>
  </w:abstractNum>
  <w:abstractNum w:abstractNumId="2">
    <w:nsid w:val="DBB9E009"/>
    <w:multiLevelType w:val="singleLevel"/>
    <w:tmpl w:val="DBB9E009"/>
    <w:lvl w:ilvl="0" w:tentative="0">
      <w:start w:val="1"/>
      <w:numFmt w:val="bullet"/>
      <w:lvlText w:val=""/>
      <w:lvlJc w:val="left"/>
      <w:pPr>
        <w:ind w:left="420" w:hanging="420"/>
      </w:pPr>
      <w:rPr>
        <w:rFonts w:hint="default" w:ascii="Wingdings" w:hAnsi="Wingdings"/>
      </w:rPr>
    </w:lvl>
  </w:abstractNum>
  <w:abstractNum w:abstractNumId="3">
    <w:nsid w:val="E6FA82DF"/>
    <w:multiLevelType w:val="singleLevel"/>
    <w:tmpl w:val="E6FA82DF"/>
    <w:lvl w:ilvl="0" w:tentative="0">
      <w:start w:val="1"/>
      <w:numFmt w:val="bullet"/>
      <w:lvlText w:val=""/>
      <w:lvlJc w:val="left"/>
      <w:pPr>
        <w:ind w:left="420" w:hanging="420"/>
      </w:pPr>
      <w:rPr>
        <w:rFonts w:hint="default" w:ascii="Wingdings" w:hAnsi="Wingdings"/>
      </w:rPr>
    </w:lvl>
  </w:abstractNum>
  <w:abstractNum w:abstractNumId="4">
    <w:nsid w:val="FFF52018"/>
    <w:multiLevelType w:val="singleLevel"/>
    <w:tmpl w:val="FFF52018"/>
    <w:lvl w:ilvl="0" w:tentative="0">
      <w:start w:val="1"/>
      <w:numFmt w:val="bullet"/>
      <w:lvlText w:val=""/>
      <w:lvlJc w:val="left"/>
      <w:pPr>
        <w:ind w:left="420" w:hanging="420"/>
      </w:pPr>
      <w:rPr>
        <w:rFonts w:hint="default" w:ascii="Wingdings" w:hAnsi="Wingdings"/>
      </w:rPr>
    </w:lvl>
  </w:abstractNum>
  <w:abstractNum w:abstractNumId="5">
    <w:nsid w:val="FFFCE4BF"/>
    <w:multiLevelType w:val="singleLevel"/>
    <w:tmpl w:val="FFFCE4BF"/>
    <w:lvl w:ilvl="0" w:tentative="0">
      <w:start w:val="1"/>
      <w:numFmt w:val="decimal"/>
      <w:suff w:val="space"/>
      <w:lvlText w:val="%1."/>
      <w:lvlJc w:val="left"/>
    </w:lvl>
  </w:abstractNum>
  <w:abstractNum w:abstractNumId="6">
    <w:nsid w:val="FFFF4D4D"/>
    <w:multiLevelType w:val="singleLevel"/>
    <w:tmpl w:val="FFFF4D4D"/>
    <w:lvl w:ilvl="0" w:tentative="0">
      <w:start w:val="1"/>
      <w:numFmt w:val="decimal"/>
      <w:suff w:val="space"/>
      <w:lvlText w:val="%1."/>
      <w:lvlJc w:val="left"/>
    </w:lvl>
  </w:abstractNum>
  <w:abstractNum w:abstractNumId="7">
    <w:nsid w:val="7AFED4DF"/>
    <w:multiLevelType w:val="singleLevel"/>
    <w:tmpl w:val="7AFED4DF"/>
    <w:lvl w:ilvl="0" w:tentative="0">
      <w:start w:val="1"/>
      <w:numFmt w:val="bullet"/>
      <w:lvlText w:val=""/>
      <w:lvlJc w:val="left"/>
      <w:pPr>
        <w:ind w:left="420" w:hanging="420"/>
      </w:pPr>
      <w:rPr>
        <w:rFonts w:hint="default" w:ascii="Wingdings" w:hAnsi="Wingdings"/>
      </w:rPr>
    </w:lvl>
  </w:abstractNum>
  <w:num w:numId="1">
    <w:abstractNumId w:val="3"/>
  </w:num>
  <w:num w:numId="2">
    <w:abstractNumId w:val="1"/>
  </w:num>
  <w:num w:numId="3">
    <w:abstractNumId w:val="7"/>
  </w:num>
  <w:num w:numId="4">
    <w:abstractNumId w:val="0"/>
  </w:num>
  <w:num w:numId="5">
    <w:abstractNumId w:val="5"/>
  </w:num>
  <w:num w:numId="6">
    <w:abstractNumId w:val="2"/>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760C55"/>
    <w:rsid w:val="657D456A"/>
    <w:rsid w:val="BADF68BE"/>
    <w:rsid w:val="BF760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TML Code"/>
    <w:basedOn w:val="7"/>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112</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2026-01-28T10:19:00Z</dcterms:created>
  <dc:creator>心海儿</dc:creator>
  <cp:lastModifiedBy>心海儿</cp:lastModifiedBy>
  <dcterms:modified xsi:type="dcterms:W3CDTF">2026-03-07T18:44:29Z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E44CAB6B7CFF6A971C9178694F60DE68_41</vt:lpwstr>
  </property>
</Properties>
</file>