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798BD" w14:textId="77777777" w:rsidR="00BA759F" w:rsidRPr="004F0B06" w:rsidRDefault="00BA759F" w:rsidP="00BA759F">
      <w:pPr>
        <w:spacing w:after="360" w:line="480" w:lineRule="auto"/>
        <w:jc w:val="both"/>
        <w:rPr>
          <w:b/>
          <w:color w:val="000000" w:themeColor="text1"/>
          <w:sz w:val="20"/>
          <w:szCs w:val="20"/>
          <w:lang w:val="en-US"/>
        </w:rPr>
      </w:pPr>
      <w:r w:rsidRPr="004F0B06">
        <w:rPr>
          <w:b/>
          <w:color w:val="000000" w:themeColor="text1"/>
          <w:sz w:val="20"/>
          <w:szCs w:val="20"/>
          <w:lang w:val="en-US"/>
        </w:rPr>
        <w:t>Supplementary Materials</w:t>
      </w:r>
    </w:p>
    <w:p w14:paraId="41446BC8" w14:textId="412CF1D9" w:rsidR="000E7B76" w:rsidRPr="004F0B06" w:rsidRDefault="000E7B76" w:rsidP="000E7B76">
      <w:pPr>
        <w:spacing w:after="360" w:line="480" w:lineRule="auto"/>
        <w:jc w:val="both"/>
        <w:rPr>
          <w:b/>
          <w:sz w:val="20"/>
          <w:szCs w:val="20"/>
          <w:lang w:val="en-US"/>
        </w:rPr>
      </w:pPr>
      <w:bookmarkStart w:id="0" w:name="_Hlk215946716"/>
      <w:bookmarkEnd w:id="0"/>
      <w:r w:rsidRPr="004F0B06">
        <w:rPr>
          <w:b/>
          <w:sz w:val="20"/>
          <w:szCs w:val="20"/>
          <w:lang w:val="en-US"/>
        </w:rPr>
        <w:t xml:space="preserve">Tumor Perfusion </w:t>
      </w:r>
      <w:r w:rsidR="00A61955" w:rsidRPr="004F0B06">
        <w:rPr>
          <w:b/>
          <w:sz w:val="20"/>
          <w:szCs w:val="20"/>
          <w:lang w:val="en-US"/>
        </w:rPr>
        <w:t>S</w:t>
      </w:r>
      <w:r w:rsidRPr="004F0B06">
        <w:rPr>
          <w:b/>
          <w:sz w:val="20"/>
          <w:szCs w:val="20"/>
          <w:lang w:val="en-US"/>
        </w:rPr>
        <w:t>hows Substantial Hour-Scale Temporal and Spatial Dynamics in Superresolution Ultrasound Measurements</w:t>
      </w:r>
    </w:p>
    <w:p w14:paraId="4B58E7E9" w14:textId="77777777" w:rsidR="009D483D" w:rsidRPr="004F0B06" w:rsidRDefault="009D483D" w:rsidP="009D483D">
      <w:pPr>
        <w:spacing w:after="360" w:line="480" w:lineRule="auto"/>
        <w:jc w:val="both"/>
        <w:rPr>
          <w:color w:val="000000" w:themeColor="text1"/>
          <w:sz w:val="20"/>
          <w:szCs w:val="20"/>
          <w:vertAlign w:val="superscript"/>
          <w:lang w:val="en-US"/>
        </w:rPr>
      </w:pPr>
      <w:r w:rsidRPr="004F0B06">
        <w:rPr>
          <w:color w:val="000000" w:themeColor="text1"/>
          <w:sz w:val="20"/>
          <w:szCs w:val="20"/>
          <w:lang w:val="en-US"/>
        </w:rPr>
        <w:t>Alexandra Raab</w:t>
      </w:r>
      <w:r w:rsidRPr="004F0B06">
        <w:rPr>
          <w:color w:val="000000" w:themeColor="text1"/>
          <w:sz w:val="20"/>
          <w:szCs w:val="20"/>
          <w:vertAlign w:val="superscript"/>
          <w:lang w:val="en-US"/>
        </w:rPr>
        <w:t>1</w:t>
      </w:r>
      <w:r w:rsidRPr="004F0B06">
        <w:rPr>
          <w:color w:val="000000" w:themeColor="text1"/>
          <w:sz w:val="20"/>
          <w:szCs w:val="20"/>
          <w:lang w:val="en-US"/>
        </w:rPr>
        <w:t>, Jasmin Baier</w:t>
      </w:r>
      <w:r w:rsidRPr="004F0B06">
        <w:rPr>
          <w:color w:val="000000" w:themeColor="text1"/>
          <w:sz w:val="20"/>
          <w:szCs w:val="20"/>
          <w:vertAlign w:val="superscript"/>
          <w:lang w:val="en-US"/>
        </w:rPr>
        <w:t>1</w:t>
      </w:r>
      <w:r w:rsidRPr="004F0B06">
        <w:rPr>
          <w:color w:val="000000" w:themeColor="text1"/>
          <w:sz w:val="20"/>
          <w:szCs w:val="20"/>
          <w:lang w:val="en-US"/>
        </w:rPr>
        <w:t>, Céline Porte</w:t>
      </w:r>
      <w:r w:rsidRPr="004F0B06">
        <w:rPr>
          <w:color w:val="000000" w:themeColor="text1"/>
          <w:sz w:val="20"/>
          <w:szCs w:val="20"/>
          <w:vertAlign w:val="superscript"/>
          <w:lang w:val="en-US"/>
        </w:rPr>
        <w:t>1</w:t>
      </w:r>
      <w:r w:rsidRPr="004F0B06">
        <w:rPr>
          <w:color w:val="000000" w:themeColor="text1"/>
          <w:sz w:val="20"/>
          <w:szCs w:val="20"/>
          <w:lang w:val="en-US"/>
        </w:rPr>
        <w:t>, Thomas Lisson</w:t>
      </w:r>
      <w:r w:rsidRPr="004F0B06">
        <w:rPr>
          <w:color w:val="000000" w:themeColor="text1"/>
          <w:sz w:val="20"/>
          <w:szCs w:val="20"/>
          <w:vertAlign w:val="superscript"/>
          <w:lang w:val="en-US"/>
        </w:rPr>
        <w:t>2</w:t>
      </w:r>
      <w:r w:rsidRPr="004F0B06">
        <w:rPr>
          <w:color w:val="000000" w:themeColor="text1"/>
          <w:sz w:val="20"/>
          <w:szCs w:val="20"/>
          <w:lang w:val="en-US"/>
        </w:rPr>
        <w:t>, Palma Emese Inczeffy</w:t>
      </w:r>
      <w:r w:rsidRPr="004F0B06">
        <w:rPr>
          <w:color w:val="000000" w:themeColor="text1"/>
          <w:sz w:val="20"/>
          <w:szCs w:val="20"/>
          <w:vertAlign w:val="superscript"/>
          <w:lang w:val="en-US"/>
        </w:rPr>
        <w:t>1</w:t>
      </w:r>
      <w:r w:rsidRPr="004F0B06">
        <w:rPr>
          <w:color w:val="000000" w:themeColor="text1"/>
          <w:sz w:val="20"/>
          <w:szCs w:val="20"/>
          <w:lang w:val="en-US"/>
        </w:rPr>
        <w:t>, Rahaf Mihyar</w:t>
      </w:r>
      <w:r w:rsidRPr="004F0B06">
        <w:rPr>
          <w:color w:val="000000" w:themeColor="text1"/>
          <w:sz w:val="20"/>
          <w:szCs w:val="20"/>
          <w:vertAlign w:val="superscript"/>
          <w:lang w:val="en-US"/>
        </w:rPr>
        <w:t>1</w:t>
      </w:r>
      <w:r w:rsidRPr="004F0B06">
        <w:rPr>
          <w:color w:val="000000" w:themeColor="text1"/>
          <w:sz w:val="20"/>
          <w:szCs w:val="20"/>
          <w:lang w:val="en-US"/>
        </w:rPr>
        <w:t>, Andreas Schuppert</w:t>
      </w:r>
      <w:r w:rsidRPr="004F0B06">
        <w:rPr>
          <w:color w:val="000000" w:themeColor="text1"/>
          <w:sz w:val="20"/>
          <w:szCs w:val="20"/>
          <w:vertAlign w:val="superscript"/>
          <w:lang w:val="en-US"/>
        </w:rPr>
        <w:t>3</w:t>
      </w:r>
      <w:r w:rsidRPr="004F0B06">
        <w:rPr>
          <w:color w:val="000000" w:themeColor="text1"/>
          <w:sz w:val="20"/>
          <w:szCs w:val="20"/>
          <w:lang w:val="en-US"/>
        </w:rPr>
        <w:t>, Renée Michèle Girbig</w:t>
      </w:r>
      <w:r w:rsidRPr="004F0B06">
        <w:rPr>
          <w:color w:val="000000" w:themeColor="text1"/>
          <w:sz w:val="20"/>
          <w:szCs w:val="20"/>
          <w:vertAlign w:val="superscript"/>
          <w:lang w:val="en-US"/>
        </w:rPr>
        <w:t>1</w:t>
      </w:r>
      <w:r w:rsidRPr="004F0B06">
        <w:rPr>
          <w:color w:val="000000" w:themeColor="text1"/>
          <w:sz w:val="20"/>
          <w:szCs w:val="20"/>
          <w:lang w:val="en-US"/>
        </w:rPr>
        <w:t>, Anne Rix</w:t>
      </w:r>
      <w:r w:rsidRPr="004F0B06">
        <w:rPr>
          <w:color w:val="000000" w:themeColor="text1"/>
          <w:sz w:val="20"/>
          <w:szCs w:val="20"/>
          <w:vertAlign w:val="superscript"/>
          <w:lang w:val="en-US"/>
        </w:rPr>
        <w:t>1</w:t>
      </w:r>
      <w:r w:rsidRPr="004F0B06">
        <w:rPr>
          <w:color w:val="000000" w:themeColor="text1"/>
          <w:sz w:val="20"/>
          <w:szCs w:val="20"/>
          <w:lang w:val="en-US"/>
        </w:rPr>
        <w:t>, Susanne Koletnik</w:t>
      </w:r>
      <w:r w:rsidRPr="004F0B06">
        <w:rPr>
          <w:color w:val="000000" w:themeColor="text1"/>
          <w:sz w:val="20"/>
          <w:szCs w:val="20"/>
          <w:vertAlign w:val="superscript"/>
          <w:lang w:val="en-US"/>
        </w:rPr>
        <w:t>1</w:t>
      </w:r>
      <w:r w:rsidRPr="004F0B06">
        <w:rPr>
          <w:color w:val="000000" w:themeColor="text1"/>
          <w:sz w:val="20"/>
          <w:szCs w:val="20"/>
          <w:lang w:val="en-US"/>
        </w:rPr>
        <w:t>, Jochen Maurer</w:t>
      </w:r>
      <w:r w:rsidRPr="004F0B06">
        <w:rPr>
          <w:color w:val="000000" w:themeColor="text1"/>
          <w:sz w:val="20"/>
          <w:szCs w:val="20"/>
          <w:vertAlign w:val="superscript"/>
          <w:lang w:val="en-US"/>
        </w:rPr>
        <w:t>4</w:t>
      </w:r>
      <w:r w:rsidRPr="004F0B06">
        <w:rPr>
          <w:color w:val="000000" w:themeColor="text1"/>
          <w:sz w:val="20"/>
          <w:szCs w:val="20"/>
          <w:lang w:val="en-US"/>
        </w:rPr>
        <w:t>, Stefanie Dencks</w:t>
      </w:r>
      <w:r w:rsidRPr="004F0B06">
        <w:rPr>
          <w:color w:val="000000" w:themeColor="text1"/>
          <w:sz w:val="20"/>
          <w:szCs w:val="20"/>
          <w:vertAlign w:val="superscript"/>
          <w:lang w:val="en-US"/>
        </w:rPr>
        <w:t>2</w:t>
      </w:r>
      <w:r w:rsidRPr="004F0B06">
        <w:rPr>
          <w:color w:val="000000" w:themeColor="text1"/>
          <w:sz w:val="20"/>
          <w:szCs w:val="20"/>
          <w:lang w:val="en-US"/>
        </w:rPr>
        <w:t>, Georg Schmitz</w:t>
      </w:r>
      <w:r w:rsidRPr="004F0B06">
        <w:rPr>
          <w:color w:val="000000" w:themeColor="text1"/>
          <w:sz w:val="20"/>
          <w:szCs w:val="20"/>
          <w:vertAlign w:val="superscript"/>
          <w:lang w:val="en-US"/>
        </w:rPr>
        <w:t>2</w:t>
      </w:r>
      <w:r w:rsidRPr="004F0B06">
        <w:rPr>
          <w:color w:val="000000" w:themeColor="text1"/>
          <w:sz w:val="20"/>
          <w:szCs w:val="20"/>
          <w:lang w:val="en-US"/>
        </w:rPr>
        <w:t>,</w:t>
      </w:r>
      <w:r w:rsidRPr="004F0B06">
        <w:rPr>
          <w:color w:val="000000" w:themeColor="text1"/>
          <w:sz w:val="20"/>
          <w:szCs w:val="20"/>
          <w:vertAlign w:val="superscript"/>
          <w:lang w:val="en-US"/>
        </w:rPr>
        <w:t xml:space="preserve"> </w:t>
      </w:r>
      <w:r w:rsidRPr="004F0B06">
        <w:rPr>
          <w:color w:val="000000" w:themeColor="text1"/>
          <w:sz w:val="20"/>
          <w:szCs w:val="20"/>
          <w:lang w:val="en-US"/>
        </w:rPr>
        <w:t>Fabian Kiessling</w:t>
      </w:r>
      <w:r w:rsidRPr="004F0B06">
        <w:rPr>
          <w:color w:val="000000" w:themeColor="text1"/>
          <w:sz w:val="20"/>
          <w:szCs w:val="20"/>
          <w:vertAlign w:val="superscript"/>
          <w:lang w:val="en-US"/>
        </w:rPr>
        <w:t>1*</w:t>
      </w:r>
    </w:p>
    <w:p w14:paraId="6D2F142F" w14:textId="7927920C" w:rsidR="000E7B76" w:rsidRPr="004F0B06" w:rsidRDefault="000E7B76" w:rsidP="000E7B76">
      <w:pPr>
        <w:spacing w:line="480" w:lineRule="auto"/>
        <w:jc w:val="both"/>
        <w:rPr>
          <w:color w:val="000000" w:themeColor="text1"/>
          <w:sz w:val="20"/>
          <w:szCs w:val="20"/>
          <w:lang w:val="en-US"/>
        </w:rPr>
      </w:pPr>
      <w:r w:rsidRPr="004F0B06">
        <w:rPr>
          <w:color w:val="000000" w:themeColor="text1"/>
          <w:sz w:val="20"/>
          <w:szCs w:val="20"/>
          <w:vertAlign w:val="superscript"/>
          <w:lang w:val="en-US"/>
        </w:rPr>
        <w:t>1</w:t>
      </w:r>
      <w:r w:rsidRPr="004F0B06">
        <w:rPr>
          <w:color w:val="000000" w:themeColor="text1"/>
          <w:sz w:val="20"/>
          <w:szCs w:val="20"/>
          <w:lang w:val="en-US"/>
        </w:rPr>
        <w:t xml:space="preserve"> Institute for Experimental Molecular Imaging, </w:t>
      </w:r>
      <w:r w:rsidR="00E46B26" w:rsidRPr="00B5507C">
        <w:rPr>
          <w:color w:val="222222"/>
          <w:sz w:val="20"/>
          <w:szCs w:val="20"/>
          <w:shd w:val="clear" w:color="auto" w:fill="FFFFFF"/>
          <w:lang w:val="en-US"/>
        </w:rPr>
        <w:t>University Hospital RWTH Aachen</w:t>
      </w:r>
      <w:r w:rsidRPr="004F0B06">
        <w:rPr>
          <w:color w:val="000000" w:themeColor="text1"/>
          <w:sz w:val="20"/>
          <w:szCs w:val="20"/>
          <w:lang w:val="en-US"/>
        </w:rPr>
        <w:t>, Aachen, Germany</w:t>
      </w:r>
    </w:p>
    <w:p w14:paraId="42263CFF" w14:textId="45D3D800" w:rsidR="000E7B76" w:rsidRPr="004F0B06" w:rsidRDefault="000E7B76" w:rsidP="000E7B76">
      <w:pPr>
        <w:spacing w:line="480" w:lineRule="auto"/>
        <w:jc w:val="both"/>
        <w:rPr>
          <w:color w:val="222222"/>
          <w:sz w:val="20"/>
          <w:szCs w:val="20"/>
          <w:shd w:val="clear" w:color="auto" w:fill="FFFFFF"/>
          <w:lang w:val="en-US"/>
        </w:rPr>
      </w:pPr>
      <w:r w:rsidRPr="004F0B06">
        <w:rPr>
          <w:color w:val="222222"/>
          <w:sz w:val="20"/>
          <w:szCs w:val="20"/>
          <w:shd w:val="clear" w:color="auto" w:fill="FFFFFF"/>
          <w:vertAlign w:val="superscript"/>
          <w:lang w:val="en-US"/>
        </w:rPr>
        <w:t>2</w:t>
      </w:r>
      <w:r w:rsidRPr="004F0B06">
        <w:rPr>
          <w:color w:val="222222"/>
          <w:sz w:val="20"/>
          <w:szCs w:val="20"/>
          <w:shd w:val="clear" w:color="auto" w:fill="FFFFFF"/>
          <w:lang w:val="en-US"/>
        </w:rPr>
        <w:t xml:space="preserve"> Chair for Medical Engineering, Faculty </w:t>
      </w:r>
      <w:r w:rsidR="004F0B06">
        <w:rPr>
          <w:color w:val="222222"/>
          <w:sz w:val="20"/>
          <w:szCs w:val="20"/>
          <w:shd w:val="clear" w:color="auto" w:fill="FFFFFF"/>
          <w:lang w:val="en-US"/>
        </w:rPr>
        <w:t>of</w:t>
      </w:r>
      <w:r w:rsidRPr="004F0B06">
        <w:rPr>
          <w:color w:val="222222"/>
          <w:sz w:val="20"/>
          <w:szCs w:val="20"/>
          <w:shd w:val="clear" w:color="auto" w:fill="FFFFFF"/>
          <w:lang w:val="en-US"/>
        </w:rPr>
        <w:t xml:space="preserve"> Electrical Engineering and Information Technology, Ruhr University Bochum, Bochum, Germany</w:t>
      </w:r>
    </w:p>
    <w:p w14:paraId="4FFEC818" w14:textId="65295BC2" w:rsidR="000E7B76" w:rsidRPr="004F0B06" w:rsidRDefault="000E7B76" w:rsidP="000E7B76">
      <w:pPr>
        <w:spacing w:line="480" w:lineRule="auto"/>
        <w:ind w:hanging="11"/>
        <w:jc w:val="both"/>
        <w:rPr>
          <w:color w:val="222222"/>
          <w:sz w:val="20"/>
          <w:szCs w:val="20"/>
          <w:shd w:val="clear" w:color="auto" w:fill="FFFFFF"/>
          <w:lang w:val="en-US"/>
        </w:rPr>
      </w:pPr>
      <w:r w:rsidRPr="004F0B06">
        <w:rPr>
          <w:color w:val="222222"/>
          <w:sz w:val="20"/>
          <w:szCs w:val="20"/>
          <w:shd w:val="clear" w:color="auto" w:fill="FFFFFF"/>
          <w:vertAlign w:val="superscript"/>
          <w:lang w:val="en-US"/>
        </w:rPr>
        <w:t>3</w:t>
      </w:r>
      <w:r w:rsidRPr="004F0B06">
        <w:rPr>
          <w:color w:val="222222"/>
          <w:sz w:val="20"/>
          <w:szCs w:val="20"/>
          <w:shd w:val="clear" w:color="auto" w:fill="FFFFFF"/>
          <w:lang w:val="en-US"/>
        </w:rPr>
        <w:t xml:space="preserve"> Institute of Computational Biomedicine, </w:t>
      </w:r>
      <w:r w:rsidR="00E46B26" w:rsidRPr="00B5507C">
        <w:rPr>
          <w:color w:val="222222"/>
          <w:sz w:val="20"/>
          <w:szCs w:val="20"/>
          <w:shd w:val="clear" w:color="auto" w:fill="FFFFFF"/>
          <w:lang w:val="en-US"/>
        </w:rPr>
        <w:t>University Hospital RWTH Aachen</w:t>
      </w:r>
      <w:r w:rsidRPr="004F0B06">
        <w:rPr>
          <w:color w:val="222222"/>
          <w:sz w:val="20"/>
          <w:szCs w:val="20"/>
          <w:shd w:val="clear" w:color="auto" w:fill="FFFFFF"/>
          <w:lang w:val="en-US"/>
        </w:rPr>
        <w:t>, Aachen, Germany</w:t>
      </w:r>
    </w:p>
    <w:p w14:paraId="7C4F292A" w14:textId="77777777" w:rsidR="000E7B76" w:rsidRPr="004F0B06" w:rsidRDefault="000E7B76" w:rsidP="000E7B76">
      <w:pPr>
        <w:spacing w:after="360" w:line="480" w:lineRule="auto"/>
        <w:ind w:hanging="11"/>
        <w:jc w:val="both"/>
        <w:rPr>
          <w:color w:val="222222"/>
          <w:sz w:val="20"/>
          <w:szCs w:val="20"/>
          <w:shd w:val="clear" w:color="auto" w:fill="FFFFFF"/>
          <w:lang w:val="en-US"/>
        </w:rPr>
      </w:pPr>
      <w:r w:rsidRPr="004F0B06">
        <w:rPr>
          <w:color w:val="000000" w:themeColor="text1"/>
          <w:sz w:val="20"/>
          <w:szCs w:val="20"/>
          <w:vertAlign w:val="superscript"/>
          <w:lang w:val="en-US"/>
        </w:rPr>
        <w:t>4</w:t>
      </w:r>
      <w:r w:rsidRPr="004F0B06">
        <w:rPr>
          <w:color w:val="000000" w:themeColor="text1"/>
          <w:sz w:val="20"/>
          <w:szCs w:val="20"/>
          <w:lang w:val="en-US"/>
        </w:rPr>
        <w:t xml:space="preserve"> </w:t>
      </w:r>
      <w:r w:rsidRPr="004F0B06">
        <w:rPr>
          <w:color w:val="222222"/>
          <w:sz w:val="20"/>
          <w:szCs w:val="20"/>
          <w:shd w:val="clear" w:color="auto" w:fill="FFFFFF"/>
          <w:lang w:val="en-US"/>
        </w:rPr>
        <w:t>Clinic for Gynecology and Obstetrics, University Hospital RWTH Aachen, Aachen, Germany</w:t>
      </w:r>
    </w:p>
    <w:p w14:paraId="03EB3868" w14:textId="77777777" w:rsidR="000E7B76" w:rsidRPr="004F0B06" w:rsidRDefault="000E7B76" w:rsidP="000E7B76">
      <w:pPr>
        <w:spacing w:after="360" w:line="480" w:lineRule="auto"/>
        <w:ind w:hanging="11"/>
        <w:jc w:val="both"/>
        <w:rPr>
          <w:color w:val="000000" w:themeColor="text1"/>
          <w:sz w:val="20"/>
          <w:szCs w:val="20"/>
          <w:lang w:val="en-US"/>
        </w:rPr>
      </w:pPr>
      <w:r w:rsidRPr="004F0B06">
        <w:rPr>
          <w:color w:val="000000" w:themeColor="text1"/>
          <w:sz w:val="20"/>
          <w:szCs w:val="20"/>
          <w:lang w:val="en-US"/>
        </w:rPr>
        <w:t>Email correspondence: fkiessling@ukaachen.de</w:t>
      </w:r>
    </w:p>
    <w:p w14:paraId="3CF728A9" w14:textId="417C43FF" w:rsidR="00B632DE" w:rsidRPr="004F0B06" w:rsidRDefault="000E7B76" w:rsidP="000E7B76">
      <w:pPr>
        <w:spacing w:after="160" w:line="278" w:lineRule="auto"/>
        <w:rPr>
          <w:rFonts w:eastAsia="MS Mincho"/>
          <w:color w:val="000000"/>
          <w:sz w:val="20"/>
          <w:szCs w:val="20"/>
          <w:lang w:val="en-GB" w:eastAsia="ja-JP"/>
        </w:rPr>
      </w:pPr>
      <w:r w:rsidRPr="004F0B06">
        <w:rPr>
          <w:color w:val="000000"/>
          <w:sz w:val="20"/>
          <w:szCs w:val="20"/>
          <w:lang w:val="en-GB"/>
        </w:rPr>
        <w:br w:type="page"/>
      </w:r>
    </w:p>
    <w:p w14:paraId="630006A1" w14:textId="27DE16CD" w:rsidR="009D483D" w:rsidRPr="004F0B06" w:rsidRDefault="009D483D" w:rsidP="00BA759F">
      <w:pPr>
        <w:spacing w:after="360" w:line="480" w:lineRule="auto"/>
        <w:jc w:val="both"/>
        <w:rPr>
          <w:bCs/>
          <w:color w:val="000000" w:themeColor="text1"/>
          <w:sz w:val="20"/>
          <w:szCs w:val="20"/>
          <w:lang w:val="en-US"/>
        </w:rPr>
      </w:pPr>
      <w:r w:rsidRPr="004F0B06">
        <w:rPr>
          <w:b/>
          <w:color w:val="000000" w:themeColor="text1"/>
          <w:sz w:val="20"/>
          <w:szCs w:val="20"/>
          <w:lang w:val="en-US"/>
        </w:rPr>
        <w:lastRenderedPageBreak/>
        <w:t xml:space="preserve">Table S1 Daily score sheet for tumor-bearing mice. </w:t>
      </w:r>
      <w:r w:rsidRPr="004F0B06">
        <w:rPr>
          <w:bCs/>
          <w:color w:val="000000" w:themeColor="text1"/>
          <w:sz w:val="20"/>
          <w:szCs w:val="20"/>
          <w:lang w:val="en-US"/>
        </w:rPr>
        <w:t xml:space="preserve">Alterations in body weight, general condition, spontaneous behavior, and clinical symptoms were monitored and scored using a predefined point-based grading system. No detectable alterations in physiological condition were assigned 0 points, </w:t>
      </w:r>
      <w:r w:rsidR="004F0B06" w:rsidRPr="004F0B06">
        <w:rPr>
          <w:bCs/>
          <w:color w:val="000000" w:themeColor="text1"/>
          <w:sz w:val="20"/>
          <w:szCs w:val="20"/>
          <w:lang w:val="en-US"/>
        </w:rPr>
        <w:t>whereas</w:t>
      </w:r>
      <w:r w:rsidRPr="004F0B06">
        <w:rPr>
          <w:bCs/>
          <w:color w:val="000000" w:themeColor="text1"/>
          <w:sz w:val="20"/>
          <w:szCs w:val="20"/>
          <w:lang w:val="en-US"/>
        </w:rPr>
        <w:t xml:space="preserve"> scores above 20 points indicated the highest severity level and defined the humane endpoint. In tumor-bearing mice, tumor growth and body condition were additionally documented and scored.</w:t>
      </w:r>
    </w:p>
    <w:tbl>
      <w:tblPr>
        <w:tblStyle w:val="Tabellenraster"/>
        <w:tblW w:w="9734" w:type="dxa"/>
        <w:tblInd w:w="0" w:type="dxa"/>
        <w:tblBorders>
          <w:left w:val="none" w:sz="0" w:space="0" w:color="auto"/>
          <w:right w:val="none" w:sz="0" w:space="0" w:color="auto"/>
        </w:tblBorders>
        <w:tblLook w:val="0420" w:firstRow="1" w:lastRow="0" w:firstColumn="0" w:lastColumn="0" w:noHBand="0" w:noVBand="1"/>
      </w:tblPr>
      <w:tblGrid>
        <w:gridCol w:w="8359"/>
        <w:gridCol w:w="1375"/>
      </w:tblGrid>
      <w:tr w:rsidR="009D483D" w:rsidRPr="00E46B26" w14:paraId="2E521667" w14:textId="77777777">
        <w:trPr>
          <w:trHeight w:val="375"/>
        </w:trPr>
        <w:tc>
          <w:tcPr>
            <w:tcW w:w="8359" w:type="dxa"/>
            <w:tcBorders>
              <w:top w:val="single" w:sz="4" w:space="0" w:color="auto"/>
              <w:left w:val="nil"/>
              <w:bottom w:val="single" w:sz="4" w:space="0" w:color="auto"/>
              <w:right w:val="single" w:sz="4" w:space="0" w:color="auto"/>
            </w:tcBorders>
            <w:vAlign w:val="center"/>
            <w:hideMark/>
          </w:tcPr>
          <w:p w14:paraId="13B38E6A" w14:textId="77777777" w:rsidR="009D483D" w:rsidRPr="004F0B06" w:rsidRDefault="009D483D" w:rsidP="009D483D">
            <w:pPr>
              <w:jc w:val="both"/>
              <w:rPr>
                <w:rFonts w:eastAsia="Calibri"/>
                <w:b/>
                <w:bCs/>
                <w:color w:val="000000"/>
                <w:kern w:val="24"/>
                <w:sz w:val="20"/>
                <w:szCs w:val="20"/>
                <w:lang w:val="en-US" w:eastAsia="de-DE"/>
              </w:rPr>
            </w:pPr>
            <w:r w:rsidRPr="004F0B06">
              <w:rPr>
                <w:rFonts w:eastAsia="Calibri"/>
                <w:b/>
                <w:bCs/>
                <w:color w:val="000000"/>
                <w:kern w:val="24"/>
                <w:sz w:val="20"/>
                <w:szCs w:val="20"/>
                <w:lang w:val="en-US" w:eastAsia="de-DE"/>
              </w:rPr>
              <w:t>Parameters for healthy and tumor-bearing mice</w:t>
            </w:r>
          </w:p>
        </w:tc>
        <w:tc>
          <w:tcPr>
            <w:tcW w:w="1375" w:type="dxa"/>
            <w:tcBorders>
              <w:top w:val="single" w:sz="4" w:space="0" w:color="auto"/>
              <w:left w:val="single" w:sz="4" w:space="0" w:color="auto"/>
              <w:bottom w:val="single" w:sz="4" w:space="0" w:color="auto"/>
              <w:right w:val="nil"/>
            </w:tcBorders>
          </w:tcPr>
          <w:p w14:paraId="6A6B380C" w14:textId="77777777" w:rsidR="009D483D" w:rsidRPr="004F0B06" w:rsidRDefault="009D483D" w:rsidP="009D483D">
            <w:pPr>
              <w:jc w:val="both"/>
              <w:rPr>
                <w:rFonts w:eastAsia="Calibri"/>
                <w:b/>
                <w:bCs/>
                <w:color w:val="000000"/>
                <w:kern w:val="24"/>
                <w:sz w:val="20"/>
                <w:szCs w:val="20"/>
                <w:lang w:val="en-US" w:eastAsia="de-DE"/>
              </w:rPr>
            </w:pPr>
          </w:p>
        </w:tc>
      </w:tr>
      <w:tr w:rsidR="009D483D" w:rsidRPr="004F0B06" w14:paraId="5DB13C17" w14:textId="77777777">
        <w:trPr>
          <w:trHeight w:val="375"/>
        </w:trPr>
        <w:tc>
          <w:tcPr>
            <w:tcW w:w="8359" w:type="dxa"/>
            <w:tcBorders>
              <w:top w:val="single" w:sz="4" w:space="0" w:color="auto"/>
              <w:left w:val="nil"/>
              <w:bottom w:val="single" w:sz="4" w:space="0" w:color="auto"/>
              <w:right w:val="single" w:sz="4" w:space="0" w:color="auto"/>
            </w:tcBorders>
            <w:vAlign w:val="center"/>
            <w:hideMark/>
          </w:tcPr>
          <w:p w14:paraId="1E32326E"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Observation</w:t>
            </w:r>
          </w:p>
        </w:tc>
        <w:tc>
          <w:tcPr>
            <w:tcW w:w="1375" w:type="dxa"/>
            <w:tcBorders>
              <w:top w:val="single" w:sz="4" w:space="0" w:color="auto"/>
              <w:left w:val="single" w:sz="4" w:space="0" w:color="auto"/>
              <w:bottom w:val="single" w:sz="4" w:space="0" w:color="auto"/>
              <w:right w:val="nil"/>
            </w:tcBorders>
            <w:hideMark/>
          </w:tcPr>
          <w:p w14:paraId="06C5649B"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Score</w:t>
            </w:r>
          </w:p>
        </w:tc>
      </w:tr>
      <w:tr w:rsidR="009D483D" w:rsidRPr="004F0B06" w14:paraId="40004CD5" w14:textId="77777777">
        <w:trPr>
          <w:trHeight w:val="1264"/>
        </w:trPr>
        <w:tc>
          <w:tcPr>
            <w:tcW w:w="8359" w:type="dxa"/>
            <w:tcBorders>
              <w:top w:val="single" w:sz="4" w:space="0" w:color="auto"/>
              <w:left w:val="nil"/>
              <w:bottom w:val="single" w:sz="4" w:space="0" w:color="auto"/>
              <w:right w:val="single" w:sz="4" w:space="0" w:color="auto"/>
            </w:tcBorders>
            <w:vAlign w:val="center"/>
            <w:hideMark/>
          </w:tcPr>
          <w:p w14:paraId="735B1784"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I Body weight</w:t>
            </w:r>
          </w:p>
          <w:p w14:paraId="08A22901"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No changes</w:t>
            </w:r>
          </w:p>
          <w:p w14:paraId="500BBD31"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Change &lt; 5%</w:t>
            </w:r>
          </w:p>
          <w:p w14:paraId="6D65D29F"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Weight reduction 5 – 10 %</w:t>
            </w:r>
          </w:p>
          <w:p w14:paraId="764E0516"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Weight reduction 11 – 19 %</w:t>
            </w:r>
          </w:p>
          <w:p w14:paraId="2A26096A"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Weight reduction ≥ 20 %</w:t>
            </w:r>
          </w:p>
        </w:tc>
        <w:tc>
          <w:tcPr>
            <w:tcW w:w="1375" w:type="dxa"/>
            <w:tcBorders>
              <w:top w:val="single" w:sz="4" w:space="0" w:color="auto"/>
              <w:left w:val="single" w:sz="4" w:space="0" w:color="auto"/>
              <w:bottom w:val="single" w:sz="4" w:space="0" w:color="auto"/>
              <w:right w:val="nil"/>
            </w:tcBorders>
          </w:tcPr>
          <w:p w14:paraId="1043FB0E" w14:textId="77777777" w:rsidR="009D483D" w:rsidRPr="004F0B06" w:rsidRDefault="009D483D" w:rsidP="009D483D">
            <w:pPr>
              <w:jc w:val="both"/>
              <w:rPr>
                <w:rFonts w:eastAsia="Calibri"/>
                <w:color w:val="000000"/>
                <w:kern w:val="24"/>
                <w:sz w:val="20"/>
                <w:szCs w:val="20"/>
                <w:lang w:val="en-US" w:eastAsia="de-DE"/>
              </w:rPr>
            </w:pPr>
          </w:p>
          <w:p w14:paraId="1B030FDF"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0</w:t>
            </w:r>
          </w:p>
          <w:p w14:paraId="5F8491EF"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w:t>
            </w:r>
          </w:p>
          <w:p w14:paraId="7BDF794D"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5</w:t>
            </w:r>
          </w:p>
          <w:p w14:paraId="473D8C5D"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10</w:t>
            </w:r>
          </w:p>
          <w:p w14:paraId="1F3E9C56"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20</w:t>
            </w:r>
          </w:p>
        </w:tc>
      </w:tr>
      <w:tr w:rsidR="009D483D" w:rsidRPr="004F0B06" w14:paraId="2F898E88" w14:textId="77777777">
        <w:trPr>
          <w:trHeight w:val="1264"/>
        </w:trPr>
        <w:tc>
          <w:tcPr>
            <w:tcW w:w="8359" w:type="dxa"/>
            <w:tcBorders>
              <w:top w:val="single" w:sz="4" w:space="0" w:color="auto"/>
              <w:left w:val="nil"/>
              <w:bottom w:val="single" w:sz="4" w:space="0" w:color="auto"/>
              <w:right w:val="single" w:sz="4" w:space="0" w:color="auto"/>
            </w:tcBorders>
            <w:vAlign w:val="center"/>
            <w:hideMark/>
          </w:tcPr>
          <w:p w14:paraId="66906D0E"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III General condition</w:t>
            </w:r>
          </w:p>
          <w:p w14:paraId="4DB49E95" w14:textId="77777777" w:rsidR="009D483D" w:rsidRPr="004F0B06" w:rsidRDefault="009D483D" w:rsidP="009D483D">
            <w:pPr>
              <w:numPr>
                <w:ilvl w:val="0"/>
                <w:numId w:val="2"/>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Shiny fur, clean body openings, clear and shiny eyes</w:t>
            </w:r>
          </w:p>
          <w:p w14:paraId="25349492" w14:textId="77777777" w:rsidR="009D483D" w:rsidRPr="004F0B06" w:rsidRDefault="009D483D" w:rsidP="009D483D">
            <w:pPr>
              <w:numPr>
                <w:ilvl w:val="0"/>
                <w:numId w:val="2"/>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 xml:space="preserve">Defects of the fur, (increased or decreased body care) </w:t>
            </w:r>
          </w:p>
          <w:p w14:paraId="6D3461BB" w14:textId="77777777" w:rsidR="009D483D" w:rsidRPr="004F0B06" w:rsidRDefault="009D483D" w:rsidP="009D483D">
            <w:pPr>
              <w:numPr>
                <w:ilvl w:val="0"/>
                <w:numId w:val="2"/>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Dull fur, untidy, unclean body openings, cloudy eyes, increased muscle tonus</w:t>
            </w:r>
          </w:p>
          <w:p w14:paraId="0D9621B9" w14:textId="77777777" w:rsidR="009D483D" w:rsidRPr="004F0B06" w:rsidRDefault="009D483D" w:rsidP="009D483D">
            <w:pPr>
              <w:numPr>
                <w:ilvl w:val="0"/>
                <w:numId w:val="2"/>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Dirty fur, clotted and soggy body openings, unusual posture, dull eyes, high muscle tonus</w:t>
            </w:r>
          </w:p>
          <w:p w14:paraId="53986124" w14:textId="77777777" w:rsidR="009D483D" w:rsidRPr="004F0B06" w:rsidRDefault="009D483D" w:rsidP="009D483D">
            <w:pPr>
              <w:numPr>
                <w:ilvl w:val="0"/>
                <w:numId w:val="2"/>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Cramps, paralysis (trunk muscles, extremities), conspicuous breathing problems, cold body</w:t>
            </w:r>
          </w:p>
        </w:tc>
        <w:tc>
          <w:tcPr>
            <w:tcW w:w="1375" w:type="dxa"/>
            <w:tcBorders>
              <w:top w:val="single" w:sz="4" w:space="0" w:color="auto"/>
              <w:left w:val="single" w:sz="4" w:space="0" w:color="auto"/>
              <w:bottom w:val="single" w:sz="4" w:space="0" w:color="auto"/>
              <w:right w:val="nil"/>
            </w:tcBorders>
          </w:tcPr>
          <w:p w14:paraId="17D37EFE" w14:textId="77777777" w:rsidR="009D483D" w:rsidRPr="004F0B06" w:rsidRDefault="009D483D" w:rsidP="009D483D">
            <w:pPr>
              <w:jc w:val="both"/>
              <w:rPr>
                <w:rFonts w:eastAsia="Calibri"/>
                <w:color w:val="000000"/>
                <w:kern w:val="24"/>
                <w:sz w:val="20"/>
                <w:szCs w:val="20"/>
                <w:lang w:val="en-US" w:eastAsia="de-DE"/>
              </w:rPr>
            </w:pPr>
          </w:p>
          <w:p w14:paraId="27BB92BE"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0</w:t>
            </w:r>
          </w:p>
          <w:p w14:paraId="61F94CE7"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w:t>
            </w:r>
          </w:p>
          <w:p w14:paraId="34081781"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5</w:t>
            </w:r>
          </w:p>
          <w:p w14:paraId="357A84AF"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10</w:t>
            </w:r>
          </w:p>
          <w:p w14:paraId="3840F8BA" w14:textId="77777777" w:rsidR="009D483D" w:rsidRPr="004F0B06" w:rsidRDefault="009D483D" w:rsidP="009D483D">
            <w:pPr>
              <w:jc w:val="both"/>
              <w:rPr>
                <w:rFonts w:eastAsia="Calibri"/>
                <w:color w:val="000000"/>
                <w:kern w:val="24"/>
                <w:sz w:val="20"/>
                <w:szCs w:val="20"/>
                <w:lang w:val="en-US" w:eastAsia="de-DE"/>
              </w:rPr>
            </w:pPr>
          </w:p>
          <w:p w14:paraId="2F92D887"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20</w:t>
            </w:r>
          </w:p>
        </w:tc>
      </w:tr>
      <w:tr w:rsidR="009D483D" w:rsidRPr="004F0B06" w14:paraId="210CF19E" w14:textId="77777777">
        <w:trPr>
          <w:trHeight w:val="1264"/>
        </w:trPr>
        <w:tc>
          <w:tcPr>
            <w:tcW w:w="8359" w:type="dxa"/>
            <w:tcBorders>
              <w:top w:val="single" w:sz="4" w:space="0" w:color="auto"/>
              <w:left w:val="nil"/>
              <w:bottom w:val="single" w:sz="4" w:space="0" w:color="auto"/>
              <w:right w:val="single" w:sz="4" w:space="0" w:color="auto"/>
            </w:tcBorders>
            <w:vAlign w:val="center"/>
            <w:hideMark/>
          </w:tcPr>
          <w:p w14:paraId="4B2DC8EE"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IV Behavior</w:t>
            </w:r>
          </w:p>
          <w:p w14:paraId="36821DEA" w14:textId="77777777" w:rsidR="009D483D" w:rsidRPr="004F0B06" w:rsidRDefault="009D483D" w:rsidP="009D483D">
            <w:pPr>
              <w:numPr>
                <w:ilvl w:val="0"/>
                <w:numId w:val="3"/>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Normal behavior (sleep, reaction to blowing and touching, curiosity, social contacts)</w:t>
            </w:r>
          </w:p>
          <w:p w14:paraId="38C2707A" w14:textId="77777777" w:rsidR="009D483D" w:rsidRPr="004F0B06" w:rsidRDefault="009D483D" w:rsidP="009D483D">
            <w:pPr>
              <w:numPr>
                <w:ilvl w:val="0"/>
                <w:numId w:val="3"/>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Slight changes to normal behavior</w:t>
            </w:r>
          </w:p>
          <w:p w14:paraId="1661C354" w14:textId="77777777" w:rsidR="009D483D" w:rsidRPr="004F0B06" w:rsidRDefault="009D483D" w:rsidP="009D483D">
            <w:pPr>
              <w:numPr>
                <w:ilvl w:val="0"/>
                <w:numId w:val="3"/>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Unusual behavior, impaired motor function or hyper kinetics</w:t>
            </w:r>
          </w:p>
          <w:p w14:paraId="3F8F1A2C" w14:textId="77777777" w:rsidR="009D483D" w:rsidRPr="004F0B06" w:rsidRDefault="009D483D" w:rsidP="009D483D">
            <w:pPr>
              <w:numPr>
                <w:ilvl w:val="0"/>
                <w:numId w:val="3"/>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Self-isolation, lethargy, pronounced hyper kinetics or behavioral stereotypes, coordination disorders</w:t>
            </w:r>
          </w:p>
          <w:p w14:paraId="6FEBEDB6" w14:textId="77777777" w:rsidR="009D483D" w:rsidRPr="004F0B06" w:rsidRDefault="009D483D" w:rsidP="009D483D">
            <w:pPr>
              <w:numPr>
                <w:ilvl w:val="0"/>
                <w:numId w:val="3"/>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 xml:space="preserve">Pain sounds when seizing, self-amputation (auto aggression, autotomy), apathy, noticeable defensive reactions </w:t>
            </w:r>
          </w:p>
        </w:tc>
        <w:tc>
          <w:tcPr>
            <w:tcW w:w="1375" w:type="dxa"/>
            <w:tcBorders>
              <w:top w:val="single" w:sz="4" w:space="0" w:color="auto"/>
              <w:left w:val="single" w:sz="4" w:space="0" w:color="auto"/>
              <w:bottom w:val="single" w:sz="4" w:space="0" w:color="auto"/>
              <w:right w:val="nil"/>
            </w:tcBorders>
          </w:tcPr>
          <w:p w14:paraId="490B5641" w14:textId="77777777" w:rsidR="009D483D" w:rsidRPr="004F0B06" w:rsidRDefault="009D483D" w:rsidP="009D483D">
            <w:pPr>
              <w:jc w:val="both"/>
              <w:rPr>
                <w:rFonts w:eastAsia="Calibri"/>
                <w:color w:val="000000"/>
                <w:kern w:val="24"/>
                <w:sz w:val="20"/>
                <w:szCs w:val="20"/>
                <w:lang w:val="en-US" w:eastAsia="de-DE"/>
              </w:rPr>
            </w:pPr>
          </w:p>
          <w:p w14:paraId="52F8CE42"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0</w:t>
            </w:r>
          </w:p>
          <w:p w14:paraId="2E0DA13B"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w:t>
            </w:r>
          </w:p>
          <w:p w14:paraId="5BEF1372"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5</w:t>
            </w:r>
          </w:p>
          <w:p w14:paraId="7DC9F366"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10</w:t>
            </w:r>
          </w:p>
          <w:p w14:paraId="478B7AFA" w14:textId="77777777" w:rsidR="009D483D" w:rsidRPr="004F0B06" w:rsidRDefault="009D483D" w:rsidP="009D483D">
            <w:pPr>
              <w:jc w:val="both"/>
              <w:rPr>
                <w:rFonts w:eastAsia="Calibri"/>
                <w:color w:val="000000"/>
                <w:kern w:val="24"/>
                <w:sz w:val="20"/>
                <w:szCs w:val="20"/>
                <w:lang w:val="en-US" w:eastAsia="de-DE"/>
              </w:rPr>
            </w:pPr>
          </w:p>
          <w:p w14:paraId="4CF9AA74"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20</w:t>
            </w:r>
          </w:p>
        </w:tc>
      </w:tr>
      <w:tr w:rsidR="009D483D" w:rsidRPr="004F0B06" w14:paraId="2D0CD048" w14:textId="77777777">
        <w:trPr>
          <w:trHeight w:val="1077"/>
        </w:trPr>
        <w:tc>
          <w:tcPr>
            <w:tcW w:w="8359" w:type="dxa"/>
            <w:tcBorders>
              <w:top w:val="single" w:sz="4" w:space="0" w:color="auto"/>
              <w:left w:val="nil"/>
              <w:bottom w:val="single" w:sz="4" w:space="0" w:color="auto"/>
              <w:right w:val="single" w:sz="4" w:space="0" w:color="auto"/>
            </w:tcBorders>
            <w:vAlign w:val="center"/>
            <w:hideMark/>
          </w:tcPr>
          <w:p w14:paraId="089E0D33"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V Clinical symptoms</w:t>
            </w:r>
          </w:p>
          <w:p w14:paraId="326D05FD"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Temperature and heart rate normal, mucosa well supplied with blood</w:t>
            </w:r>
          </w:p>
          <w:p w14:paraId="1B8B980C"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Slight change to the normal situation</w:t>
            </w:r>
          </w:p>
          <w:p w14:paraId="5554D5BB"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Change of body temperature from 1-2 °C, pulse + 30</w:t>
            </w:r>
          </w:p>
          <w:p w14:paraId="32984AD0"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Change of the body temperature from &gt; 2 °C, pulse + 50</w:t>
            </w:r>
          </w:p>
        </w:tc>
        <w:tc>
          <w:tcPr>
            <w:tcW w:w="1375" w:type="dxa"/>
            <w:tcBorders>
              <w:top w:val="single" w:sz="4" w:space="0" w:color="auto"/>
              <w:left w:val="single" w:sz="4" w:space="0" w:color="auto"/>
              <w:bottom w:val="single" w:sz="4" w:space="0" w:color="auto"/>
              <w:right w:val="nil"/>
            </w:tcBorders>
          </w:tcPr>
          <w:p w14:paraId="177AEC46" w14:textId="77777777" w:rsidR="009D483D" w:rsidRPr="004F0B06" w:rsidRDefault="009D483D" w:rsidP="009D483D">
            <w:pPr>
              <w:jc w:val="both"/>
              <w:rPr>
                <w:rFonts w:eastAsia="Calibri"/>
                <w:color w:val="000000"/>
                <w:kern w:val="24"/>
                <w:sz w:val="20"/>
                <w:szCs w:val="20"/>
                <w:lang w:val="en-US" w:eastAsia="de-DE"/>
              </w:rPr>
            </w:pPr>
          </w:p>
          <w:p w14:paraId="61C703AF"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0</w:t>
            </w:r>
          </w:p>
          <w:p w14:paraId="2AE52AA4"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w:t>
            </w:r>
          </w:p>
          <w:p w14:paraId="34A195CB"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5</w:t>
            </w:r>
          </w:p>
          <w:p w14:paraId="35FC59C6"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20</w:t>
            </w:r>
          </w:p>
        </w:tc>
      </w:tr>
      <w:tr w:rsidR="009D483D" w:rsidRPr="00E46B26" w14:paraId="00FA8D11" w14:textId="77777777">
        <w:trPr>
          <w:trHeight w:val="393"/>
        </w:trPr>
        <w:tc>
          <w:tcPr>
            <w:tcW w:w="8359" w:type="dxa"/>
            <w:tcBorders>
              <w:top w:val="single" w:sz="4" w:space="0" w:color="auto"/>
              <w:left w:val="nil"/>
              <w:bottom w:val="single" w:sz="4" w:space="0" w:color="auto"/>
              <w:right w:val="single" w:sz="4" w:space="0" w:color="auto"/>
            </w:tcBorders>
            <w:vAlign w:val="center"/>
            <w:hideMark/>
          </w:tcPr>
          <w:p w14:paraId="5F9F1B58" w14:textId="77777777" w:rsidR="009D483D" w:rsidRPr="004F0B06" w:rsidRDefault="009D483D" w:rsidP="009D483D">
            <w:pPr>
              <w:jc w:val="both"/>
              <w:rPr>
                <w:rFonts w:eastAsia="Calibri"/>
                <w:b/>
                <w:bCs/>
                <w:color w:val="000000"/>
                <w:kern w:val="24"/>
                <w:sz w:val="20"/>
                <w:szCs w:val="20"/>
                <w:lang w:val="en-US" w:eastAsia="de-DE"/>
              </w:rPr>
            </w:pPr>
            <w:r w:rsidRPr="004F0B06">
              <w:rPr>
                <w:rFonts w:eastAsia="Calibri"/>
                <w:b/>
                <w:bCs/>
                <w:color w:val="000000"/>
                <w:kern w:val="24"/>
                <w:sz w:val="20"/>
                <w:szCs w:val="20"/>
                <w:lang w:val="en-US" w:eastAsia="de-DE"/>
              </w:rPr>
              <w:t>Additional parameters for tumor-bearing mice</w:t>
            </w:r>
          </w:p>
        </w:tc>
        <w:tc>
          <w:tcPr>
            <w:tcW w:w="1375" w:type="dxa"/>
            <w:tcBorders>
              <w:top w:val="single" w:sz="4" w:space="0" w:color="auto"/>
              <w:left w:val="single" w:sz="4" w:space="0" w:color="auto"/>
              <w:bottom w:val="single" w:sz="4" w:space="0" w:color="auto"/>
              <w:right w:val="nil"/>
            </w:tcBorders>
          </w:tcPr>
          <w:p w14:paraId="75E8D9DB" w14:textId="77777777" w:rsidR="009D483D" w:rsidRPr="004F0B06" w:rsidRDefault="009D483D" w:rsidP="009D483D">
            <w:pPr>
              <w:jc w:val="both"/>
              <w:rPr>
                <w:rFonts w:eastAsia="Calibri"/>
                <w:b/>
                <w:bCs/>
                <w:color w:val="000000"/>
                <w:kern w:val="24"/>
                <w:sz w:val="20"/>
                <w:szCs w:val="20"/>
                <w:lang w:val="en-US" w:eastAsia="de-DE"/>
              </w:rPr>
            </w:pPr>
          </w:p>
        </w:tc>
      </w:tr>
      <w:tr w:rsidR="009D483D" w:rsidRPr="004F0B06" w14:paraId="61485ED9" w14:textId="77777777">
        <w:trPr>
          <w:trHeight w:val="393"/>
        </w:trPr>
        <w:tc>
          <w:tcPr>
            <w:tcW w:w="8359" w:type="dxa"/>
            <w:tcBorders>
              <w:top w:val="single" w:sz="4" w:space="0" w:color="auto"/>
              <w:left w:val="nil"/>
              <w:bottom w:val="single" w:sz="4" w:space="0" w:color="auto"/>
              <w:right w:val="single" w:sz="4" w:space="0" w:color="auto"/>
            </w:tcBorders>
            <w:vAlign w:val="center"/>
            <w:hideMark/>
          </w:tcPr>
          <w:p w14:paraId="270264DF"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VI Body Conditioning Score</w:t>
            </w:r>
          </w:p>
          <w:p w14:paraId="21E4927C"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Spine and pelvis not prominent (BC3)</w:t>
            </w:r>
          </w:p>
          <w:p w14:paraId="58D46B5C" w14:textId="77777777" w:rsidR="009D483D" w:rsidRPr="004F0B06" w:rsidRDefault="009D483D" w:rsidP="009D483D">
            <w:pPr>
              <w:numPr>
                <w:ilvl w:val="0"/>
                <w:numId w:val="1"/>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Spine prominent, segmentation of vertebral column evident, pelvis palpable (BC2)</w:t>
            </w:r>
          </w:p>
          <w:p w14:paraId="6827957A" w14:textId="77777777" w:rsidR="009D483D" w:rsidRPr="004F0B06" w:rsidRDefault="009D483D" w:rsidP="009D483D">
            <w:pPr>
              <w:jc w:val="both"/>
              <w:rPr>
                <w:rFonts w:eastAsia="Calibri"/>
                <w:b/>
                <w:bCs/>
                <w:color w:val="000000"/>
                <w:kern w:val="24"/>
                <w:sz w:val="20"/>
                <w:szCs w:val="20"/>
                <w:lang w:val="en-US" w:eastAsia="de-DE"/>
              </w:rPr>
            </w:pPr>
            <w:r w:rsidRPr="004F0B06">
              <w:rPr>
                <w:rFonts w:eastAsia="Calibri"/>
                <w:color w:val="000000"/>
                <w:kern w:val="24"/>
                <w:sz w:val="20"/>
                <w:szCs w:val="20"/>
                <w:lang w:val="en-US" w:eastAsia="de-DE"/>
              </w:rPr>
              <w:t>Skeletal structure and vertebral column highly prominent, little or no subcutaneous fat (BC1)</w:t>
            </w:r>
          </w:p>
        </w:tc>
        <w:tc>
          <w:tcPr>
            <w:tcW w:w="1375" w:type="dxa"/>
            <w:tcBorders>
              <w:top w:val="single" w:sz="4" w:space="0" w:color="auto"/>
              <w:left w:val="single" w:sz="4" w:space="0" w:color="auto"/>
              <w:bottom w:val="single" w:sz="4" w:space="0" w:color="auto"/>
              <w:right w:val="nil"/>
            </w:tcBorders>
          </w:tcPr>
          <w:p w14:paraId="519E64CD" w14:textId="77777777" w:rsidR="009D483D" w:rsidRPr="004F0B06" w:rsidRDefault="009D483D" w:rsidP="009D483D">
            <w:pPr>
              <w:jc w:val="both"/>
              <w:rPr>
                <w:rFonts w:eastAsia="Calibri"/>
                <w:color w:val="000000"/>
                <w:kern w:val="24"/>
                <w:sz w:val="20"/>
                <w:szCs w:val="20"/>
                <w:lang w:val="en-US" w:eastAsia="de-DE"/>
              </w:rPr>
            </w:pPr>
          </w:p>
          <w:p w14:paraId="448DF380"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0</w:t>
            </w:r>
          </w:p>
          <w:p w14:paraId="14C345FA"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10</w:t>
            </w:r>
          </w:p>
          <w:p w14:paraId="22603E72" w14:textId="77777777" w:rsidR="009D483D" w:rsidRPr="004F0B06" w:rsidRDefault="009D483D" w:rsidP="009D483D">
            <w:pPr>
              <w:jc w:val="both"/>
              <w:rPr>
                <w:rFonts w:eastAsia="Calibri"/>
                <w:b/>
                <w:bCs/>
                <w:color w:val="000000"/>
                <w:kern w:val="24"/>
                <w:sz w:val="20"/>
                <w:szCs w:val="20"/>
                <w:lang w:val="en-US" w:eastAsia="de-DE"/>
              </w:rPr>
            </w:pPr>
            <w:r w:rsidRPr="004F0B06">
              <w:rPr>
                <w:rFonts w:eastAsia="Calibri"/>
                <w:color w:val="000000"/>
                <w:kern w:val="24"/>
                <w:sz w:val="20"/>
                <w:szCs w:val="20"/>
                <w:lang w:val="en-US" w:eastAsia="de-DE"/>
              </w:rPr>
              <w:t>20</w:t>
            </w:r>
          </w:p>
        </w:tc>
      </w:tr>
      <w:tr w:rsidR="009D483D" w:rsidRPr="004F0B06" w14:paraId="4058CAEE" w14:textId="77777777">
        <w:trPr>
          <w:trHeight w:val="393"/>
        </w:trPr>
        <w:tc>
          <w:tcPr>
            <w:tcW w:w="8359" w:type="dxa"/>
            <w:tcBorders>
              <w:top w:val="single" w:sz="4" w:space="0" w:color="auto"/>
              <w:left w:val="nil"/>
              <w:bottom w:val="single" w:sz="4" w:space="0" w:color="auto"/>
              <w:right w:val="single" w:sz="4" w:space="0" w:color="auto"/>
            </w:tcBorders>
            <w:vAlign w:val="center"/>
            <w:hideMark/>
          </w:tcPr>
          <w:p w14:paraId="306B96F4" w14:textId="77777777" w:rsidR="009D483D" w:rsidRPr="004F0B06" w:rsidRDefault="009D483D" w:rsidP="009D483D">
            <w:pPr>
              <w:jc w:val="both"/>
              <w:rPr>
                <w:rFonts w:eastAsia="Calibri"/>
                <w:b/>
                <w:bCs/>
                <w:color w:val="000000"/>
                <w:kern w:val="24"/>
                <w:sz w:val="20"/>
                <w:szCs w:val="20"/>
                <w:lang w:val="en-US" w:eastAsia="de-DE"/>
              </w:rPr>
            </w:pPr>
            <w:r w:rsidRPr="004F0B06">
              <w:rPr>
                <w:rFonts w:eastAsia="Calibri"/>
                <w:b/>
                <w:bCs/>
                <w:color w:val="000000"/>
                <w:kern w:val="24"/>
                <w:sz w:val="20"/>
                <w:szCs w:val="20"/>
                <w:lang w:val="en-US" w:eastAsia="de-DE"/>
              </w:rPr>
              <w:t>VII Orthotopic tumor growth</w:t>
            </w:r>
          </w:p>
          <w:p w14:paraId="2A8AEC9A"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Tumor ø &gt; 5 mm to &lt; 10 mm</w:t>
            </w:r>
          </w:p>
          <w:p w14:paraId="2EA3A13E"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Tumor ø &gt; 10 mm to &lt; 15 mm</w:t>
            </w:r>
          </w:p>
          <w:p w14:paraId="566DA46F"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lastRenderedPageBreak/>
              <w:t>Tumor ø &gt; 15 mm or tumor size &gt; 10% of body weight</w:t>
            </w:r>
          </w:p>
          <w:p w14:paraId="474A1928"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sz w:val="20"/>
                <w:szCs w:val="20"/>
                <w:lang w:val="en-US" w:eastAsia="de-DE"/>
              </w:rPr>
              <w:t>Neuronal effects (motion uncertainty, loss of sensitivity (no reaction to touch))</w:t>
            </w:r>
          </w:p>
          <w:p w14:paraId="00B3DD6A"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sz w:val="20"/>
                <w:szCs w:val="20"/>
                <w:lang w:val="en-US" w:eastAsia="de-DE"/>
              </w:rPr>
              <w:t>Exulceration, invasive tumor growth, ascites or bleeding</w:t>
            </w:r>
          </w:p>
          <w:p w14:paraId="0F41E2BC" w14:textId="77777777" w:rsidR="009D483D" w:rsidRPr="004F0B06" w:rsidRDefault="009D483D" w:rsidP="009D483D">
            <w:pPr>
              <w:numPr>
                <w:ilvl w:val="0"/>
                <w:numId w:val="4"/>
              </w:numPr>
              <w:spacing w:after="200" w:line="360" w:lineRule="auto"/>
              <w:contextualSpacing/>
              <w:jc w:val="both"/>
              <w:rPr>
                <w:rFonts w:eastAsia="Calibri"/>
                <w:sz w:val="20"/>
                <w:szCs w:val="20"/>
                <w:lang w:val="en-US" w:eastAsia="de-DE"/>
              </w:rPr>
            </w:pPr>
            <w:r w:rsidRPr="004F0B06">
              <w:rPr>
                <w:rFonts w:eastAsia="Calibri"/>
                <w:sz w:val="20"/>
                <w:szCs w:val="20"/>
                <w:lang w:val="en-US" w:eastAsia="de-DE"/>
              </w:rPr>
              <w:t>Highly enlarged spleen or lymph nodes (imaging)</w:t>
            </w:r>
          </w:p>
          <w:p w14:paraId="6DA3F4C0" w14:textId="77777777" w:rsidR="009D483D" w:rsidRPr="004F0B06" w:rsidRDefault="009D483D" w:rsidP="009D483D">
            <w:pPr>
              <w:numPr>
                <w:ilvl w:val="0"/>
                <w:numId w:val="4"/>
              </w:numPr>
              <w:spacing w:after="200" w:line="360" w:lineRule="auto"/>
              <w:contextualSpacing/>
              <w:jc w:val="both"/>
              <w:rPr>
                <w:rFonts w:eastAsia="Calibri"/>
                <w:b/>
                <w:bCs/>
                <w:color w:val="000000"/>
                <w:kern w:val="24"/>
                <w:sz w:val="20"/>
                <w:szCs w:val="20"/>
                <w:lang w:val="en-US" w:eastAsia="de-DE"/>
              </w:rPr>
            </w:pPr>
            <w:r w:rsidRPr="004F0B06">
              <w:rPr>
                <w:rFonts w:eastAsia="Calibri"/>
                <w:sz w:val="20"/>
                <w:szCs w:val="20"/>
                <w:lang w:val="en-US" w:eastAsia="de-DE"/>
              </w:rPr>
              <w:t>Soft stool</w:t>
            </w:r>
          </w:p>
          <w:p w14:paraId="45F166C5" w14:textId="77777777" w:rsidR="009D483D" w:rsidRPr="004F0B06" w:rsidRDefault="009D483D" w:rsidP="009D483D">
            <w:pPr>
              <w:numPr>
                <w:ilvl w:val="0"/>
                <w:numId w:val="4"/>
              </w:numPr>
              <w:spacing w:after="200" w:line="360" w:lineRule="auto"/>
              <w:contextualSpacing/>
              <w:jc w:val="both"/>
              <w:rPr>
                <w:rFonts w:eastAsia="Calibri"/>
                <w:b/>
                <w:bCs/>
                <w:color w:val="000000"/>
                <w:kern w:val="24"/>
                <w:sz w:val="20"/>
                <w:szCs w:val="20"/>
                <w:lang w:val="en-US" w:eastAsia="de-DE"/>
              </w:rPr>
            </w:pPr>
            <w:r w:rsidRPr="004F0B06">
              <w:rPr>
                <w:rFonts w:eastAsia="Calibri"/>
                <w:sz w:val="20"/>
                <w:szCs w:val="20"/>
                <w:lang w:val="en-US" w:eastAsia="de-DE"/>
              </w:rPr>
              <w:t>Persistent diarrhea</w:t>
            </w:r>
          </w:p>
        </w:tc>
        <w:tc>
          <w:tcPr>
            <w:tcW w:w="1375" w:type="dxa"/>
            <w:tcBorders>
              <w:top w:val="single" w:sz="4" w:space="0" w:color="auto"/>
              <w:left w:val="single" w:sz="4" w:space="0" w:color="auto"/>
              <w:bottom w:val="single" w:sz="4" w:space="0" w:color="auto"/>
              <w:right w:val="nil"/>
            </w:tcBorders>
          </w:tcPr>
          <w:p w14:paraId="59005CEC" w14:textId="77777777" w:rsidR="009D483D" w:rsidRPr="004F0B06" w:rsidRDefault="009D483D" w:rsidP="009D483D">
            <w:pPr>
              <w:jc w:val="both"/>
              <w:rPr>
                <w:rFonts w:eastAsia="Calibri"/>
                <w:color w:val="000000"/>
                <w:kern w:val="24"/>
                <w:sz w:val="20"/>
                <w:szCs w:val="20"/>
                <w:lang w:val="en-US" w:eastAsia="de-DE"/>
              </w:rPr>
            </w:pPr>
          </w:p>
          <w:p w14:paraId="7DF99CE7"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5</w:t>
            </w:r>
          </w:p>
          <w:p w14:paraId="6C053B95"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10</w:t>
            </w:r>
          </w:p>
          <w:p w14:paraId="1FCBB21A"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20</w:t>
            </w:r>
          </w:p>
          <w:p w14:paraId="647C435E"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lastRenderedPageBreak/>
              <w:t>10</w:t>
            </w:r>
          </w:p>
          <w:p w14:paraId="0E3168A2"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20</w:t>
            </w:r>
          </w:p>
          <w:p w14:paraId="1887CF84"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20</w:t>
            </w:r>
          </w:p>
          <w:p w14:paraId="2D30CB6D" w14:textId="77777777" w:rsidR="009D483D" w:rsidRPr="004F0B06" w:rsidRDefault="009D483D" w:rsidP="009D483D">
            <w:pPr>
              <w:jc w:val="both"/>
              <w:rPr>
                <w:rFonts w:eastAsia="Calibri"/>
                <w:color w:val="000000"/>
                <w:kern w:val="24"/>
                <w:sz w:val="20"/>
                <w:szCs w:val="20"/>
                <w:lang w:val="en-US" w:eastAsia="de-DE"/>
              </w:rPr>
            </w:pPr>
            <w:r w:rsidRPr="004F0B06">
              <w:rPr>
                <w:rFonts w:eastAsia="Calibri"/>
                <w:color w:val="000000"/>
                <w:kern w:val="24"/>
                <w:sz w:val="20"/>
                <w:szCs w:val="20"/>
                <w:lang w:val="en-US" w:eastAsia="de-DE"/>
              </w:rPr>
              <w:t>5</w:t>
            </w:r>
          </w:p>
          <w:p w14:paraId="43F8F195" w14:textId="77777777" w:rsidR="009D483D" w:rsidRPr="004F0B06" w:rsidRDefault="009D483D" w:rsidP="009D483D">
            <w:pPr>
              <w:jc w:val="both"/>
              <w:rPr>
                <w:rFonts w:eastAsia="Calibri"/>
                <w:b/>
                <w:bCs/>
                <w:color w:val="000000"/>
                <w:kern w:val="24"/>
                <w:sz w:val="20"/>
                <w:szCs w:val="20"/>
                <w:lang w:val="en-US" w:eastAsia="de-DE"/>
              </w:rPr>
            </w:pPr>
            <w:r w:rsidRPr="004F0B06">
              <w:rPr>
                <w:rFonts w:eastAsia="Calibri"/>
                <w:color w:val="000000"/>
                <w:kern w:val="24"/>
                <w:sz w:val="20"/>
                <w:szCs w:val="20"/>
                <w:lang w:val="en-US" w:eastAsia="de-DE"/>
              </w:rPr>
              <w:t>20</w:t>
            </w:r>
          </w:p>
        </w:tc>
      </w:tr>
      <w:tr w:rsidR="009D483D" w:rsidRPr="004F0B06" w14:paraId="62E15DA2" w14:textId="77777777">
        <w:trPr>
          <w:trHeight w:val="393"/>
        </w:trPr>
        <w:tc>
          <w:tcPr>
            <w:tcW w:w="8359" w:type="dxa"/>
            <w:tcBorders>
              <w:top w:val="single" w:sz="4" w:space="0" w:color="auto"/>
              <w:left w:val="nil"/>
              <w:bottom w:val="single" w:sz="4" w:space="0" w:color="auto"/>
              <w:right w:val="single" w:sz="4" w:space="0" w:color="auto"/>
            </w:tcBorders>
            <w:vAlign w:val="center"/>
            <w:hideMark/>
          </w:tcPr>
          <w:p w14:paraId="296DD239"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lastRenderedPageBreak/>
              <w:t>Assessment</w:t>
            </w:r>
          </w:p>
        </w:tc>
        <w:tc>
          <w:tcPr>
            <w:tcW w:w="1375" w:type="dxa"/>
            <w:tcBorders>
              <w:top w:val="single" w:sz="4" w:space="0" w:color="auto"/>
              <w:left w:val="single" w:sz="4" w:space="0" w:color="auto"/>
              <w:bottom w:val="single" w:sz="4" w:space="0" w:color="auto"/>
              <w:right w:val="nil"/>
            </w:tcBorders>
            <w:hideMark/>
          </w:tcPr>
          <w:p w14:paraId="75268C4D"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Total score</w:t>
            </w:r>
          </w:p>
        </w:tc>
      </w:tr>
      <w:tr w:rsidR="009D483D" w:rsidRPr="004F0B06" w14:paraId="63C91411" w14:textId="77777777">
        <w:trPr>
          <w:trHeight w:val="869"/>
        </w:trPr>
        <w:tc>
          <w:tcPr>
            <w:tcW w:w="8359" w:type="dxa"/>
            <w:tcBorders>
              <w:top w:val="single" w:sz="4" w:space="0" w:color="auto"/>
              <w:left w:val="nil"/>
              <w:bottom w:val="single" w:sz="4" w:space="0" w:color="auto"/>
              <w:right w:val="single" w:sz="4" w:space="0" w:color="auto"/>
            </w:tcBorders>
            <w:vAlign w:val="center"/>
            <w:hideMark/>
          </w:tcPr>
          <w:p w14:paraId="7AD1ECD6" w14:textId="77777777" w:rsidR="009D483D" w:rsidRPr="004F0B06" w:rsidRDefault="009D483D" w:rsidP="009D483D">
            <w:pPr>
              <w:numPr>
                <w:ilvl w:val="0"/>
                <w:numId w:val="5"/>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Degree of stress 0: no stress</w:t>
            </w:r>
          </w:p>
          <w:p w14:paraId="6277B78A" w14:textId="77777777" w:rsidR="009D483D" w:rsidRPr="004F0B06" w:rsidRDefault="009D483D" w:rsidP="009D483D">
            <w:pPr>
              <w:numPr>
                <w:ilvl w:val="0"/>
                <w:numId w:val="5"/>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Degree of stress 1: low stress, continue to observe carefully</w:t>
            </w:r>
          </w:p>
          <w:p w14:paraId="25C91542" w14:textId="77777777" w:rsidR="009D483D" w:rsidRPr="004F0B06" w:rsidRDefault="009D483D" w:rsidP="009D483D">
            <w:pPr>
              <w:numPr>
                <w:ilvl w:val="0"/>
                <w:numId w:val="5"/>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Degree of stress 2: moderate stress, if necessary initiate veterinary case (analgesia)</w:t>
            </w:r>
          </w:p>
          <w:p w14:paraId="2E413C93" w14:textId="77777777" w:rsidR="009D483D" w:rsidRPr="004F0B06" w:rsidRDefault="009D483D" w:rsidP="009D483D">
            <w:pPr>
              <w:numPr>
                <w:ilvl w:val="0"/>
                <w:numId w:val="5"/>
              </w:numPr>
              <w:spacing w:after="200" w:line="360" w:lineRule="auto"/>
              <w:contextualSpacing/>
              <w:jc w:val="both"/>
              <w:rPr>
                <w:rFonts w:eastAsia="Calibri"/>
                <w:sz w:val="20"/>
                <w:szCs w:val="20"/>
                <w:lang w:val="en-US" w:eastAsia="de-DE"/>
              </w:rPr>
            </w:pPr>
            <w:r w:rsidRPr="004F0B06">
              <w:rPr>
                <w:rFonts w:eastAsia="Calibri"/>
                <w:color w:val="000000"/>
                <w:kern w:val="24"/>
                <w:sz w:val="20"/>
                <w:szCs w:val="20"/>
                <w:lang w:val="en-US" w:eastAsia="de-DE"/>
              </w:rPr>
              <w:t>Degree of stress 3: high stress, remove animal form the study</w:t>
            </w:r>
          </w:p>
        </w:tc>
        <w:tc>
          <w:tcPr>
            <w:tcW w:w="1375" w:type="dxa"/>
            <w:tcBorders>
              <w:top w:val="single" w:sz="4" w:space="0" w:color="auto"/>
              <w:left w:val="single" w:sz="4" w:space="0" w:color="auto"/>
              <w:bottom w:val="single" w:sz="4" w:space="0" w:color="auto"/>
              <w:right w:val="nil"/>
            </w:tcBorders>
          </w:tcPr>
          <w:p w14:paraId="17BDA4B4"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0</w:t>
            </w:r>
          </w:p>
          <w:p w14:paraId="616443F0"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 – 9</w:t>
            </w:r>
          </w:p>
          <w:p w14:paraId="5E8F3104"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10 – 19</w:t>
            </w:r>
          </w:p>
          <w:p w14:paraId="365856B2" w14:textId="77777777" w:rsidR="009D483D" w:rsidRPr="004F0B06" w:rsidRDefault="009D483D" w:rsidP="009D483D">
            <w:pPr>
              <w:jc w:val="both"/>
              <w:rPr>
                <w:rFonts w:eastAsia="Calibri"/>
                <w:color w:val="000000"/>
                <w:kern w:val="24"/>
                <w:sz w:val="20"/>
                <w:szCs w:val="20"/>
                <w:lang w:val="en-US" w:eastAsia="de-DE"/>
              </w:rPr>
            </w:pPr>
          </w:p>
          <w:p w14:paraId="7602C83F" w14:textId="77777777" w:rsidR="009D483D" w:rsidRPr="004F0B06" w:rsidRDefault="009D483D" w:rsidP="009D483D">
            <w:pPr>
              <w:jc w:val="both"/>
              <w:rPr>
                <w:rFonts w:eastAsia="Calibri"/>
                <w:sz w:val="20"/>
                <w:szCs w:val="20"/>
                <w:lang w:val="en-US" w:eastAsia="de-DE"/>
              </w:rPr>
            </w:pPr>
            <w:r w:rsidRPr="004F0B06">
              <w:rPr>
                <w:rFonts w:eastAsia="Calibri"/>
                <w:color w:val="000000"/>
                <w:kern w:val="24"/>
                <w:sz w:val="20"/>
                <w:szCs w:val="20"/>
                <w:lang w:val="en-US" w:eastAsia="de-DE"/>
              </w:rPr>
              <w:t>20</w:t>
            </w:r>
          </w:p>
        </w:tc>
      </w:tr>
      <w:tr w:rsidR="009D483D" w:rsidRPr="004F0B06" w14:paraId="49B0B377" w14:textId="77777777">
        <w:trPr>
          <w:trHeight w:val="239"/>
        </w:trPr>
        <w:tc>
          <w:tcPr>
            <w:tcW w:w="8359" w:type="dxa"/>
            <w:tcBorders>
              <w:top w:val="single" w:sz="4" w:space="0" w:color="auto"/>
              <w:left w:val="nil"/>
              <w:bottom w:val="single" w:sz="4" w:space="0" w:color="auto"/>
              <w:right w:val="single" w:sz="4" w:space="0" w:color="auto"/>
            </w:tcBorders>
            <w:vAlign w:val="center"/>
            <w:hideMark/>
          </w:tcPr>
          <w:p w14:paraId="3413C1B1" w14:textId="77777777" w:rsidR="009D483D" w:rsidRPr="004F0B06" w:rsidRDefault="009D483D" w:rsidP="009D483D">
            <w:pPr>
              <w:jc w:val="both"/>
              <w:rPr>
                <w:rFonts w:eastAsia="Calibri"/>
                <w:sz w:val="20"/>
                <w:szCs w:val="20"/>
                <w:lang w:val="en-US" w:eastAsia="de-DE"/>
              </w:rPr>
            </w:pPr>
            <w:r w:rsidRPr="004F0B06">
              <w:rPr>
                <w:rFonts w:eastAsia="Calibri"/>
                <w:b/>
                <w:bCs/>
                <w:color w:val="000000"/>
                <w:kern w:val="24"/>
                <w:sz w:val="20"/>
                <w:szCs w:val="20"/>
                <w:lang w:val="en-US" w:eastAsia="de-DE"/>
              </w:rPr>
              <w:t>Humane end point</w:t>
            </w:r>
          </w:p>
        </w:tc>
        <w:tc>
          <w:tcPr>
            <w:tcW w:w="1375" w:type="dxa"/>
            <w:tcBorders>
              <w:top w:val="single" w:sz="4" w:space="0" w:color="auto"/>
              <w:left w:val="single" w:sz="4" w:space="0" w:color="auto"/>
              <w:bottom w:val="single" w:sz="4" w:space="0" w:color="auto"/>
              <w:right w:val="nil"/>
            </w:tcBorders>
            <w:hideMark/>
          </w:tcPr>
          <w:p w14:paraId="74FA8441" w14:textId="77777777" w:rsidR="009D483D" w:rsidRPr="004F0B06" w:rsidRDefault="009D483D" w:rsidP="009D483D">
            <w:pPr>
              <w:rPr>
                <w:rFonts w:eastAsia="Calibri"/>
                <w:sz w:val="20"/>
                <w:szCs w:val="20"/>
                <w:lang w:val="en-US" w:eastAsia="de-DE"/>
              </w:rPr>
            </w:pPr>
            <w:r w:rsidRPr="004F0B06">
              <w:rPr>
                <w:rFonts w:eastAsia="Calibri"/>
                <w:color w:val="000000"/>
                <w:kern w:val="24"/>
                <w:sz w:val="20"/>
                <w:szCs w:val="20"/>
                <w:lang w:val="en-US" w:eastAsia="de-DE"/>
              </w:rPr>
              <w:t>≥ 15 for more than 48 hours</w:t>
            </w:r>
          </w:p>
        </w:tc>
      </w:tr>
    </w:tbl>
    <w:p w14:paraId="314D0B34" w14:textId="77777777" w:rsidR="009D483D" w:rsidRPr="004F0B06" w:rsidRDefault="009D483D" w:rsidP="00BA759F">
      <w:pPr>
        <w:spacing w:after="360" w:line="480" w:lineRule="auto"/>
        <w:jc w:val="both"/>
        <w:rPr>
          <w:b/>
          <w:color w:val="000000" w:themeColor="text1"/>
          <w:sz w:val="20"/>
          <w:szCs w:val="20"/>
          <w:lang w:val="en-US"/>
        </w:rPr>
      </w:pPr>
    </w:p>
    <w:p w14:paraId="0B0B525F" w14:textId="788465F0" w:rsidR="00BA759F" w:rsidRPr="004F0B06" w:rsidRDefault="00BA759F" w:rsidP="00BA759F">
      <w:pPr>
        <w:spacing w:after="360" w:line="480" w:lineRule="auto"/>
        <w:jc w:val="both"/>
        <w:rPr>
          <w:color w:val="000000" w:themeColor="text1"/>
          <w:sz w:val="20"/>
          <w:szCs w:val="20"/>
        </w:rPr>
      </w:pPr>
      <w:r w:rsidRPr="004F0B06">
        <w:rPr>
          <w:b/>
          <w:color w:val="000000" w:themeColor="text1"/>
          <w:sz w:val="20"/>
          <w:szCs w:val="20"/>
          <w:lang w:val="en-US"/>
        </w:rPr>
        <w:t>Table S</w:t>
      </w:r>
      <w:r w:rsidR="009D483D" w:rsidRPr="004F0B06">
        <w:rPr>
          <w:b/>
          <w:color w:val="000000" w:themeColor="text1"/>
          <w:sz w:val="20"/>
          <w:szCs w:val="20"/>
          <w:lang w:val="en-US"/>
        </w:rPr>
        <w:t>2</w:t>
      </w:r>
      <w:r w:rsidRPr="004F0B06">
        <w:rPr>
          <w:b/>
          <w:color w:val="000000" w:themeColor="text1"/>
          <w:sz w:val="20"/>
          <w:szCs w:val="20"/>
          <w:lang w:val="en-US"/>
        </w:rPr>
        <w:t xml:space="preserve"> Mixed-effects modelling of longitudinal microvascular parameters derived from ULM imaging. </w:t>
      </w:r>
      <w:r w:rsidRPr="004F0B06">
        <w:rPr>
          <w:color w:val="000000" w:themeColor="text1"/>
          <w:sz w:val="20"/>
          <w:szCs w:val="20"/>
          <w:lang w:val="en-US"/>
        </w:rPr>
        <w:t xml:space="preserve">Linear mixed-effects models were applied to assess temporal changes in microvascular parameters and potential differences between tumor models (BCSC1 and MCF-7) across the individual timepoints (0h, 3h, 6h, 9h). For each parameter, the fixed effects included timepoint, tumor model, and their interaction (timepoint x tumor model). F-statistics with corresponding degrees of freedom (df) and p-values are reported for the time effect, model effect, and interaction term. Models were fitted using restricted maximum likelihood (REML) with a first-order autoregressive covariance structure (AR(1)) as described in the experimental section, to account for repeated measurements within individual mice. Columns “Temporal change?” and “Model differences?” summarize whether significant temporal effects or differences between tumor models were detected (p &lt; 0.05). </w:t>
      </w:r>
      <w:r w:rsidRPr="004F0B06">
        <w:rPr>
          <w:color w:val="000000" w:themeColor="text1"/>
          <w:sz w:val="20"/>
          <w:szCs w:val="20"/>
        </w:rPr>
        <w:t>“Trend” indicates p-values between 0.05 and 0.1</w:t>
      </w:r>
    </w:p>
    <w:tbl>
      <w:tblPr>
        <w:tblStyle w:val="EinfacheTabelle2"/>
        <w:tblW w:w="9214" w:type="dxa"/>
        <w:tblLook w:val="04A0" w:firstRow="1" w:lastRow="0" w:firstColumn="1" w:lastColumn="0" w:noHBand="0" w:noVBand="1"/>
      </w:tblPr>
      <w:tblGrid>
        <w:gridCol w:w="1871"/>
        <w:gridCol w:w="1728"/>
        <w:gridCol w:w="1536"/>
        <w:gridCol w:w="1769"/>
        <w:gridCol w:w="1061"/>
        <w:gridCol w:w="1249"/>
      </w:tblGrid>
      <w:tr w:rsidR="00BA759F" w:rsidRPr="004F0B06" w14:paraId="65AFBDD9" w14:textId="77777777" w:rsidTr="00777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tcPr>
          <w:p w14:paraId="4C63B378" w14:textId="77777777" w:rsidR="00BA759F" w:rsidRPr="004F0B06" w:rsidRDefault="00BA759F" w:rsidP="007773F2">
            <w:pPr>
              <w:spacing w:line="276" w:lineRule="auto"/>
              <w:contextualSpacing/>
              <w:rPr>
                <w:sz w:val="20"/>
                <w:szCs w:val="20"/>
              </w:rPr>
            </w:pPr>
            <w:r w:rsidRPr="004F0B06">
              <w:rPr>
                <w:sz w:val="20"/>
                <w:szCs w:val="20"/>
              </w:rPr>
              <w:t>Parameter</w:t>
            </w:r>
          </w:p>
        </w:tc>
        <w:tc>
          <w:tcPr>
            <w:tcW w:w="1779" w:type="dxa"/>
          </w:tcPr>
          <w:p w14:paraId="27E8DBD6" w14:textId="77777777" w:rsidR="00BA759F" w:rsidRPr="004F0B06" w:rsidRDefault="00BA759F" w:rsidP="007773F2">
            <w:pPr>
              <w:spacing w:line="276" w:lineRule="auto"/>
              <w:contextual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4F0B06">
              <w:rPr>
                <w:sz w:val="20"/>
                <w:szCs w:val="20"/>
                <w:lang w:val="en-US"/>
              </w:rPr>
              <w:t>Time effect (F(df), p)</w:t>
            </w:r>
          </w:p>
        </w:tc>
        <w:tc>
          <w:tcPr>
            <w:tcW w:w="1580" w:type="dxa"/>
          </w:tcPr>
          <w:p w14:paraId="2B466108" w14:textId="77777777" w:rsidR="00BA759F" w:rsidRPr="004F0B06" w:rsidRDefault="00BA759F" w:rsidP="007773F2">
            <w:pPr>
              <w:spacing w:line="276" w:lineRule="auto"/>
              <w:contextualSpacing/>
              <w:cnfStyle w:val="100000000000" w:firstRow="1" w:lastRow="0" w:firstColumn="0" w:lastColumn="0" w:oddVBand="0" w:evenVBand="0" w:oddHBand="0" w:evenHBand="0" w:firstRowFirstColumn="0" w:firstRowLastColumn="0" w:lastRowFirstColumn="0" w:lastRowLastColumn="0"/>
              <w:rPr>
                <w:b w:val="0"/>
                <w:sz w:val="20"/>
                <w:szCs w:val="20"/>
                <w:lang w:val="en-US"/>
              </w:rPr>
            </w:pPr>
            <w:r w:rsidRPr="004F0B06">
              <w:rPr>
                <w:sz w:val="20"/>
                <w:szCs w:val="20"/>
                <w:lang w:val="en-US"/>
              </w:rPr>
              <w:t>Model effect</w:t>
            </w:r>
          </w:p>
          <w:p w14:paraId="460543E7" w14:textId="77777777" w:rsidR="00BA759F" w:rsidRPr="004F0B06" w:rsidRDefault="00BA759F" w:rsidP="007773F2">
            <w:pPr>
              <w:spacing w:line="276" w:lineRule="auto"/>
              <w:contextual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4F0B06">
              <w:rPr>
                <w:sz w:val="20"/>
                <w:szCs w:val="20"/>
                <w:lang w:val="en-US"/>
              </w:rPr>
              <w:t>(F(df), p)</w:t>
            </w:r>
          </w:p>
        </w:tc>
        <w:tc>
          <w:tcPr>
            <w:tcW w:w="1811" w:type="dxa"/>
          </w:tcPr>
          <w:p w14:paraId="530AC025" w14:textId="77777777" w:rsidR="00BA759F" w:rsidRPr="004F0B06" w:rsidRDefault="00BA759F" w:rsidP="007773F2">
            <w:pPr>
              <w:spacing w:line="276" w:lineRule="auto"/>
              <w:contextualSpacing/>
              <w:cnfStyle w:val="100000000000" w:firstRow="1" w:lastRow="0" w:firstColumn="0" w:lastColumn="0" w:oddVBand="0" w:evenVBand="0" w:oddHBand="0" w:evenHBand="0" w:firstRowFirstColumn="0" w:firstRowLastColumn="0" w:lastRowFirstColumn="0" w:lastRowLastColumn="0"/>
              <w:rPr>
                <w:sz w:val="20"/>
                <w:szCs w:val="20"/>
                <w:lang w:val="en-US"/>
              </w:rPr>
            </w:pPr>
            <w:r w:rsidRPr="004F0B06">
              <w:rPr>
                <w:sz w:val="20"/>
                <w:szCs w:val="20"/>
                <w:lang w:val="en-US"/>
              </w:rPr>
              <w:t>Interaction Time x Model (F(df), p)</w:t>
            </w:r>
          </w:p>
        </w:tc>
        <w:tc>
          <w:tcPr>
            <w:tcW w:w="976" w:type="dxa"/>
          </w:tcPr>
          <w:p w14:paraId="5E7A335E" w14:textId="77777777" w:rsidR="00BA759F" w:rsidRPr="004F0B06" w:rsidRDefault="00BA759F" w:rsidP="007773F2">
            <w:pPr>
              <w:spacing w:line="276"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4F0B06">
              <w:rPr>
                <w:sz w:val="20"/>
                <w:szCs w:val="20"/>
              </w:rPr>
              <w:t>Temporal change?</w:t>
            </w:r>
          </w:p>
        </w:tc>
        <w:tc>
          <w:tcPr>
            <w:tcW w:w="1146" w:type="dxa"/>
          </w:tcPr>
          <w:p w14:paraId="11117485" w14:textId="77777777" w:rsidR="00BA759F" w:rsidRPr="004F0B06" w:rsidRDefault="00BA759F" w:rsidP="007773F2">
            <w:pPr>
              <w:spacing w:line="276" w:lineRule="auto"/>
              <w:contextualSpacing/>
              <w:cnfStyle w:val="100000000000" w:firstRow="1" w:lastRow="0" w:firstColumn="0" w:lastColumn="0" w:oddVBand="0" w:evenVBand="0" w:oddHBand="0" w:evenHBand="0" w:firstRowFirstColumn="0" w:firstRowLastColumn="0" w:lastRowFirstColumn="0" w:lastRowLastColumn="0"/>
              <w:rPr>
                <w:sz w:val="20"/>
                <w:szCs w:val="20"/>
              </w:rPr>
            </w:pPr>
            <w:r w:rsidRPr="004F0B06">
              <w:rPr>
                <w:sz w:val="20"/>
                <w:szCs w:val="20"/>
              </w:rPr>
              <w:t>Model differences?</w:t>
            </w:r>
          </w:p>
        </w:tc>
      </w:tr>
      <w:tr w:rsidR="00BA759F" w:rsidRPr="004F0B06" w14:paraId="43677236" w14:textId="77777777" w:rsidTr="0077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22131C21" w14:textId="77777777" w:rsidR="00BA759F" w:rsidRPr="004F0B06" w:rsidRDefault="00BA759F" w:rsidP="007773F2">
            <w:pPr>
              <w:spacing w:line="360" w:lineRule="auto"/>
              <w:contextualSpacing/>
              <w:rPr>
                <w:b w:val="0"/>
                <w:sz w:val="20"/>
                <w:szCs w:val="20"/>
              </w:rPr>
            </w:pPr>
            <w:r w:rsidRPr="004F0B06">
              <w:rPr>
                <w:sz w:val="20"/>
                <w:szCs w:val="20"/>
              </w:rPr>
              <w:t>Vessel coverage</w:t>
            </w:r>
          </w:p>
        </w:tc>
        <w:tc>
          <w:tcPr>
            <w:tcW w:w="1779" w:type="dxa"/>
            <w:vAlign w:val="center"/>
          </w:tcPr>
          <w:p w14:paraId="522ADFD9"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1.67 (3,13.52), 0.221</w:t>
            </w:r>
          </w:p>
        </w:tc>
        <w:tc>
          <w:tcPr>
            <w:tcW w:w="1580" w:type="dxa"/>
            <w:vAlign w:val="center"/>
          </w:tcPr>
          <w:p w14:paraId="51DA7B12"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0.98 (1,8.36), 0.349</w:t>
            </w:r>
          </w:p>
        </w:tc>
        <w:tc>
          <w:tcPr>
            <w:tcW w:w="1811" w:type="dxa"/>
            <w:vAlign w:val="center"/>
          </w:tcPr>
          <w:p w14:paraId="45B04951"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0.49 (3,13.52), 0.693</w:t>
            </w:r>
          </w:p>
        </w:tc>
        <w:tc>
          <w:tcPr>
            <w:tcW w:w="976" w:type="dxa"/>
            <w:vAlign w:val="center"/>
          </w:tcPr>
          <w:p w14:paraId="16F971DC"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No</w:t>
            </w:r>
          </w:p>
        </w:tc>
        <w:tc>
          <w:tcPr>
            <w:tcW w:w="1146" w:type="dxa"/>
            <w:vAlign w:val="center"/>
          </w:tcPr>
          <w:p w14:paraId="7A91B8B2"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No</w:t>
            </w:r>
          </w:p>
        </w:tc>
      </w:tr>
      <w:tr w:rsidR="00BA759F" w:rsidRPr="004F0B06" w14:paraId="519A92CF" w14:textId="77777777" w:rsidTr="007773F2">
        <w:tc>
          <w:tcPr>
            <w:cnfStyle w:val="001000000000" w:firstRow="0" w:lastRow="0" w:firstColumn="1" w:lastColumn="0" w:oddVBand="0" w:evenVBand="0" w:oddHBand="0" w:evenHBand="0" w:firstRowFirstColumn="0" w:firstRowLastColumn="0" w:lastRowFirstColumn="0" w:lastRowLastColumn="0"/>
            <w:tcW w:w="1922" w:type="dxa"/>
            <w:vAlign w:val="center"/>
          </w:tcPr>
          <w:p w14:paraId="72954AAB" w14:textId="77777777" w:rsidR="00BA759F" w:rsidRPr="004F0B06" w:rsidRDefault="00BA759F" w:rsidP="007773F2">
            <w:pPr>
              <w:spacing w:line="360" w:lineRule="auto"/>
              <w:contextualSpacing/>
              <w:rPr>
                <w:b w:val="0"/>
                <w:sz w:val="20"/>
                <w:szCs w:val="20"/>
              </w:rPr>
            </w:pPr>
            <w:r w:rsidRPr="004F0B06">
              <w:rPr>
                <w:sz w:val="20"/>
                <w:szCs w:val="20"/>
              </w:rPr>
              <w:t>Mean flow velocity</w:t>
            </w:r>
          </w:p>
        </w:tc>
        <w:tc>
          <w:tcPr>
            <w:tcW w:w="1779" w:type="dxa"/>
            <w:vAlign w:val="center"/>
          </w:tcPr>
          <w:p w14:paraId="645E8625"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2.57 (3,16.06), 0.090</w:t>
            </w:r>
          </w:p>
        </w:tc>
        <w:tc>
          <w:tcPr>
            <w:tcW w:w="1580" w:type="dxa"/>
            <w:vAlign w:val="center"/>
          </w:tcPr>
          <w:p w14:paraId="194D1562"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0.51 (1,8.11), 0.494</w:t>
            </w:r>
          </w:p>
        </w:tc>
        <w:tc>
          <w:tcPr>
            <w:tcW w:w="1811" w:type="dxa"/>
            <w:vAlign w:val="center"/>
          </w:tcPr>
          <w:p w14:paraId="3D39FF35"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0.16 (3,16.06), 0.921</w:t>
            </w:r>
          </w:p>
        </w:tc>
        <w:tc>
          <w:tcPr>
            <w:tcW w:w="976" w:type="dxa"/>
            <w:vAlign w:val="center"/>
          </w:tcPr>
          <w:p w14:paraId="75006D57"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Trend</w:t>
            </w:r>
          </w:p>
        </w:tc>
        <w:tc>
          <w:tcPr>
            <w:tcW w:w="1146" w:type="dxa"/>
            <w:vAlign w:val="center"/>
          </w:tcPr>
          <w:p w14:paraId="2C6FA1AF"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No</w:t>
            </w:r>
          </w:p>
        </w:tc>
      </w:tr>
      <w:tr w:rsidR="00BA759F" w:rsidRPr="004F0B06" w14:paraId="4F2A1962" w14:textId="77777777" w:rsidTr="0077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31FF000B" w14:textId="77777777" w:rsidR="00BA759F" w:rsidRPr="004F0B06" w:rsidRDefault="00BA759F" w:rsidP="007773F2">
            <w:pPr>
              <w:spacing w:line="360" w:lineRule="auto"/>
              <w:contextualSpacing/>
              <w:rPr>
                <w:b w:val="0"/>
                <w:sz w:val="20"/>
                <w:szCs w:val="20"/>
              </w:rPr>
            </w:pPr>
            <w:r w:rsidRPr="004F0B06">
              <w:rPr>
                <w:sz w:val="20"/>
                <w:szCs w:val="20"/>
              </w:rPr>
              <w:t>Mean track counts</w:t>
            </w:r>
          </w:p>
        </w:tc>
        <w:tc>
          <w:tcPr>
            <w:tcW w:w="1779" w:type="dxa"/>
            <w:vAlign w:val="center"/>
          </w:tcPr>
          <w:p w14:paraId="1EB16E9B"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1.16 (3,15.92), 0.358</w:t>
            </w:r>
          </w:p>
        </w:tc>
        <w:tc>
          <w:tcPr>
            <w:tcW w:w="1580" w:type="dxa"/>
            <w:vAlign w:val="center"/>
          </w:tcPr>
          <w:p w14:paraId="17ECE429"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0.43 (1,8.37), 0.531</w:t>
            </w:r>
          </w:p>
        </w:tc>
        <w:tc>
          <w:tcPr>
            <w:tcW w:w="1811" w:type="dxa"/>
            <w:vAlign w:val="center"/>
          </w:tcPr>
          <w:p w14:paraId="75F9C70B"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1.00 (3,15.92), 0.471</w:t>
            </w:r>
          </w:p>
        </w:tc>
        <w:tc>
          <w:tcPr>
            <w:tcW w:w="976" w:type="dxa"/>
            <w:vAlign w:val="center"/>
          </w:tcPr>
          <w:p w14:paraId="0A55DC26"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No</w:t>
            </w:r>
          </w:p>
        </w:tc>
        <w:tc>
          <w:tcPr>
            <w:tcW w:w="1146" w:type="dxa"/>
            <w:vAlign w:val="center"/>
          </w:tcPr>
          <w:p w14:paraId="1AEB47B1"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No</w:t>
            </w:r>
          </w:p>
        </w:tc>
      </w:tr>
      <w:tr w:rsidR="00BA759F" w:rsidRPr="004F0B06" w14:paraId="3784CC87" w14:textId="77777777" w:rsidTr="007773F2">
        <w:tc>
          <w:tcPr>
            <w:cnfStyle w:val="001000000000" w:firstRow="0" w:lastRow="0" w:firstColumn="1" w:lastColumn="0" w:oddVBand="0" w:evenVBand="0" w:oddHBand="0" w:evenHBand="0" w:firstRowFirstColumn="0" w:firstRowLastColumn="0" w:lastRowFirstColumn="0" w:lastRowLastColumn="0"/>
            <w:tcW w:w="1922" w:type="dxa"/>
            <w:vAlign w:val="center"/>
          </w:tcPr>
          <w:p w14:paraId="1D1C9467" w14:textId="77777777" w:rsidR="00BA759F" w:rsidRPr="004F0B06" w:rsidRDefault="00BA759F" w:rsidP="007773F2">
            <w:pPr>
              <w:spacing w:line="360" w:lineRule="auto"/>
              <w:contextualSpacing/>
              <w:rPr>
                <w:b w:val="0"/>
                <w:sz w:val="20"/>
                <w:szCs w:val="20"/>
              </w:rPr>
            </w:pPr>
            <w:r w:rsidRPr="004F0B06">
              <w:rPr>
                <w:sz w:val="20"/>
                <w:szCs w:val="20"/>
              </w:rPr>
              <w:t>Flow direction</w:t>
            </w:r>
          </w:p>
        </w:tc>
        <w:tc>
          <w:tcPr>
            <w:tcW w:w="1779" w:type="dxa"/>
            <w:vAlign w:val="center"/>
          </w:tcPr>
          <w:p w14:paraId="6C75F80D"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0.47 (3,9.53), 0.711</w:t>
            </w:r>
          </w:p>
        </w:tc>
        <w:tc>
          <w:tcPr>
            <w:tcW w:w="1580" w:type="dxa"/>
            <w:vAlign w:val="center"/>
          </w:tcPr>
          <w:p w14:paraId="04B9F340"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0.02 (1,7.71), 0.893</w:t>
            </w:r>
          </w:p>
        </w:tc>
        <w:tc>
          <w:tcPr>
            <w:tcW w:w="1811" w:type="dxa"/>
            <w:vAlign w:val="center"/>
          </w:tcPr>
          <w:p w14:paraId="6CB5A0B6"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0.84 (3,9.53), 0.503</w:t>
            </w:r>
          </w:p>
        </w:tc>
        <w:tc>
          <w:tcPr>
            <w:tcW w:w="976" w:type="dxa"/>
            <w:vAlign w:val="center"/>
          </w:tcPr>
          <w:p w14:paraId="0EE34461"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No</w:t>
            </w:r>
          </w:p>
        </w:tc>
        <w:tc>
          <w:tcPr>
            <w:tcW w:w="1146" w:type="dxa"/>
            <w:vAlign w:val="center"/>
          </w:tcPr>
          <w:p w14:paraId="3FC30432"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No</w:t>
            </w:r>
          </w:p>
        </w:tc>
      </w:tr>
      <w:tr w:rsidR="00BA759F" w:rsidRPr="004F0B06" w14:paraId="7643C6BA" w14:textId="77777777" w:rsidTr="0077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7CA73320" w14:textId="77777777" w:rsidR="00BA759F" w:rsidRPr="004F0B06" w:rsidRDefault="00BA759F" w:rsidP="007773F2">
            <w:pPr>
              <w:spacing w:line="360" w:lineRule="auto"/>
              <w:contextualSpacing/>
              <w:rPr>
                <w:b w:val="0"/>
                <w:sz w:val="20"/>
                <w:szCs w:val="20"/>
                <w:lang w:val="en-US"/>
              </w:rPr>
            </w:pPr>
            <w:r w:rsidRPr="004F0B06">
              <w:rPr>
                <w:sz w:val="20"/>
                <w:szCs w:val="20"/>
                <w:lang w:val="en-GB"/>
              </w:rPr>
              <w:t>Mean distance to closest track</w:t>
            </w:r>
          </w:p>
        </w:tc>
        <w:tc>
          <w:tcPr>
            <w:tcW w:w="1779" w:type="dxa"/>
            <w:vAlign w:val="center"/>
          </w:tcPr>
          <w:p w14:paraId="35615BE5"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0.17 (3,13.88), 0.917</w:t>
            </w:r>
          </w:p>
        </w:tc>
        <w:tc>
          <w:tcPr>
            <w:tcW w:w="1580" w:type="dxa"/>
            <w:vAlign w:val="center"/>
          </w:tcPr>
          <w:p w14:paraId="730F3109"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2.80 (1,8.47), 0.131</w:t>
            </w:r>
          </w:p>
        </w:tc>
        <w:tc>
          <w:tcPr>
            <w:tcW w:w="1811" w:type="dxa"/>
            <w:vAlign w:val="center"/>
          </w:tcPr>
          <w:p w14:paraId="28D92619"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0.28 (3,13.88), 0.838</w:t>
            </w:r>
          </w:p>
        </w:tc>
        <w:tc>
          <w:tcPr>
            <w:tcW w:w="976" w:type="dxa"/>
            <w:vAlign w:val="center"/>
          </w:tcPr>
          <w:p w14:paraId="2D97626D"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No</w:t>
            </w:r>
          </w:p>
        </w:tc>
        <w:tc>
          <w:tcPr>
            <w:tcW w:w="1146" w:type="dxa"/>
            <w:vAlign w:val="center"/>
          </w:tcPr>
          <w:p w14:paraId="23A7C52B"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Trend</w:t>
            </w:r>
          </w:p>
        </w:tc>
      </w:tr>
      <w:tr w:rsidR="00BA759F" w:rsidRPr="004F0B06" w14:paraId="17C7C977" w14:textId="77777777" w:rsidTr="007773F2">
        <w:tc>
          <w:tcPr>
            <w:cnfStyle w:val="001000000000" w:firstRow="0" w:lastRow="0" w:firstColumn="1" w:lastColumn="0" w:oddVBand="0" w:evenVBand="0" w:oddHBand="0" w:evenHBand="0" w:firstRowFirstColumn="0" w:firstRowLastColumn="0" w:lastRowFirstColumn="0" w:lastRowLastColumn="0"/>
            <w:tcW w:w="1922" w:type="dxa"/>
            <w:vAlign w:val="center"/>
          </w:tcPr>
          <w:p w14:paraId="212BD20C" w14:textId="77777777" w:rsidR="00BA759F" w:rsidRPr="004F0B06" w:rsidRDefault="00BA759F" w:rsidP="007773F2">
            <w:pPr>
              <w:spacing w:line="360" w:lineRule="auto"/>
              <w:contextualSpacing/>
              <w:rPr>
                <w:b w:val="0"/>
                <w:sz w:val="20"/>
                <w:szCs w:val="20"/>
              </w:rPr>
            </w:pPr>
            <w:r w:rsidRPr="004F0B06">
              <w:rPr>
                <w:sz w:val="20"/>
                <w:szCs w:val="20"/>
              </w:rPr>
              <w:lastRenderedPageBreak/>
              <w:t>Mean track length</w:t>
            </w:r>
          </w:p>
        </w:tc>
        <w:tc>
          <w:tcPr>
            <w:tcW w:w="1779" w:type="dxa"/>
            <w:vAlign w:val="center"/>
          </w:tcPr>
          <w:p w14:paraId="2925CF3B"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10.25 (3,15.31), &lt;0.001</w:t>
            </w:r>
          </w:p>
        </w:tc>
        <w:tc>
          <w:tcPr>
            <w:tcW w:w="1580" w:type="dxa"/>
            <w:vAlign w:val="center"/>
          </w:tcPr>
          <w:p w14:paraId="2A8BDF1B"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0.02 (1,8.34), 0.888</w:t>
            </w:r>
          </w:p>
        </w:tc>
        <w:tc>
          <w:tcPr>
            <w:tcW w:w="1811" w:type="dxa"/>
            <w:vAlign w:val="center"/>
          </w:tcPr>
          <w:p w14:paraId="52FACC06"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0.22 (3,15.31), 0.884</w:t>
            </w:r>
          </w:p>
        </w:tc>
        <w:tc>
          <w:tcPr>
            <w:tcW w:w="976" w:type="dxa"/>
            <w:vAlign w:val="center"/>
          </w:tcPr>
          <w:p w14:paraId="7A71EB60"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Yes</w:t>
            </w:r>
          </w:p>
        </w:tc>
        <w:tc>
          <w:tcPr>
            <w:tcW w:w="1146" w:type="dxa"/>
            <w:vAlign w:val="center"/>
          </w:tcPr>
          <w:p w14:paraId="7F5FC2F9"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No</w:t>
            </w:r>
          </w:p>
        </w:tc>
      </w:tr>
      <w:tr w:rsidR="00BA759F" w:rsidRPr="004F0B06" w14:paraId="2477E5A8" w14:textId="77777777" w:rsidTr="0077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66888935" w14:textId="371C8D5A" w:rsidR="00BA759F" w:rsidRPr="004F0B06" w:rsidRDefault="00BA759F" w:rsidP="007773F2">
            <w:pPr>
              <w:spacing w:line="360" w:lineRule="auto"/>
              <w:contextualSpacing/>
              <w:rPr>
                <w:b w:val="0"/>
                <w:sz w:val="20"/>
                <w:szCs w:val="20"/>
                <w:lang w:val="en-US"/>
              </w:rPr>
            </w:pPr>
            <w:r w:rsidRPr="004F0B06">
              <w:rPr>
                <w:sz w:val="20"/>
                <w:szCs w:val="20"/>
                <w:lang w:val="en-GB"/>
              </w:rPr>
              <w:t>Mean tortuosity (Sum of angles</w:t>
            </w:r>
            <w:r w:rsidR="00FE3DAE" w:rsidRPr="004F0B06">
              <w:rPr>
                <w:sz w:val="20"/>
                <w:szCs w:val="20"/>
                <w:lang w:val="en-GB"/>
              </w:rPr>
              <w:t xml:space="preserve"> metric</w:t>
            </w:r>
            <w:r w:rsidRPr="004F0B06">
              <w:rPr>
                <w:sz w:val="20"/>
                <w:szCs w:val="20"/>
                <w:lang w:val="en-GB"/>
              </w:rPr>
              <w:t>)</w:t>
            </w:r>
          </w:p>
        </w:tc>
        <w:tc>
          <w:tcPr>
            <w:tcW w:w="1779" w:type="dxa"/>
            <w:vAlign w:val="center"/>
          </w:tcPr>
          <w:p w14:paraId="1F04B230"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2.71 (3,15.43), 0.081</w:t>
            </w:r>
          </w:p>
        </w:tc>
        <w:tc>
          <w:tcPr>
            <w:tcW w:w="1580" w:type="dxa"/>
            <w:vAlign w:val="center"/>
          </w:tcPr>
          <w:p w14:paraId="12349F8D"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1.59 (1,7.82), 0.244</w:t>
            </w:r>
          </w:p>
        </w:tc>
        <w:tc>
          <w:tcPr>
            <w:tcW w:w="1811" w:type="dxa"/>
            <w:vAlign w:val="center"/>
          </w:tcPr>
          <w:p w14:paraId="07D99BF9"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0.42 (3,15.43), 0.742</w:t>
            </w:r>
          </w:p>
        </w:tc>
        <w:tc>
          <w:tcPr>
            <w:tcW w:w="976" w:type="dxa"/>
            <w:vAlign w:val="center"/>
          </w:tcPr>
          <w:p w14:paraId="42415854"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Trend</w:t>
            </w:r>
          </w:p>
        </w:tc>
        <w:tc>
          <w:tcPr>
            <w:tcW w:w="1146" w:type="dxa"/>
            <w:vAlign w:val="center"/>
          </w:tcPr>
          <w:p w14:paraId="5FE6632F" w14:textId="77777777" w:rsidR="00BA759F" w:rsidRPr="004F0B06" w:rsidRDefault="00BA759F" w:rsidP="007773F2">
            <w:pPr>
              <w:spacing w:line="360" w:lineRule="auto"/>
              <w:contextualSpacing/>
              <w:cnfStyle w:val="000000100000" w:firstRow="0" w:lastRow="0" w:firstColumn="0" w:lastColumn="0" w:oddVBand="0" w:evenVBand="0" w:oddHBand="1" w:evenHBand="0" w:firstRowFirstColumn="0" w:firstRowLastColumn="0" w:lastRowFirstColumn="0" w:lastRowLastColumn="0"/>
              <w:rPr>
                <w:sz w:val="20"/>
                <w:szCs w:val="20"/>
              </w:rPr>
            </w:pPr>
            <w:r w:rsidRPr="004F0B06">
              <w:rPr>
                <w:sz w:val="20"/>
                <w:szCs w:val="20"/>
              </w:rPr>
              <w:t>No</w:t>
            </w:r>
          </w:p>
        </w:tc>
      </w:tr>
      <w:tr w:rsidR="00BA759F" w:rsidRPr="004F0B06" w14:paraId="61983D9A" w14:textId="77777777" w:rsidTr="007773F2">
        <w:tc>
          <w:tcPr>
            <w:cnfStyle w:val="001000000000" w:firstRow="0" w:lastRow="0" w:firstColumn="1" w:lastColumn="0" w:oddVBand="0" w:evenVBand="0" w:oddHBand="0" w:evenHBand="0" w:firstRowFirstColumn="0" w:firstRowLastColumn="0" w:lastRowFirstColumn="0" w:lastRowLastColumn="0"/>
            <w:tcW w:w="1922" w:type="dxa"/>
            <w:vAlign w:val="center"/>
          </w:tcPr>
          <w:p w14:paraId="26B220DF" w14:textId="77777777" w:rsidR="00BA759F" w:rsidRPr="004F0B06" w:rsidRDefault="00BA759F" w:rsidP="007773F2">
            <w:pPr>
              <w:spacing w:line="360" w:lineRule="auto"/>
              <w:contextualSpacing/>
              <w:rPr>
                <w:b w:val="0"/>
                <w:sz w:val="20"/>
                <w:szCs w:val="20"/>
              </w:rPr>
            </w:pPr>
            <w:r w:rsidRPr="004F0B06">
              <w:rPr>
                <w:sz w:val="20"/>
                <w:szCs w:val="20"/>
              </w:rPr>
              <w:t>Mean track-wise velocity</w:t>
            </w:r>
          </w:p>
        </w:tc>
        <w:tc>
          <w:tcPr>
            <w:tcW w:w="1779" w:type="dxa"/>
            <w:vAlign w:val="center"/>
          </w:tcPr>
          <w:p w14:paraId="1AA3BF64"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7.05 (3,13.63), 0.004</w:t>
            </w:r>
          </w:p>
        </w:tc>
        <w:tc>
          <w:tcPr>
            <w:tcW w:w="1580" w:type="dxa"/>
            <w:vAlign w:val="center"/>
          </w:tcPr>
          <w:p w14:paraId="16F21188"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0.40 (1,8.18), 0.545</w:t>
            </w:r>
          </w:p>
        </w:tc>
        <w:tc>
          <w:tcPr>
            <w:tcW w:w="1811" w:type="dxa"/>
            <w:vAlign w:val="center"/>
          </w:tcPr>
          <w:p w14:paraId="5F975CB4"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0.18 (3,13.63), 0.906</w:t>
            </w:r>
          </w:p>
        </w:tc>
        <w:tc>
          <w:tcPr>
            <w:tcW w:w="976" w:type="dxa"/>
            <w:vAlign w:val="center"/>
          </w:tcPr>
          <w:p w14:paraId="4CCC5E79"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Yes</w:t>
            </w:r>
          </w:p>
        </w:tc>
        <w:tc>
          <w:tcPr>
            <w:tcW w:w="1146" w:type="dxa"/>
            <w:vAlign w:val="center"/>
          </w:tcPr>
          <w:p w14:paraId="5751362D" w14:textId="77777777" w:rsidR="00BA759F" w:rsidRPr="004F0B06" w:rsidRDefault="00BA759F" w:rsidP="007773F2">
            <w:pPr>
              <w:spacing w:line="360"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F0B06">
              <w:rPr>
                <w:sz w:val="20"/>
                <w:szCs w:val="20"/>
              </w:rPr>
              <w:t>No</w:t>
            </w:r>
          </w:p>
        </w:tc>
      </w:tr>
    </w:tbl>
    <w:p w14:paraId="2880344F" w14:textId="77777777" w:rsidR="00BA759F" w:rsidRPr="004F0B06" w:rsidRDefault="00BA759F" w:rsidP="00BA759F">
      <w:pPr>
        <w:spacing w:after="360" w:line="480" w:lineRule="auto"/>
        <w:jc w:val="both"/>
        <w:rPr>
          <w:b/>
          <w:color w:val="000000" w:themeColor="text1"/>
          <w:sz w:val="20"/>
          <w:szCs w:val="20"/>
        </w:rPr>
      </w:pPr>
    </w:p>
    <w:p w14:paraId="59637BBC" w14:textId="61BD4335" w:rsidR="00BA759F" w:rsidRPr="004F0B06" w:rsidRDefault="00722F15" w:rsidP="00BA759F">
      <w:pPr>
        <w:spacing w:after="360" w:line="480" w:lineRule="auto"/>
        <w:jc w:val="both"/>
        <w:rPr>
          <w:b/>
          <w:color w:val="000000" w:themeColor="text1"/>
          <w:sz w:val="20"/>
          <w:szCs w:val="20"/>
        </w:rPr>
      </w:pPr>
      <w:r w:rsidRPr="004F0B06">
        <w:rPr>
          <w:b/>
          <w:noProof/>
          <w:color w:val="000000" w:themeColor="text1"/>
          <w:sz w:val="20"/>
          <w:szCs w:val="20"/>
          <w14:ligatures w14:val="standardContextual"/>
        </w:rPr>
        <w:lastRenderedPageBreak/>
        <w:drawing>
          <wp:inline distT="0" distB="0" distL="0" distR="0" wp14:anchorId="34C8210C" wp14:editId="477DB1E8">
            <wp:extent cx="5760720" cy="8147050"/>
            <wp:effectExtent l="0" t="0" r="0" b="0"/>
            <wp:docPr id="7723581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58108" name="Grafik 77235810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588ECE9C" w14:textId="15BF66F0" w:rsidR="00BA759F" w:rsidRPr="004F0B06" w:rsidRDefault="00BA759F" w:rsidP="00BA759F">
      <w:pPr>
        <w:spacing w:after="360" w:line="360" w:lineRule="auto"/>
        <w:ind w:left="120"/>
        <w:jc w:val="both"/>
        <w:rPr>
          <w:sz w:val="20"/>
          <w:szCs w:val="20"/>
          <w:lang w:val="en-US"/>
        </w:rPr>
      </w:pPr>
      <w:r w:rsidRPr="004F0B06">
        <w:rPr>
          <w:b/>
          <w:color w:val="000000" w:themeColor="text1"/>
          <w:sz w:val="20"/>
          <w:szCs w:val="20"/>
          <w:lang w:val="en-US"/>
        </w:rPr>
        <w:t xml:space="preserve">Fig. S1 Non-normalized vascular parameters show stable distributions across timepoints in both tumor models, but intra-tumoral variability. (A-D) </w:t>
      </w:r>
      <w:r w:rsidRPr="004F0B06">
        <w:rPr>
          <w:color w:val="000000" w:themeColor="text1"/>
          <w:sz w:val="20"/>
          <w:szCs w:val="20"/>
          <w:lang w:val="en-US"/>
        </w:rPr>
        <w:t xml:space="preserve">Non-normalized values of the primary ULM-derived </w:t>
      </w:r>
      <w:r w:rsidRPr="004F0B06">
        <w:rPr>
          <w:color w:val="000000" w:themeColor="text1"/>
          <w:sz w:val="20"/>
          <w:szCs w:val="20"/>
          <w:lang w:val="en-US"/>
        </w:rPr>
        <w:lastRenderedPageBreak/>
        <w:t xml:space="preserve">microvascular parameters quantified in BCSC1 and MCF-7 xenografts across the monitored timepoints (0h, 3h, 6, and 9h). For each parameter, the left graph shows the mean values ± SD for both tumor models, while the corresponding graphs on the right illustrate singular tumor </w:t>
      </w:r>
      <w:r w:rsidR="008C1393" w:rsidRPr="004F0B06">
        <w:rPr>
          <w:color w:val="000000" w:themeColor="text1"/>
          <w:sz w:val="20"/>
          <w:szCs w:val="20"/>
          <w:lang w:val="en-US"/>
        </w:rPr>
        <w:t>profiles</w:t>
      </w:r>
      <w:r w:rsidRPr="004F0B06">
        <w:rPr>
          <w:color w:val="000000" w:themeColor="text1"/>
          <w:sz w:val="20"/>
          <w:szCs w:val="20"/>
          <w:lang w:val="en-US"/>
        </w:rPr>
        <w:t xml:space="preserve"> for the individual models over time. Parameters include (A) vessel coverage, (B)</w:t>
      </w:r>
      <w:r w:rsidR="00722F15" w:rsidRPr="004F0B06">
        <w:rPr>
          <w:color w:val="000000" w:themeColor="text1"/>
          <w:sz w:val="20"/>
          <w:szCs w:val="20"/>
          <w:lang w:val="en-US"/>
        </w:rPr>
        <w:t xml:space="preserve"> mean distance to closest track</w:t>
      </w:r>
      <w:r w:rsidRPr="004F0B06">
        <w:rPr>
          <w:color w:val="000000" w:themeColor="text1"/>
          <w:sz w:val="20"/>
          <w:szCs w:val="20"/>
          <w:lang w:val="en-US"/>
        </w:rPr>
        <w:t>, (C) mean vessel tortuosity (sum of angles metric), and (D)</w:t>
      </w:r>
      <w:r w:rsidR="00722F15" w:rsidRPr="004F0B06">
        <w:rPr>
          <w:color w:val="000000" w:themeColor="text1"/>
          <w:sz w:val="20"/>
          <w:szCs w:val="20"/>
          <w:lang w:val="en-US"/>
        </w:rPr>
        <w:t xml:space="preserve"> mean microvascular flow velocity</w:t>
      </w:r>
      <w:r w:rsidRPr="004F0B06">
        <w:rPr>
          <w:color w:val="000000" w:themeColor="text1"/>
          <w:sz w:val="20"/>
          <w:szCs w:val="20"/>
          <w:lang w:val="en-US"/>
        </w:rPr>
        <w:t>. Although individual tumors exhibit fluctuations between timepoints, no consistent temporal trends are observed across the animals.</w:t>
      </w:r>
      <w:bookmarkStart w:id="1" w:name="OLE_LINK1"/>
      <w:r w:rsidR="00954B06" w:rsidRPr="004F0B06">
        <w:rPr>
          <w:color w:val="000000" w:themeColor="text1"/>
          <w:sz w:val="20"/>
          <w:szCs w:val="20"/>
          <w:lang w:val="en-US"/>
        </w:rPr>
        <w:t xml:space="preserve"> </w:t>
      </w:r>
      <w:r w:rsidR="00954B06" w:rsidRPr="004F0B06">
        <w:rPr>
          <w:sz w:val="20"/>
          <w:szCs w:val="20"/>
          <w:lang w:val="en-US"/>
        </w:rPr>
        <w:t>The letter “M” represents individual mice (1-10)</w:t>
      </w:r>
      <w:bookmarkEnd w:id="1"/>
    </w:p>
    <w:p w14:paraId="7999256A" w14:textId="77777777" w:rsidR="00BA759F" w:rsidRPr="004F0B06" w:rsidRDefault="00BA759F" w:rsidP="00BA759F">
      <w:pPr>
        <w:spacing w:after="360" w:line="480" w:lineRule="auto"/>
        <w:jc w:val="both"/>
        <w:rPr>
          <w:b/>
          <w:color w:val="000000" w:themeColor="text1"/>
          <w:sz w:val="20"/>
          <w:szCs w:val="20"/>
          <w:lang w:val="en-US"/>
        </w:rPr>
      </w:pPr>
    </w:p>
    <w:p w14:paraId="5FADA24C" w14:textId="2E373653" w:rsidR="00BA759F" w:rsidRPr="004F0B06" w:rsidRDefault="00722F15" w:rsidP="007F6533">
      <w:pPr>
        <w:spacing w:after="360" w:line="480" w:lineRule="auto"/>
        <w:jc w:val="both"/>
        <w:rPr>
          <w:b/>
          <w:color w:val="000000" w:themeColor="text1"/>
          <w:sz w:val="20"/>
          <w:szCs w:val="20"/>
          <w:lang w:val="en-US"/>
        </w:rPr>
      </w:pPr>
      <w:r w:rsidRPr="004F0B06">
        <w:rPr>
          <w:b/>
          <w:noProof/>
          <w:sz w:val="20"/>
          <w:szCs w:val="20"/>
          <w:lang w:val="en-US"/>
          <w14:ligatures w14:val="standardContextual"/>
        </w:rPr>
        <w:lastRenderedPageBreak/>
        <w:drawing>
          <wp:inline distT="0" distB="0" distL="0" distR="0" wp14:anchorId="172BDEA1" wp14:editId="18C13793">
            <wp:extent cx="5760720" cy="8147050"/>
            <wp:effectExtent l="0" t="0" r="0" b="6350"/>
            <wp:docPr id="8536280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28075" name="Grafik 85362807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r w:rsidR="00BA759F" w:rsidRPr="004F0B06">
        <w:rPr>
          <w:b/>
          <w:sz w:val="20"/>
          <w:szCs w:val="20"/>
          <w:lang w:val="en-US"/>
        </w:rPr>
        <w:t xml:space="preserve">Fig. S2 Absolute deviations from the baseline highlight intra-tumoral variability of microvascular patterns. </w:t>
      </w:r>
      <w:r w:rsidR="00BA759F" w:rsidRPr="004F0B06">
        <w:rPr>
          <w:sz w:val="20"/>
          <w:szCs w:val="20"/>
          <w:lang w:val="en-US"/>
        </w:rPr>
        <w:t xml:space="preserve">Absolute changes relative to the baseline at 0h for the primary ULM-derived parameters in BCSC1 and MCF-7 tumors across the monitored timepoints. For each panel the left graph summarizes the magnitude of deviation from </w:t>
      </w:r>
      <w:r w:rsidR="00BA759F" w:rsidRPr="004F0B06">
        <w:rPr>
          <w:sz w:val="20"/>
          <w:szCs w:val="20"/>
          <w:lang w:val="en-US"/>
        </w:rPr>
        <w:lastRenderedPageBreak/>
        <w:t xml:space="preserve">the baseline at the group level for the two tumor models, while the corresponding plots on the right illustrate the absolute deviations for individual tumors over time. Parameters include </w:t>
      </w:r>
      <w:r w:rsidR="00BA759F" w:rsidRPr="004F0B06">
        <w:rPr>
          <w:b/>
          <w:sz w:val="20"/>
          <w:szCs w:val="20"/>
          <w:lang w:val="en-US"/>
        </w:rPr>
        <w:t>(A)</w:t>
      </w:r>
      <w:r w:rsidR="00BA759F" w:rsidRPr="004F0B06">
        <w:rPr>
          <w:sz w:val="20"/>
          <w:szCs w:val="20"/>
          <w:lang w:val="en-US"/>
        </w:rPr>
        <w:t xml:space="preserve"> vessel coverage, </w:t>
      </w:r>
      <w:r w:rsidR="00BA759F" w:rsidRPr="004F0B06">
        <w:rPr>
          <w:b/>
          <w:sz w:val="20"/>
          <w:szCs w:val="20"/>
          <w:lang w:val="en-US"/>
        </w:rPr>
        <w:t>(B)</w:t>
      </w:r>
      <w:r w:rsidR="003C3AEE" w:rsidRPr="004F0B06">
        <w:rPr>
          <w:sz w:val="20"/>
          <w:szCs w:val="20"/>
          <w:lang w:val="en-US"/>
        </w:rPr>
        <w:t xml:space="preserve"> mean distance to the closest track</w:t>
      </w:r>
      <w:r w:rsidR="00BA759F" w:rsidRPr="004F0B06">
        <w:rPr>
          <w:sz w:val="20"/>
          <w:szCs w:val="20"/>
          <w:lang w:val="en-US"/>
        </w:rPr>
        <w:t xml:space="preserve">, </w:t>
      </w:r>
      <w:r w:rsidR="00BA759F" w:rsidRPr="004F0B06">
        <w:rPr>
          <w:b/>
          <w:sz w:val="20"/>
          <w:szCs w:val="20"/>
          <w:lang w:val="en-US"/>
        </w:rPr>
        <w:t>(C)</w:t>
      </w:r>
      <w:r w:rsidR="00BA759F" w:rsidRPr="004F0B06">
        <w:rPr>
          <w:sz w:val="20"/>
          <w:szCs w:val="20"/>
          <w:lang w:val="en-US"/>
        </w:rPr>
        <w:t xml:space="preserve"> </w:t>
      </w:r>
      <w:r w:rsidR="00A24B43" w:rsidRPr="004F0B06">
        <w:rPr>
          <w:sz w:val="20"/>
          <w:szCs w:val="20"/>
          <w:lang w:val="en-US"/>
        </w:rPr>
        <w:t xml:space="preserve">mean </w:t>
      </w:r>
      <w:r w:rsidR="00BA759F" w:rsidRPr="004F0B06">
        <w:rPr>
          <w:sz w:val="20"/>
          <w:szCs w:val="20"/>
          <w:lang w:val="en-US"/>
        </w:rPr>
        <w:t>vessel tortuosity</w:t>
      </w:r>
      <w:r w:rsidR="00A24B43" w:rsidRPr="004F0B06">
        <w:rPr>
          <w:sz w:val="20"/>
          <w:szCs w:val="20"/>
          <w:lang w:val="en-US"/>
        </w:rPr>
        <w:t xml:space="preserve"> expressed as sum of angles metric</w:t>
      </w:r>
      <w:r w:rsidR="00BA759F" w:rsidRPr="004F0B06">
        <w:rPr>
          <w:sz w:val="20"/>
          <w:szCs w:val="20"/>
          <w:lang w:val="en-US"/>
        </w:rPr>
        <w:t xml:space="preserve">, and </w:t>
      </w:r>
      <w:r w:rsidR="00BA759F" w:rsidRPr="004F0B06">
        <w:rPr>
          <w:b/>
          <w:sz w:val="20"/>
          <w:szCs w:val="20"/>
          <w:lang w:val="en-US"/>
        </w:rPr>
        <w:t>(D)</w:t>
      </w:r>
      <w:r w:rsidR="00BA759F" w:rsidRPr="004F0B06">
        <w:rPr>
          <w:sz w:val="20"/>
          <w:szCs w:val="20"/>
          <w:lang w:val="en-US"/>
        </w:rPr>
        <w:t xml:space="preserve"> </w:t>
      </w:r>
      <w:r w:rsidR="003C3AEE" w:rsidRPr="004F0B06">
        <w:rPr>
          <w:sz w:val="20"/>
          <w:szCs w:val="20"/>
          <w:lang w:val="en-US"/>
        </w:rPr>
        <w:t>mean microvascular flow velocity</w:t>
      </w:r>
      <w:r w:rsidR="00BA759F" w:rsidRPr="004F0B06">
        <w:rPr>
          <w:sz w:val="20"/>
          <w:szCs w:val="20"/>
          <w:lang w:val="en-US"/>
        </w:rPr>
        <w:t>. Although group-level changes remain limited, individual tumors reveal heterogeneous temporal changes between animals, highlighting pronounced intra-tumoral variability despite the absence of systematic trends across the tumor models</w:t>
      </w:r>
      <w:r w:rsidR="007F6533" w:rsidRPr="004F0B06">
        <w:rPr>
          <w:sz w:val="20"/>
          <w:szCs w:val="20"/>
          <w:lang w:val="en-US"/>
        </w:rPr>
        <w:t>. The letter “M” represents individual mice (1-10)</w:t>
      </w:r>
    </w:p>
    <w:p w14:paraId="23382E9B" w14:textId="77777777" w:rsidR="00BA759F" w:rsidRPr="004F0B06" w:rsidRDefault="00BA759F" w:rsidP="00BA759F">
      <w:pPr>
        <w:spacing w:after="360" w:line="480" w:lineRule="auto"/>
        <w:jc w:val="both"/>
        <w:rPr>
          <w:b/>
          <w:color w:val="000000" w:themeColor="text1"/>
          <w:sz w:val="20"/>
          <w:szCs w:val="20"/>
          <w:lang w:val="en-US"/>
        </w:rPr>
      </w:pPr>
      <w:r w:rsidRPr="004F0B06">
        <w:rPr>
          <w:b/>
          <w:noProof/>
          <w:color w:val="000000" w:themeColor="text1"/>
          <w:sz w:val="20"/>
          <w:szCs w:val="20"/>
          <w14:ligatures w14:val="standardContextual"/>
        </w:rPr>
        <w:drawing>
          <wp:anchor distT="0" distB="0" distL="114300" distR="114300" simplePos="0" relativeHeight="251660800" behindDoc="0" locked="0" layoutInCell="1" allowOverlap="1" wp14:anchorId="695F1464" wp14:editId="7F9E300B">
            <wp:simplePos x="0" y="0"/>
            <wp:positionH relativeFrom="margin">
              <wp:posOffset>129209</wp:posOffset>
            </wp:positionH>
            <wp:positionV relativeFrom="paragraph">
              <wp:posOffset>188595</wp:posOffset>
            </wp:positionV>
            <wp:extent cx="5454595" cy="5557962"/>
            <wp:effectExtent l="0" t="0" r="0" b="0"/>
            <wp:wrapSquare wrapText="bothSides"/>
            <wp:docPr id="11259420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42045" name="Grafik 1125942045"/>
                    <pic:cNvPicPr/>
                  </pic:nvPicPr>
                  <pic:blipFill rotWithShape="1">
                    <a:blip r:embed="rId7" cstate="print">
                      <a:extLst>
                        <a:ext uri="{28A0092B-C50C-407E-A947-70E740481C1C}">
                          <a14:useLocalDpi xmlns:a14="http://schemas.microsoft.com/office/drawing/2010/main" val="0"/>
                        </a:ext>
                      </a:extLst>
                    </a:blip>
                    <a:srcRect r="5314" b="31780"/>
                    <a:stretch>
                      <a:fillRect/>
                    </a:stretch>
                  </pic:blipFill>
                  <pic:spPr bwMode="auto">
                    <a:xfrm>
                      <a:off x="0" y="0"/>
                      <a:ext cx="5454595" cy="5557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0B77E" w14:textId="5C9F01FE" w:rsidR="00BA759F" w:rsidRPr="004F0B06" w:rsidRDefault="00BA759F" w:rsidP="00BA759F">
      <w:pPr>
        <w:spacing w:after="360" w:line="480" w:lineRule="auto"/>
        <w:jc w:val="both"/>
        <w:rPr>
          <w:sz w:val="20"/>
          <w:szCs w:val="20"/>
          <w:lang w:val="en-US"/>
        </w:rPr>
      </w:pPr>
      <w:r w:rsidRPr="004F0B06">
        <w:rPr>
          <w:b/>
          <w:sz w:val="20"/>
          <w:szCs w:val="20"/>
          <w:lang w:val="en-US"/>
        </w:rPr>
        <w:t xml:space="preserve">Fig. S3 Stable systemic physiological parameters and muscle perfusion confirm tumor-intrinsic origins of heterogeneous perfusion patterns. (A) </w:t>
      </w:r>
      <w:r w:rsidRPr="004F0B06">
        <w:rPr>
          <w:sz w:val="20"/>
          <w:szCs w:val="20"/>
          <w:lang w:val="en-US"/>
        </w:rPr>
        <w:t xml:space="preserve">Breathing rate (breaths/min) and </w:t>
      </w:r>
      <w:r w:rsidRPr="004F0B06">
        <w:rPr>
          <w:b/>
          <w:sz w:val="20"/>
          <w:szCs w:val="20"/>
          <w:lang w:val="en-US"/>
        </w:rPr>
        <w:t>(B)</w:t>
      </w:r>
      <w:r w:rsidRPr="004F0B06">
        <w:rPr>
          <w:sz w:val="20"/>
          <w:szCs w:val="20"/>
          <w:lang w:val="en-US"/>
        </w:rPr>
        <w:t xml:space="preserve"> heart rate (beats/min) of three mice measured throughout the 9-hour imaging period under isoflurane anesthesia. Both parameters remained within a stable physiological range over time. </w:t>
      </w:r>
      <w:r w:rsidRPr="004F0B06">
        <w:rPr>
          <w:b/>
          <w:sz w:val="20"/>
          <w:szCs w:val="20"/>
          <w:lang w:val="en-US"/>
        </w:rPr>
        <w:t>(C-E)</w:t>
      </w:r>
      <w:r w:rsidRPr="004F0B06">
        <w:rPr>
          <w:sz w:val="20"/>
          <w:szCs w:val="20"/>
          <w:lang w:val="en-US"/>
        </w:rPr>
        <w:t xml:space="preserve"> PE and AUC derived from CEUS measurements in tumor tissue (C,E) and muscle tissue (D,F), displayed as values normalize to baseline (0h = 100%). In contrast to tumors, muscle </w:t>
      </w:r>
      <w:r w:rsidRPr="004F0B06">
        <w:rPr>
          <w:sz w:val="20"/>
          <w:szCs w:val="20"/>
          <w:lang w:val="en-US"/>
        </w:rPr>
        <w:lastRenderedPageBreak/>
        <w:t>tissue perfusion remained largely stable across all imaging timepoints, showing only minor variability. Tumor tissue, on the other hand, exhibited pronounced temporal fluctuations in perfusion parameters. Importantly, any changes observed in the muscle tissue did not follow the magnitude or directional patterns seen in tumors. The markedly lower variability observed in muscle and the lack of matching temporal trends between muscle tissue and tumors reflect that observed perfusion dynamics predominantly reflect tumor-intrinsic microvascular processes, rather than systemic effects induced by prolonged anesthesia</w:t>
      </w:r>
      <w:r w:rsidR="00096DAF" w:rsidRPr="004F0B06">
        <w:rPr>
          <w:sz w:val="20"/>
          <w:szCs w:val="20"/>
          <w:lang w:val="en-US"/>
        </w:rPr>
        <w:t>. The letter “M” represents individual mice (1-10)</w:t>
      </w:r>
    </w:p>
    <w:p w14:paraId="426C25AE" w14:textId="0A43B09C" w:rsidR="00BA759F" w:rsidRPr="004F0B06" w:rsidRDefault="00722F15" w:rsidP="00BA759F">
      <w:pPr>
        <w:jc w:val="both"/>
        <w:rPr>
          <w:sz w:val="20"/>
          <w:szCs w:val="20"/>
          <w14:ligatures w14:val="standardContextual"/>
        </w:rPr>
      </w:pPr>
      <w:r w:rsidRPr="004F0B06">
        <w:rPr>
          <w:noProof/>
          <w:sz w:val="20"/>
          <w:szCs w:val="20"/>
          <w14:ligatures w14:val="standardContextual"/>
        </w:rPr>
        <w:drawing>
          <wp:inline distT="0" distB="0" distL="0" distR="0" wp14:anchorId="61DB07BE" wp14:editId="360FD73E">
            <wp:extent cx="5760276" cy="4123765"/>
            <wp:effectExtent l="0" t="0" r="0" b="0"/>
            <wp:docPr id="586179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7991" name="Grafik 58617991"/>
                    <pic:cNvPicPr/>
                  </pic:nvPicPr>
                  <pic:blipFill rotWithShape="1">
                    <a:blip r:embed="rId8" cstate="print">
                      <a:extLst>
                        <a:ext uri="{28A0092B-C50C-407E-A947-70E740481C1C}">
                          <a14:useLocalDpi xmlns:a14="http://schemas.microsoft.com/office/drawing/2010/main" val="0"/>
                        </a:ext>
                      </a:extLst>
                    </a:blip>
                    <a:srcRect t="22668" b="26712"/>
                    <a:stretch>
                      <a:fillRect/>
                    </a:stretch>
                  </pic:blipFill>
                  <pic:spPr bwMode="auto">
                    <a:xfrm>
                      <a:off x="0" y="0"/>
                      <a:ext cx="5760720" cy="4124083"/>
                    </a:xfrm>
                    <a:prstGeom prst="rect">
                      <a:avLst/>
                    </a:prstGeom>
                    <a:ln>
                      <a:noFill/>
                    </a:ln>
                    <a:extLst>
                      <a:ext uri="{53640926-AAD7-44D8-BBD7-CCE9431645EC}">
                        <a14:shadowObscured xmlns:a14="http://schemas.microsoft.com/office/drawing/2010/main"/>
                      </a:ext>
                    </a:extLst>
                  </pic:spPr>
                </pic:pic>
              </a:graphicData>
            </a:graphic>
          </wp:inline>
        </w:drawing>
      </w:r>
    </w:p>
    <w:p w14:paraId="49EE53EF" w14:textId="099E8158" w:rsidR="00BA759F" w:rsidRPr="004F0B06" w:rsidRDefault="00BA759F" w:rsidP="00BA759F">
      <w:pPr>
        <w:spacing w:line="360" w:lineRule="auto"/>
        <w:jc w:val="both"/>
        <w:rPr>
          <w:sz w:val="20"/>
          <w:szCs w:val="20"/>
          <w:lang w:val="en-US"/>
        </w:rPr>
      </w:pPr>
      <w:r w:rsidRPr="004F0B06">
        <w:rPr>
          <w:b/>
          <w:sz w:val="20"/>
          <w:szCs w:val="20"/>
          <w:lang w:val="en-US"/>
        </w:rPr>
        <w:t xml:space="preserve">Fig. S4 MB track detection metric remains stable over time. (A-D) </w:t>
      </w:r>
      <w:r w:rsidR="007C3DC0" w:rsidRPr="004F0B06">
        <w:rPr>
          <w:bCs/>
          <w:sz w:val="20"/>
          <w:szCs w:val="20"/>
          <w:lang w:val="en-US"/>
        </w:rPr>
        <w:t xml:space="preserve">Mean </w:t>
      </w:r>
      <w:r w:rsidRPr="004F0B06">
        <w:rPr>
          <w:sz w:val="20"/>
          <w:szCs w:val="20"/>
          <w:lang w:val="en-US"/>
        </w:rPr>
        <w:t xml:space="preserve">MB track counts derived from ULM analysis across the same imaging timepoints. (A) Mean baseline-normalized track counts in BCSC1 and MCF-7 tumors (0 h = 100%). Data are shown as mean ± SD. (B,C) Individual tumor </w:t>
      </w:r>
      <w:r w:rsidR="008C1393" w:rsidRPr="004F0B06">
        <w:rPr>
          <w:sz w:val="20"/>
          <w:szCs w:val="20"/>
          <w:lang w:val="en-US"/>
        </w:rPr>
        <w:t>profiles</w:t>
      </w:r>
      <w:r w:rsidRPr="004F0B06">
        <w:rPr>
          <w:sz w:val="20"/>
          <w:szCs w:val="20"/>
          <w:lang w:val="en-US"/>
        </w:rPr>
        <w:t xml:space="preserve"> for BCSC1 and MCF-7 xenografts. (D) Distribution of relative track count values across all monitored timepoints, presented as the maximum percentage deviation from the mean within each tumor. Box-and-whisker plots display the median as well as the interquartile range with the full range of the data</w:t>
      </w:r>
      <w:r w:rsidR="006D0569" w:rsidRPr="004F0B06">
        <w:rPr>
          <w:sz w:val="20"/>
          <w:szCs w:val="20"/>
          <w:lang w:val="en-US"/>
        </w:rPr>
        <w:t>. The letter “M” represents individual mice (1-10)</w:t>
      </w:r>
    </w:p>
    <w:p w14:paraId="5716DBDA" w14:textId="77777777" w:rsidR="00BA759F" w:rsidRPr="004F0B06" w:rsidRDefault="00BA759F" w:rsidP="00BA759F">
      <w:pPr>
        <w:spacing w:line="360" w:lineRule="auto"/>
        <w:jc w:val="both"/>
        <w:rPr>
          <w:sz w:val="20"/>
          <w:szCs w:val="20"/>
          <w:lang w:val="en-US"/>
          <w14:ligatures w14:val="standardContextual"/>
        </w:rPr>
      </w:pPr>
    </w:p>
    <w:p w14:paraId="22FD26D8" w14:textId="5E98C0B7" w:rsidR="00BA759F" w:rsidRPr="004F0B06" w:rsidRDefault="00722F15" w:rsidP="00BA759F">
      <w:pPr>
        <w:spacing w:line="360" w:lineRule="auto"/>
        <w:jc w:val="both"/>
        <w:rPr>
          <w:sz w:val="20"/>
          <w:szCs w:val="20"/>
          <w:lang w:val="en-US"/>
          <w14:ligatures w14:val="standardContextual"/>
        </w:rPr>
      </w:pPr>
      <w:r w:rsidRPr="004F0B06">
        <w:rPr>
          <w:noProof/>
          <w:sz w:val="20"/>
          <w:szCs w:val="20"/>
          <w:lang w:val="en-US"/>
          <w14:ligatures w14:val="standardContextual"/>
        </w:rPr>
        <w:lastRenderedPageBreak/>
        <w:drawing>
          <wp:inline distT="0" distB="0" distL="0" distR="0" wp14:anchorId="25261E26" wp14:editId="3AF7233E">
            <wp:extent cx="5760720" cy="8147050"/>
            <wp:effectExtent l="0" t="0" r="0" b="6350"/>
            <wp:docPr id="62477944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9446" name="Grafik 6247794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64C7EE7B" w14:textId="457A6AEA" w:rsidR="00BA759F" w:rsidRPr="004F0B06" w:rsidRDefault="00BA759F" w:rsidP="00BA759F">
      <w:pPr>
        <w:jc w:val="both"/>
        <w:rPr>
          <w:sz w:val="20"/>
          <w:szCs w:val="20"/>
          <w14:ligatures w14:val="standardContextual"/>
        </w:rPr>
      </w:pPr>
    </w:p>
    <w:p w14:paraId="6514BF7F" w14:textId="2398575F" w:rsidR="00BA759F" w:rsidRPr="004F0B06" w:rsidRDefault="00BA759F" w:rsidP="00BA759F">
      <w:pPr>
        <w:spacing w:line="360" w:lineRule="auto"/>
        <w:jc w:val="both"/>
        <w:rPr>
          <w:sz w:val="20"/>
          <w:szCs w:val="20"/>
          <w:lang w:val="en-US"/>
        </w:rPr>
      </w:pPr>
      <w:r w:rsidRPr="004F0B06">
        <w:rPr>
          <w:b/>
          <w:sz w:val="20"/>
          <w:szCs w:val="20"/>
          <w:lang w:val="en-US"/>
        </w:rPr>
        <w:t xml:space="preserve">Fig. S5 </w:t>
      </w:r>
      <w:r w:rsidR="002B56FB" w:rsidRPr="004F0B06">
        <w:rPr>
          <w:b/>
          <w:sz w:val="20"/>
          <w:szCs w:val="20"/>
          <w:lang w:val="en-US"/>
        </w:rPr>
        <w:t>Mean t</w:t>
      </w:r>
      <w:r w:rsidRPr="004F0B06">
        <w:rPr>
          <w:b/>
          <w:sz w:val="20"/>
          <w:szCs w:val="20"/>
          <w:lang w:val="en-US"/>
        </w:rPr>
        <w:t xml:space="preserve">rack length and </w:t>
      </w:r>
      <w:r w:rsidR="002B56FB" w:rsidRPr="004F0B06">
        <w:rPr>
          <w:b/>
          <w:sz w:val="20"/>
          <w:szCs w:val="20"/>
          <w:lang w:val="en-US"/>
        </w:rPr>
        <w:t xml:space="preserve">mean </w:t>
      </w:r>
      <w:r w:rsidRPr="004F0B06">
        <w:rPr>
          <w:b/>
          <w:sz w:val="20"/>
          <w:szCs w:val="20"/>
          <w:lang w:val="en-US"/>
        </w:rPr>
        <w:t>track-wise velocity metrics exhibit high intratumoral heterogeneity without significant differences between tumor groups. (A-C)</w:t>
      </w:r>
      <w:r w:rsidRPr="004F0B06">
        <w:rPr>
          <w:sz w:val="20"/>
          <w:szCs w:val="20"/>
          <w:lang w:val="en-US"/>
        </w:rPr>
        <w:t xml:space="preserve"> </w:t>
      </w:r>
      <w:r w:rsidR="000772CC" w:rsidRPr="004F0B06">
        <w:rPr>
          <w:sz w:val="20"/>
          <w:szCs w:val="20"/>
          <w:lang w:val="en-US"/>
        </w:rPr>
        <w:t>Mean t</w:t>
      </w:r>
      <w:r w:rsidRPr="004F0B06">
        <w:rPr>
          <w:sz w:val="20"/>
          <w:szCs w:val="20"/>
          <w:lang w:val="en-US"/>
        </w:rPr>
        <w:t xml:space="preserve">rack length derived from ULM analysis across the monitored timepoints. (A) Mean relative track length in BCSC1 and MCF-7 xenografts expressed as </w:t>
      </w:r>
      <w:r w:rsidRPr="004F0B06">
        <w:rPr>
          <w:sz w:val="20"/>
          <w:szCs w:val="20"/>
          <w:lang w:val="en-US"/>
        </w:rPr>
        <w:lastRenderedPageBreak/>
        <w:t xml:space="preserve">percentage change relative to the baseline (0h = 100%). Data as shown as mean ± SD. (B,C) Relative </w:t>
      </w:r>
      <w:r w:rsidR="00D6073B" w:rsidRPr="004F0B06">
        <w:rPr>
          <w:sz w:val="20"/>
          <w:szCs w:val="20"/>
          <w:lang w:val="en-US"/>
        </w:rPr>
        <w:t xml:space="preserve">mean </w:t>
      </w:r>
      <w:r w:rsidRPr="004F0B06">
        <w:rPr>
          <w:sz w:val="20"/>
          <w:szCs w:val="20"/>
          <w:lang w:val="en-US"/>
        </w:rPr>
        <w:t xml:space="preserve">track length </w:t>
      </w:r>
      <w:r w:rsidR="008C1393" w:rsidRPr="004F0B06">
        <w:rPr>
          <w:sz w:val="20"/>
          <w:szCs w:val="20"/>
          <w:lang w:val="en-US"/>
        </w:rPr>
        <w:t>developments</w:t>
      </w:r>
      <w:r w:rsidRPr="004F0B06">
        <w:rPr>
          <w:sz w:val="20"/>
          <w:szCs w:val="20"/>
          <w:lang w:val="en-US"/>
        </w:rPr>
        <w:t xml:space="preserve"> for individual tumors within each subgroup, showing changes over time for (B) BCSC1 and (C) MCF-7 tumors. </w:t>
      </w:r>
      <w:r w:rsidRPr="004F0B06">
        <w:rPr>
          <w:b/>
          <w:sz w:val="20"/>
          <w:szCs w:val="20"/>
          <w:lang w:val="en-US"/>
        </w:rPr>
        <w:t>(D)</w:t>
      </w:r>
      <w:r w:rsidRPr="004F0B06">
        <w:rPr>
          <w:sz w:val="20"/>
          <w:szCs w:val="20"/>
          <w:lang w:val="en-US"/>
        </w:rPr>
        <w:t xml:space="preserve"> Distribution of track length variability across all timepoints, shown as maximum percentage deviation from the mean within each tumor over 9 hours. </w:t>
      </w:r>
      <w:r w:rsidRPr="004F0B06">
        <w:rPr>
          <w:b/>
          <w:sz w:val="20"/>
          <w:szCs w:val="20"/>
          <w:lang w:val="en-US"/>
        </w:rPr>
        <w:t>(E-H)</w:t>
      </w:r>
      <w:r w:rsidRPr="004F0B06">
        <w:rPr>
          <w:sz w:val="20"/>
          <w:szCs w:val="20"/>
          <w:lang w:val="en-US"/>
        </w:rPr>
        <w:t xml:space="preserve"> </w:t>
      </w:r>
      <w:r w:rsidR="00D6073B" w:rsidRPr="004F0B06">
        <w:rPr>
          <w:sz w:val="20"/>
          <w:szCs w:val="20"/>
          <w:lang w:val="en-US"/>
        </w:rPr>
        <w:t>Mean t</w:t>
      </w:r>
      <w:r w:rsidRPr="004F0B06">
        <w:rPr>
          <w:sz w:val="20"/>
          <w:szCs w:val="20"/>
          <w:lang w:val="en-US"/>
        </w:rPr>
        <w:t>rack-wise MB velocity over time. (E) Mean relative velocity derived from individual MB tracks in BCSC1 and MCF-7 xenografts. Values are displayed relative to the baseline (0h = 100%). Data are presented as mean ± SD. (F,G) Relative track-wise velocity development over time in (F) BCSC1 and (G) MCF-7 tumors. (H)</w:t>
      </w:r>
      <w:r w:rsidRPr="004F0B06">
        <w:rPr>
          <w:b/>
          <w:sz w:val="20"/>
          <w:szCs w:val="20"/>
          <w:lang w:val="en-US"/>
        </w:rPr>
        <w:t xml:space="preserve"> </w:t>
      </w:r>
      <w:r w:rsidRPr="004F0B06">
        <w:rPr>
          <w:sz w:val="20"/>
          <w:szCs w:val="20"/>
          <w:lang w:val="en-US"/>
        </w:rPr>
        <w:t>Distribution of the intra-tumoral variability of track-wise velocity across all timepoints, expressed as the maximum percentage deviation from the mean. (D,H) Box-and-whisker plots display the median as well as the interquartile range with the full range of the data</w:t>
      </w:r>
      <w:r w:rsidR="006968C2" w:rsidRPr="004F0B06">
        <w:rPr>
          <w:sz w:val="20"/>
          <w:szCs w:val="20"/>
          <w:lang w:val="en-US"/>
        </w:rPr>
        <w:t>. The letter “M” represents individual mice (1-10)</w:t>
      </w:r>
    </w:p>
    <w:p w14:paraId="68034AAB" w14:textId="77777777" w:rsidR="00BA759F" w:rsidRPr="004F0B06" w:rsidRDefault="00BA759F" w:rsidP="00BA759F">
      <w:pPr>
        <w:jc w:val="both"/>
        <w:rPr>
          <w:sz w:val="20"/>
          <w:szCs w:val="20"/>
          <w:lang w:val="en-US"/>
          <w14:ligatures w14:val="standardContextual"/>
        </w:rPr>
      </w:pPr>
    </w:p>
    <w:p w14:paraId="615472A9" w14:textId="77777777" w:rsidR="00BA759F" w:rsidRPr="004F0B06" w:rsidRDefault="00BA759F" w:rsidP="00BA759F">
      <w:pPr>
        <w:jc w:val="both"/>
        <w:rPr>
          <w:sz w:val="20"/>
          <w:szCs w:val="20"/>
          <w:lang w:val="en-US"/>
          <w14:ligatures w14:val="standardContextual"/>
        </w:rPr>
      </w:pPr>
    </w:p>
    <w:p w14:paraId="7FBFB6DA" w14:textId="77777777" w:rsidR="00BA759F" w:rsidRPr="004F0B06" w:rsidRDefault="00BA759F" w:rsidP="00BA759F">
      <w:pPr>
        <w:jc w:val="both"/>
        <w:rPr>
          <w:sz w:val="20"/>
          <w:szCs w:val="20"/>
          <w:lang w:val="en-US"/>
          <w14:ligatures w14:val="standardContextual"/>
        </w:rPr>
      </w:pPr>
    </w:p>
    <w:p w14:paraId="78D6B3E4" w14:textId="02ED0A35" w:rsidR="00BA759F" w:rsidRPr="004F0B06" w:rsidRDefault="003C3AEE" w:rsidP="00BA759F">
      <w:pPr>
        <w:jc w:val="both"/>
        <w:rPr>
          <w:sz w:val="20"/>
          <w:szCs w:val="20"/>
          <w14:ligatures w14:val="standardContextual"/>
        </w:rPr>
      </w:pPr>
      <w:r w:rsidRPr="004F0B06">
        <w:rPr>
          <w:noProof/>
          <w:sz w:val="20"/>
          <w:szCs w:val="20"/>
          <w14:ligatures w14:val="standardContextual"/>
        </w:rPr>
        <w:lastRenderedPageBreak/>
        <w:drawing>
          <wp:inline distT="0" distB="0" distL="0" distR="0" wp14:anchorId="5AAD4DD9" wp14:editId="50A5906E">
            <wp:extent cx="5760289" cy="6452559"/>
            <wp:effectExtent l="0" t="0" r="0" b="5715"/>
            <wp:docPr id="12284999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9996" name="Grafik 1228499996"/>
                    <pic:cNvPicPr/>
                  </pic:nvPicPr>
                  <pic:blipFill rotWithShape="1">
                    <a:blip r:embed="rId10" cstate="print">
                      <a:extLst>
                        <a:ext uri="{28A0092B-C50C-407E-A947-70E740481C1C}">
                          <a14:useLocalDpi xmlns:a14="http://schemas.microsoft.com/office/drawing/2010/main" val="0"/>
                        </a:ext>
                      </a:extLst>
                    </a:blip>
                    <a:srcRect t="7623" b="13169"/>
                    <a:stretch>
                      <a:fillRect/>
                    </a:stretch>
                  </pic:blipFill>
                  <pic:spPr bwMode="auto">
                    <a:xfrm>
                      <a:off x="0" y="0"/>
                      <a:ext cx="5760720" cy="6453042"/>
                    </a:xfrm>
                    <a:prstGeom prst="rect">
                      <a:avLst/>
                    </a:prstGeom>
                    <a:ln>
                      <a:noFill/>
                    </a:ln>
                    <a:extLst>
                      <a:ext uri="{53640926-AAD7-44D8-BBD7-CCE9431645EC}">
                        <a14:shadowObscured xmlns:a14="http://schemas.microsoft.com/office/drawing/2010/main"/>
                      </a:ext>
                    </a:extLst>
                  </pic:spPr>
                </pic:pic>
              </a:graphicData>
            </a:graphic>
          </wp:inline>
        </w:drawing>
      </w:r>
    </w:p>
    <w:p w14:paraId="5FC024D7" w14:textId="77777777" w:rsidR="00BA759F" w:rsidRPr="004F0B06" w:rsidRDefault="00BA759F" w:rsidP="00BA759F">
      <w:pPr>
        <w:jc w:val="both"/>
        <w:rPr>
          <w:sz w:val="20"/>
          <w:szCs w:val="20"/>
          <w14:ligatures w14:val="standardContextual"/>
        </w:rPr>
      </w:pPr>
    </w:p>
    <w:p w14:paraId="79AC4DE2" w14:textId="77777777" w:rsidR="009276F3" w:rsidRPr="004F0B06" w:rsidRDefault="00BA759F" w:rsidP="009276F3">
      <w:pPr>
        <w:spacing w:line="360" w:lineRule="auto"/>
        <w:jc w:val="both"/>
        <w:rPr>
          <w:sz w:val="20"/>
          <w:szCs w:val="20"/>
          <w:lang w:val="en-US"/>
        </w:rPr>
      </w:pPr>
      <w:r w:rsidRPr="004F0B06">
        <w:rPr>
          <w:b/>
          <w:sz w:val="20"/>
          <w:szCs w:val="20"/>
          <w:lang w:val="en-US"/>
        </w:rPr>
        <w:t>Fig. S6 Absolute deviations from the baseline reveal heterogeneous parameter-specific variability across individual tumors. (A-</w:t>
      </w:r>
      <w:r w:rsidR="000772CC" w:rsidRPr="004F0B06">
        <w:rPr>
          <w:b/>
          <w:sz w:val="20"/>
          <w:szCs w:val="20"/>
          <w:lang w:val="en-US"/>
        </w:rPr>
        <w:t>C</w:t>
      </w:r>
      <w:r w:rsidRPr="004F0B06">
        <w:rPr>
          <w:b/>
          <w:sz w:val="20"/>
          <w:szCs w:val="20"/>
          <w:lang w:val="en-US"/>
        </w:rPr>
        <w:t>)</w:t>
      </w:r>
      <w:r w:rsidRPr="004F0B06">
        <w:rPr>
          <w:sz w:val="20"/>
          <w:szCs w:val="20"/>
          <w:lang w:val="en-US"/>
        </w:rPr>
        <w:t xml:space="preserve"> Absolute changes relative to the baseline (</w:t>
      </w:r>
      <w:r w:rsidRPr="004F0B06">
        <w:rPr>
          <w:sz w:val="20"/>
          <w:szCs w:val="20"/>
        </w:rPr>
        <w:t>Δ</w:t>
      </w:r>
      <w:r w:rsidRPr="004F0B06">
        <w:rPr>
          <w:b/>
          <w:sz w:val="20"/>
          <w:szCs w:val="20"/>
          <w:lang w:val="en-US"/>
        </w:rPr>
        <w:t xml:space="preserve"> </w:t>
      </w:r>
      <w:r w:rsidRPr="004F0B06">
        <w:rPr>
          <w:sz w:val="20"/>
          <w:szCs w:val="20"/>
          <w:lang w:val="en-US"/>
        </w:rPr>
        <w:t>from 0h) for selected microvascular parameters quantified by ULM across the monitored timepoints post-MB injection at 3h, 6h, and 9h for (A)</w:t>
      </w:r>
      <w:r w:rsidR="000772CC" w:rsidRPr="004F0B06">
        <w:rPr>
          <w:sz w:val="20"/>
          <w:szCs w:val="20"/>
          <w:lang w:val="en-US"/>
        </w:rPr>
        <w:t xml:space="preserve"> mean</w:t>
      </w:r>
      <w:r w:rsidRPr="004F0B06">
        <w:rPr>
          <w:sz w:val="20"/>
          <w:szCs w:val="20"/>
          <w:lang w:val="en-US"/>
        </w:rPr>
        <w:t xml:space="preserve"> track counts, (</w:t>
      </w:r>
      <w:r w:rsidR="000772CC" w:rsidRPr="004F0B06">
        <w:rPr>
          <w:sz w:val="20"/>
          <w:szCs w:val="20"/>
          <w:lang w:val="en-US"/>
        </w:rPr>
        <w:t>B</w:t>
      </w:r>
      <w:r w:rsidRPr="004F0B06">
        <w:rPr>
          <w:sz w:val="20"/>
          <w:szCs w:val="20"/>
          <w:lang w:val="en-US"/>
        </w:rPr>
        <w:t xml:space="preserve">) </w:t>
      </w:r>
      <w:r w:rsidR="000772CC" w:rsidRPr="004F0B06">
        <w:rPr>
          <w:sz w:val="20"/>
          <w:szCs w:val="20"/>
          <w:lang w:val="en-US"/>
        </w:rPr>
        <w:t xml:space="preserve">mean </w:t>
      </w:r>
      <w:r w:rsidRPr="004F0B06">
        <w:rPr>
          <w:sz w:val="20"/>
          <w:szCs w:val="20"/>
          <w:lang w:val="en-US"/>
        </w:rPr>
        <w:t>track length, and (</w:t>
      </w:r>
      <w:r w:rsidR="000772CC" w:rsidRPr="004F0B06">
        <w:rPr>
          <w:sz w:val="20"/>
          <w:szCs w:val="20"/>
          <w:lang w:val="en-US"/>
        </w:rPr>
        <w:t>C</w:t>
      </w:r>
      <w:r w:rsidRPr="004F0B06">
        <w:rPr>
          <w:sz w:val="20"/>
          <w:szCs w:val="20"/>
          <w:lang w:val="en-US"/>
        </w:rPr>
        <w:t>)</w:t>
      </w:r>
      <w:r w:rsidR="000772CC" w:rsidRPr="004F0B06">
        <w:rPr>
          <w:sz w:val="20"/>
          <w:szCs w:val="20"/>
          <w:lang w:val="en-US"/>
        </w:rPr>
        <w:t xml:space="preserve"> mean</w:t>
      </w:r>
      <w:r w:rsidRPr="004F0B06">
        <w:rPr>
          <w:sz w:val="20"/>
          <w:szCs w:val="20"/>
          <w:lang w:val="en-US"/>
        </w:rPr>
        <w:t xml:space="preserve"> track-wise velocity. Graphs on the left summarize average values for BCSC1 and MCF-7 xenografts, while graphs on the right show the absolute deviations for every individual tumor within each model. While the extent of deviation varied between tumors, no consistent or significant differences were observed in deviation magnitude between the two tumor models</w:t>
      </w:r>
      <w:r w:rsidR="009276F3" w:rsidRPr="004F0B06">
        <w:rPr>
          <w:sz w:val="20"/>
          <w:szCs w:val="20"/>
          <w:lang w:val="en-US"/>
        </w:rPr>
        <w:t>. The letter “M” represents individual mice (1-10)</w:t>
      </w:r>
    </w:p>
    <w:p w14:paraId="6952456A" w14:textId="6234C971" w:rsidR="00BA759F" w:rsidRPr="004F0B06" w:rsidRDefault="00BA759F" w:rsidP="00BA759F">
      <w:pPr>
        <w:spacing w:line="360" w:lineRule="auto"/>
        <w:jc w:val="both"/>
        <w:rPr>
          <w:sz w:val="20"/>
          <w:szCs w:val="20"/>
          <w:lang w:val="en-US"/>
        </w:rPr>
      </w:pPr>
      <w:r w:rsidRPr="004F0B06">
        <w:rPr>
          <w:sz w:val="20"/>
          <w:szCs w:val="20"/>
          <w:lang w:val="en-US"/>
        </w:rPr>
        <w:t xml:space="preserve"> </w:t>
      </w:r>
    </w:p>
    <w:p w14:paraId="143DD046" w14:textId="77777777" w:rsidR="00BA759F" w:rsidRPr="004F0B06" w:rsidRDefault="00BA759F" w:rsidP="00BA759F">
      <w:pPr>
        <w:jc w:val="both"/>
        <w:rPr>
          <w:sz w:val="20"/>
          <w:szCs w:val="20"/>
          <w:lang w:val="en-US"/>
        </w:rPr>
      </w:pPr>
    </w:p>
    <w:p w14:paraId="226BBBF6" w14:textId="77777777" w:rsidR="00BA759F" w:rsidRPr="004F0B06" w:rsidRDefault="00BA759F" w:rsidP="00BA759F">
      <w:pPr>
        <w:jc w:val="both"/>
        <w:rPr>
          <w:sz w:val="20"/>
          <w:szCs w:val="20"/>
          <w:lang w:val="en-US"/>
        </w:rPr>
      </w:pPr>
    </w:p>
    <w:p w14:paraId="1A169E7E" w14:textId="3486F08C" w:rsidR="00BA759F" w:rsidRPr="004F0B06" w:rsidRDefault="001F224F" w:rsidP="00BA759F">
      <w:pPr>
        <w:jc w:val="both"/>
        <w:rPr>
          <w:sz w:val="20"/>
          <w:szCs w:val="20"/>
          <w:lang w:val="en-US"/>
        </w:rPr>
      </w:pPr>
      <w:r w:rsidRPr="004F0B06">
        <w:rPr>
          <w:noProof/>
          <w:sz w:val="20"/>
          <w:szCs w:val="20"/>
          <w:lang w:val="en-US"/>
          <w14:ligatures w14:val="standardContextual"/>
        </w:rPr>
        <w:lastRenderedPageBreak/>
        <w:drawing>
          <wp:inline distT="0" distB="0" distL="0" distR="0" wp14:anchorId="37C6FDF5" wp14:editId="6E7A1B9A">
            <wp:extent cx="5760720" cy="6294213"/>
            <wp:effectExtent l="0" t="0" r="0" b="0"/>
            <wp:docPr id="15002274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7408" name="Grafik 1500227408"/>
                    <pic:cNvPicPr/>
                  </pic:nvPicPr>
                  <pic:blipFill rotWithShape="1">
                    <a:blip r:embed="rId11" cstate="print">
                      <a:extLst>
                        <a:ext uri="{28A0092B-C50C-407E-A947-70E740481C1C}">
                          <a14:useLocalDpi xmlns:a14="http://schemas.microsoft.com/office/drawing/2010/main" val="0"/>
                        </a:ext>
                      </a:extLst>
                    </a:blip>
                    <a:srcRect b="22743"/>
                    <a:stretch>
                      <a:fillRect/>
                    </a:stretch>
                  </pic:blipFill>
                  <pic:spPr bwMode="auto">
                    <a:xfrm>
                      <a:off x="0" y="0"/>
                      <a:ext cx="5760720" cy="6294213"/>
                    </a:xfrm>
                    <a:prstGeom prst="rect">
                      <a:avLst/>
                    </a:prstGeom>
                    <a:ln>
                      <a:noFill/>
                    </a:ln>
                    <a:extLst>
                      <a:ext uri="{53640926-AAD7-44D8-BBD7-CCE9431645EC}">
                        <a14:shadowObscured xmlns:a14="http://schemas.microsoft.com/office/drawing/2010/main"/>
                      </a:ext>
                    </a:extLst>
                  </pic:spPr>
                </pic:pic>
              </a:graphicData>
            </a:graphic>
          </wp:inline>
        </w:drawing>
      </w:r>
    </w:p>
    <w:p w14:paraId="70CAFE3E" w14:textId="3D9BF889" w:rsidR="00BA759F" w:rsidRPr="004F0B06" w:rsidRDefault="00BA759F" w:rsidP="00BA759F">
      <w:pPr>
        <w:spacing w:line="360" w:lineRule="auto"/>
        <w:jc w:val="both"/>
        <w:rPr>
          <w:sz w:val="20"/>
          <w:szCs w:val="20"/>
          <w:lang w:val="en-US"/>
        </w:rPr>
      </w:pPr>
      <w:r w:rsidRPr="004F0B06">
        <w:rPr>
          <w:b/>
          <w:sz w:val="20"/>
          <w:szCs w:val="20"/>
          <w:lang w:val="en-US"/>
        </w:rPr>
        <w:t xml:space="preserve">Fig. S7 Representative ULM-derived vascular maps illustrating the full spatial and local variability of MB track length and inflow time within the tumor microvasculature. (A,B) </w:t>
      </w:r>
      <w:r w:rsidRPr="004F0B06">
        <w:rPr>
          <w:sz w:val="20"/>
          <w:szCs w:val="20"/>
          <w:lang w:val="en-US"/>
        </w:rPr>
        <w:t xml:space="preserve">Representative track length maps derived from ULM analysis showing the spatial distribution of individual MB track lengths within the tumor vasculature of (A) BCSC1 and (B) MCF-7 xenografts. Colors indicate the length of reconstructed MB tracks across the vascular network. Dashed white boxes highlight representative regions of interest within the tumors. Enlarged views of the corresponding regions are shown below each map to illustrate the changes in local microvascular patterns. </w:t>
      </w:r>
      <w:r w:rsidRPr="004F0B06">
        <w:rPr>
          <w:b/>
          <w:sz w:val="20"/>
          <w:szCs w:val="20"/>
          <w:lang w:val="en-US"/>
        </w:rPr>
        <w:t>(C,D)</w:t>
      </w:r>
      <w:r w:rsidRPr="004F0B06">
        <w:rPr>
          <w:sz w:val="20"/>
          <w:szCs w:val="20"/>
          <w:lang w:val="en-US"/>
        </w:rPr>
        <w:t xml:space="preserve"> Inflow time illustrating the spatial distribution of MB arrival times within the tumor vasculature of (C) BCSC1 and (D) MCF-7 xenografts. Colors represent the relative inflow times of detected MBs. Dashed white boxes indicate the according magnified regions below, to illustrate changes at a recurring tumor area.</w:t>
      </w:r>
      <w:r w:rsidR="0083432D" w:rsidRPr="004F0B06">
        <w:rPr>
          <w:sz w:val="20"/>
          <w:szCs w:val="20"/>
          <w:lang w:val="en-US"/>
        </w:rPr>
        <w:t xml:space="preserve"> </w:t>
      </w:r>
      <w:r w:rsidR="002F3CC6" w:rsidRPr="004F0B06">
        <w:rPr>
          <w:sz w:val="20"/>
          <w:szCs w:val="20"/>
          <w:lang w:val="en-US"/>
        </w:rPr>
        <w:t>Scale bars of maps in the top rows: 2 mm. Scale bars of zoomed-in maps: 200 µm</w:t>
      </w:r>
      <w:r w:rsidRPr="004F0B06">
        <w:rPr>
          <w:sz w:val="20"/>
          <w:szCs w:val="20"/>
          <w:lang w:val="en-US"/>
        </w:rPr>
        <w:t xml:space="preserve">   </w:t>
      </w:r>
    </w:p>
    <w:p w14:paraId="368892C0" w14:textId="77777777" w:rsidR="00BA759F" w:rsidRPr="004F0B06" w:rsidRDefault="00BA759F" w:rsidP="00BA759F">
      <w:pPr>
        <w:jc w:val="both"/>
        <w:rPr>
          <w:sz w:val="20"/>
          <w:szCs w:val="20"/>
          <w:lang w:val="en-US"/>
        </w:rPr>
      </w:pPr>
    </w:p>
    <w:p w14:paraId="30729DE7" w14:textId="77777777" w:rsidR="00BA759F" w:rsidRPr="004F0B06" w:rsidRDefault="00BA759F" w:rsidP="00BA759F">
      <w:pPr>
        <w:jc w:val="both"/>
        <w:rPr>
          <w:sz w:val="20"/>
          <w:szCs w:val="20"/>
          <w:lang w:val="en-US"/>
        </w:rPr>
      </w:pPr>
    </w:p>
    <w:p w14:paraId="1547EABD" w14:textId="77777777" w:rsidR="00A348B0" w:rsidRPr="004F0B06" w:rsidRDefault="00A348B0">
      <w:pPr>
        <w:rPr>
          <w:sz w:val="20"/>
          <w:szCs w:val="20"/>
          <w:lang w:val="en-US"/>
        </w:rPr>
      </w:pPr>
    </w:p>
    <w:sectPr w:rsidR="00A348B0" w:rsidRPr="004F0B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0030"/>
    <w:multiLevelType w:val="hybridMultilevel"/>
    <w:tmpl w:val="BF9C5D7A"/>
    <w:lvl w:ilvl="0" w:tplc="73621852">
      <w:start w:val="1"/>
      <w:numFmt w:val="bullet"/>
      <w:lvlText w:val="•"/>
      <w:lvlJc w:val="left"/>
      <w:pPr>
        <w:tabs>
          <w:tab w:val="num" w:pos="720"/>
        </w:tabs>
        <w:ind w:left="720" w:hanging="360"/>
      </w:pPr>
      <w:rPr>
        <w:rFonts w:ascii="Arial" w:hAnsi="Arial" w:cs="Times New Roman" w:hint="default"/>
      </w:rPr>
    </w:lvl>
    <w:lvl w:ilvl="1" w:tplc="85DA773A">
      <w:start w:val="1"/>
      <w:numFmt w:val="bullet"/>
      <w:lvlText w:val="•"/>
      <w:lvlJc w:val="left"/>
      <w:pPr>
        <w:tabs>
          <w:tab w:val="num" w:pos="1440"/>
        </w:tabs>
        <w:ind w:left="1440" w:hanging="360"/>
      </w:pPr>
      <w:rPr>
        <w:rFonts w:ascii="Arial" w:hAnsi="Arial" w:cs="Times New Roman" w:hint="default"/>
      </w:rPr>
    </w:lvl>
    <w:lvl w:ilvl="2" w:tplc="76F03B2E">
      <w:start w:val="1"/>
      <w:numFmt w:val="bullet"/>
      <w:lvlText w:val="•"/>
      <w:lvlJc w:val="left"/>
      <w:pPr>
        <w:tabs>
          <w:tab w:val="num" w:pos="2160"/>
        </w:tabs>
        <w:ind w:left="2160" w:hanging="360"/>
      </w:pPr>
      <w:rPr>
        <w:rFonts w:ascii="Arial" w:hAnsi="Arial" w:cs="Times New Roman" w:hint="default"/>
      </w:rPr>
    </w:lvl>
    <w:lvl w:ilvl="3" w:tplc="D57813EE">
      <w:start w:val="1"/>
      <w:numFmt w:val="bullet"/>
      <w:lvlText w:val="•"/>
      <w:lvlJc w:val="left"/>
      <w:pPr>
        <w:tabs>
          <w:tab w:val="num" w:pos="2880"/>
        </w:tabs>
        <w:ind w:left="2880" w:hanging="360"/>
      </w:pPr>
      <w:rPr>
        <w:rFonts w:ascii="Arial" w:hAnsi="Arial" w:cs="Times New Roman" w:hint="default"/>
      </w:rPr>
    </w:lvl>
    <w:lvl w:ilvl="4" w:tplc="E78C83D0">
      <w:start w:val="1"/>
      <w:numFmt w:val="bullet"/>
      <w:lvlText w:val="•"/>
      <w:lvlJc w:val="left"/>
      <w:pPr>
        <w:tabs>
          <w:tab w:val="num" w:pos="3600"/>
        </w:tabs>
        <w:ind w:left="3600" w:hanging="360"/>
      </w:pPr>
      <w:rPr>
        <w:rFonts w:ascii="Arial" w:hAnsi="Arial" w:cs="Times New Roman" w:hint="default"/>
      </w:rPr>
    </w:lvl>
    <w:lvl w:ilvl="5" w:tplc="495A72AE">
      <w:start w:val="1"/>
      <w:numFmt w:val="bullet"/>
      <w:lvlText w:val="•"/>
      <w:lvlJc w:val="left"/>
      <w:pPr>
        <w:tabs>
          <w:tab w:val="num" w:pos="4320"/>
        </w:tabs>
        <w:ind w:left="4320" w:hanging="360"/>
      </w:pPr>
      <w:rPr>
        <w:rFonts w:ascii="Arial" w:hAnsi="Arial" w:cs="Times New Roman" w:hint="default"/>
      </w:rPr>
    </w:lvl>
    <w:lvl w:ilvl="6" w:tplc="E9AAD662">
      <w:start w:val="1"/>
      <w:numFmt w:val="bullet"/>
      <w:lvlText w:val="•"/>
      <w:lvlJc w:val="left"/>
      <w:pPr>
        <w:tabs>
          <w:tab w:val="num" w:pos="5040"/>
        </w:tabs>
        <w:ind w:left="5040" w:hanging="360"/>
      </w:pPr>
      <w:rPr>
        <w:rFonts w:ascii="Arial" w:hAnsi="Arial" w:cs="Times New Roman" w:hint="default"/>
      </w:rPr>
    </w:lvl>
    <w:lvl w:ilvl="7" w:tplc="FFBC5CF2">
      <w:start w:val="1"/>
      <w:numFmt w:val="bullet"/>
      <w:lvlText w:val="•"/>
      <w:lvlJc w:val="left"/>
      <w:pPr>
        <w:tabs>
          <w:tab w:val="num" w:pos="5760"/>
        </w:tabs>
        <w:ind w:left="5760" w:hanging="360"/>
      </w:pPr>
      <w:rPr>
        <w:rFonts w:ascii="Arial" w:hAnsi="Arial" w:cs="Times New Roman" w:hint="default"/>
      </w:rPr>
    </w:lvl>
    <w:lvl w:ilvl="8" w:tplc="062659EE">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27E66710"/>
    <w:multiLevelType w:val="hybridMultilevel"/>
    <w:tmpl w:val="44D87BF6"/>
    <w:lvl w:ilvl="0" w:tplc="F0E4EE9E">
      <w:start w:val="1"/>
      <w:numFmt w:val="bullet"/>
      <w:lvlText w:val="•"/>
      <w:lvlJc w:val="left"/>
      <w:pPr>
        <w:tabs>
          <w:tab w:val="num" w:pos="720"/>
        </w:tabs>
        <w:ind w:left="720" w:hanging="360"/>
      </w:pPr>
      <w:rPr>
        <w:rFonts w:ascii="Arial" w:hAnsi="Arial" w:cs="Times New Roman" w:hint="default"/>
      </w:rPr>
    </w:lvl>
    <w:lvl w:ilvl="1" w:tplc="CDCECFFA">
      <w:start w:val="1"/>
      <w:numFmt w:val="bullet"/>
      <w:lvlText w:val="•"/>
      <w:lvlJc w:val="left"/>
      <w:pPr>
        <w:tabs>
          <w:tab w:val="num" w:pos="1440"/>
        </w:tabs>
        <w:ind w:left="1440" w:hanging="360"/>
      </w:pPr>
      <w:rPr>
        <w:rFonts w:ascii="Arial" w:hAnsi="Arial" w:cs="Times New Roman" w:hint="default"/>
      </w:rPr>
    </w:lvl>
    <w:lvl w:ilvl="2" w:tplc="650AA290">
      <w:start w:val="1"/>
      <w:numFmt w:val="bullet"/>
      <w:lvlText w:val="•"/>
      <w:lvlJc w:val="left"/>
      <w:pPr>
        <w:tabs>
          <w:tab w:val="num" w:pos="2160"/>
        </w:tabs>
        <w:ind w:left="2160" w:hanging="360"/>
      </w:pPr>
      <w:rPr>
        <w:rFonts w:ascii="Arial" w:hAnsi="Arial" w:cs="Times New Roman" w:hint="default"/>
      </w:rPr>
    </w:lvl>
    <w:lvl w:ilvl="3" w:tplc="D6DEB018">
      <w:start w:val="1"/>
      <w:numFmt w:val="bullet"/>
      <w:lvlText w:val="•"/>
      <w:lvlJc w:val="left"/>
      <w:pPr>
        <w:tabs>
          <w:tab w:val="num" w:pos="2880"/>
        </w:tabs>
        <w:ind w:left="2880" w:hanging="360"/>
      </w:pPr>
      <w:rPr>
        <w:rFonts w:ascii="Arial" w:hAnsi="Arial" w:cs="Times New Roman" w:hint="default"/>
      </w:rPr>
    </w:lvl>
    <w:lvl w:ilvl="4" w:tplc="FE22FEA6">
      <w:start w:val="1"/>
      <w:numFmt w:val="bullet"/>
      <w:lvlText w:val="•"/>
      <w:lvlJc w:val="left"/>
      <w:pPr>
        <w:tabs>
          <w:tab w:val="num" w:pos="3600"/>
        </w:tabs>
        <w:ind w:left="3600" w:hanging="360"/>
      </w:pPr>
      <w:rPr>
        <w:rFonts w:ascii="Arial" w:hAnsi="Arial" w:cs="Times New Roman" w:hint="default"/>
      </w:rPr>
    </w:lvl>
    <w:lvl w:ilvl="5" w:tplc="E340CAA6">
      <w:start w:val="1"/>
      <w:numFmt w:val="bullet"/>
      <w:lvlText w:val="•"/>
      <w:lvlJc w:val="left"/>
      <w:pPr>
        <w:tabs>
          <w:tab w:val="num" w:pos="4320"/>
        </w:tabs>
        <w:ind w:left="4320" w:hanging="360"/>
      </w:pPr>
      <w:rPr>
        <w:rFonts w:ascii="Arial" w:hAnsi="Arial" w:cs="Times New Roman" w:hint="default"/>
      </w:rPr>
    </w:lvl>
    <w:lvl w:ilvl="6" w:tplc="E4CAB466">
      <w:start w:val="1"/>
      <w:numFmt w:val="bullet"/>
      <w:lvlText w:val="•"/>
      <w:lvlJc w:val="left"/>
      <w:pPr>
        <w:tabs>
          <w:tab w:val="num" w:pos="5040"/>
        </w:tabs>
        <w:ind w:left="5040" w:hanging="360"/>
      </w:pPr>
      <w:rPr>
        <w:rFonts w:ascii="Arial" w:hAnsi="Arial" w:cs="Times New Roman" w:hint="default"/>
      </w:rPr>
    </w:lvl>
    <w:lvl w:ilvl="7" w:tplc="3848AFDC">
      <w:start w:val="1"/>
      <w:numFmt w:val="bullet"/>
      <w:lvlText w:val="•"/>
      <w:lvlJc w:val="left"/>
      <w:pPr>
        <w:tabs>
          <w:tab w:val="num" w:pos="5760"/>
        </w:tabs>
        <w:ind w:left="5760" w:hanging="360"/>
      </w:pPr>
      <w:rPr>
        <w:rFonts w:ascii="Arial" w:hAnsi="Arial" w:cs="Times New Roman" w:hint="default"/>
      </w:rPr>
    </w:lvl>
    <w:lvl w:ilvl="8" w:tplc="1CDED3B8">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2A5B292F"/>
    <w:multiLevelType w:val="hybridMultilevel"/>
    <w:tmpl w:val="305CC0D0"/>
    <w:lvl w:ilvl="0" w:tplc="95566C8C">
      <w:start w:val="1"/>
      <w:numFmt w:val="bullet"/>
      <w:lvlText w:val="•"/>
      <w:lvlJc w:val="left"/>
      <w:pPr>
        <w:tabs>
          <w:tab w:val="num" w:pos="720"/>
        </w:tabs>
        <w:ind w:left="720" w:hanging="360"/>
      </w:pPr>
      <w:rPr>
        <w:rFonts w:ascii="Arial" w:hAnsi="Arial" w:cs="Times New Roman" w:hint="default"/>
      </w:rPr>
    </w:lvl>
    <w:lvl w:ilvl="1" w:tplc="C4EE9BCE">
      <w:start w:val="1"/>
      <w:numFmt w:val="bullet"/>
      <w:lvlText w:val="•"/>
      <w:lvlJc w:val="left"/>
      <w:pPr>
        <w:tabs>
          <w:tab w:val="num" w:pos="1440"/>
        </w:tabs>
        <w:ind w:left="1440" w:hanging="360"/>
      </w:pPr>
      <w:rPr>
        <w:rFonts w:ascii="Arial" w:hAnsi="Arial" w:cs="Times New Roman" w:hint="default"/>
      </w:rPr>
    </w:lvl>
    <w:lvl w:ilvl="2" w:tplc="CC824E40">
      <w:start w:val="1"/>
      <w:numFmt w:val="bullet"/>
      <w:lvlText w:val="•"/>
      <w:lvlJc w:val="left"/>
      <w:pPr>
        <w:tabs>
          <w:tab w:val="num" w:pos="2160"/>
        </w:tabs>
        <w:ind w:left="2160" w:hanging="360"/>
      </w:pPr>
      <w:rPr>
        <w:rFonts w:ascii="Arial" w:hAnsi="Arial" w:cs="Times New Roman" w:hint="default"/>
      </w:rPr>
    </w:lvl>
    <w:lvl w:ilvl="3" w:tplc="4AE25416">
      <w:start w:val="1"/>
      <w:numFmt w:val="bullet"/>
      <w:lvlText w:val="•"/>
      <w:lvlJc w:val="left"/>
      <w:pPr>
        <w:tabs>
          <w:tab w:val="num" w:pos="2880"/>
        </w:tabs>
        <w:ind w:left="2880" w:hanging="360"/>
      </w:pPr>
      <w:rPr>
        <w:rFonts w:ascii="Arial" w:hAnsi="Arial" w:cs="Times New Roman" w:hint="default"/>
      </w:rPr>
    </w:lvl>
    <w:lvl w:ilvl="4" w:tplc="5016F4DE">
      <w:start w:val="1"/>
      <w:numFmt w:val="bullet"/>
      <w:lvlText w:val="•"/>
      <w:lvlJc w:val="left"/>
      <w:pPr>
        <w:tabs>
          <w:tab w:val="num" w:pos="3600"/>
        </w:tabs>
        <w:ind w:left="3600" w:hanging="360"/>
      </w:pPr>
      <w:rPr>
        <w:rFonts w:ascii="Arial" w:hAnsi="Arial" w:cs="Times New Roman" w:hint="default"/>
      </w:rPr>
    </w:lvl>
    <w:lvl w:ilvl="5" w:tplc="7DD01E54">
      <w:start w:val="1"/>
      <w:numFmt w:val="bullet"/>
      <w:lvlText w:val="•"/>
      <w:lvlJc w:val="left"/>
      <w:pPr>
        <w:tabs>
          <w:tab w:val="num" w:pos="4320"/>
        </w:tabs>
        <w:ind w:left="4320" w:hanging="360"/>
      </w:pPr>
      <w:rPr>
        <w:rFonts w:ascii="Arial" w:hAnsi="Arial" w:cs="Times New Roman" w:hint="default"/>
      </w:rPr>
    </w:lvl>
    <w:lvl w:ilvl="6" w:tplc="CB2AA9FA">
      <w:start w:val="1"/>
      <w:numFmt w:val="bullet"/>
      <w:lvlText w:val="•"/>
      <w:lvlJc w:val="left"/>
      <w:pPr>
        <w:tabs>
          <w:tab w:val="num" w:pos="5040"/>
        </w:tabs>
        <w:ind w:left="5040" w:hanging="360"/>
      </w:pPr>
      <w:rPr>
        <w:rFonts w:ascii="Arial" w:hAnsi="Arial" w:cs="Times New Roman" w:hint="default"/>
      </w:rPr>
    </w:lvl>
    <w:lvl w:ilvl="7" w:tplc="4E1C2054">
      <w:start w:val="1"/>
      <w:numFmt w:val="bullet"/>
      <w:lvlText w:val="•"/>
      <w:lvlJc w:val="left"/>
      <w:pPr>
        <w:tabs>
          <w:tab w:val="num" w:pos="5760"/>
        </w:tabs>
        <w:ind w:left="5760" w:hanging="360"/>
      </w:pPr>
      <w:rPr>
        <w:rFonts w:ascii="Arial" w:hAnsi="Arial" w:cs="Times New Roman" w:hint="default"/>
      </w:rPr>
    </w:lvl>
    <w:lvl w:ilvl="8" w:tplc="A366FC36">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48B2195F"/>
    <w:multiLevelType w:val="hybridMultilevel"/>
    <w:tmpl w:val="F0B00E70"/>
    <w:lvl w:ilvl="0" w:tplc="321E1AD8">
      <w:start w:val="1"/>
      <w:numFmt w:val="bullet"/>
      <w:lvlText w:val="•"/>
      <w:lvlJc w:val="left"/>
      <w:pPr>
        <w:tabs>
          <w:tab w:val="num" w:pos="720"/>
        </w:tabs>
        <w:ind w:left="720" w:hanging="360"/>
      </w:pPr>
      <w:rPr>
        <w:rFonts w:ascii="Arial" w:hAnsi="Arial" w:cs="Times New Roman" w:hint="default"/>
      </w:rPr>
    </w:lvl>
    <w:lvl w:ilvl="1" w:tplc="23BC62DC">
      <w:start w:val="1"/>
      <w:numFmt w:val="bullet"/>
      <w:lvlText w:val="•"/>
      <w:lvlJc w:val="left"/>
      <w:pPr>
        <w:tabs>
          <w:tab w:val="num" w:pos="1440"/>
        </w:tabs>
        <w:ind w:left="1440" w:hanging="360"/>
      </w:pPr>
      <w:rPr>
        <w:rFonts w:ascii="Arial" w:hAnsi="Arial" w:cs="Times New Roman" w:hint="default"/>
      </w:rPr>
    </w:lvl>
    <w:lvl w:ilvl="2" w:tplc="1A184914">
      <w:start w:val="1"/>
      <w:numFmt w:val="bullet"/>
      <w:lvlText w:val="•"/>
      <w:lvlJc w:val="left"/>
      <w:pPr>
        <w:tabs>
          <w:tab w:val="num" w:pos="2160"/>
        </w:tabs>
        <w:ind w:left="2160" w:hanging="360"/>
      </w:pPr>
      <w:rPr>
        <w:rFonts w:ascii="Arial" w:hAnsi="Arial" w:cs="Times New Roman" w:hint="default"/>
      </w:rPr>
    </w:lvl>
    <w:lvl w:ilvl="3" w:tplc="FB489AB2">
      <w:start w:val="1"/>
      <w:numFmt w:val="bullet"/>
      <w:lvlText w:val="•"/>
      <w:lvlJc w:val="left"/>
      <w:pPr>
        <w:tabs>
          <w:tab w:val="num" w:pos="2880"/>
        </w:tabs>
        <w:ind w:left="2880" w:hanging="360"/>
      </w:pPr>
      <w:rPr>
        <w:rFonts w:ascii="Arial" w:hAnsi="Arial" w:cs="Times New Roman" w:hint="default"/>
      </w:rPr>
    </w:lvl>
    <w:lvl w:ilvl="4" w:tplc="06B25BB8">
      <w:start w:val="1"/>
      <w:numFmt w:val="bullet"/>
      <w:lvlText w:val="•"/>
      <w:lvlJc w:val="left"/>
      <w:pPr>
        <w:tabs>
          <w:tab w:val="num" w:pos="3600"/>
        </w:tabs>
        <w:ind w:left="3600" w:hanging="360"/>
      </w:pPr>
      <w:rPr>
        <w:rFonts w:ascii="Arial" w:hAnsi="Arial" w:cs="Times New Roman" w:hint="default"/>
      </w:rPr>
    </w:lvl>
    <w:lvl w:ilvl="5" w:tplc="054212EE">
      <w:start w:val="1"/>
      <w:numFmt w:val="bullet"/>
      <w:lvlText w:val="•"/>
      <w:lvlJc w:val="left"/>
      <w:pPr>
        <w:tabs>
          <w:tab w:val="num" w:pos="4320"/>
        </w:tabs>
        <w:ind w:left="4320" w:hanging="360"/>
      </w:pPr>
      <w:rPr>
        <w:rFonts w:ascii="Arial" w:hAnsi="Arial" w:cs="Times New Roman" w:hint="default"/>
      </w:rPr>
    </w:lvl>
    <w:lvl w:ilvl="6" w:tplc="7968023A">
      <w:start w:val="1"/>
      <w:numFmt w:val="bullet"/>
      <w:lvlText w:val="•"/>
      <w:lvlJc w:val="left"/>
      <w:pPr>
        <w:tabs>
          <w:tab w:val="num" w:pos="5040"/>
        </w:tabs>
        <w:ind w:left="5040" w:hanging="360"/>
      </w:pPr>
      <w:rPr>
        <w:rFonts w:ascii="Arial" w:hAnsi="Arial" w:cs="Times New Roman" w:hint="default"/>
      </w:rPr>
    </w:lvl>
    <w:lvl w:ilvl="7" w:tplc="E1BA5EC6">
      <w:start w:val="1"/>
      <w:numFmt w:val="bullet"/>
      <w:lvlText w:val="•"/>
      <w:lvlJc w:val="left"/>
      <w:pPr>
        <w:tabs>
          <w:tab w:val="num" w:pos="5760"/>
        </w:tabs>
        <w:ind w:left="5760" w:hanging="360"/>
      </w:pPr>
      <w:rPr>
        <w:rFonts w:ascii="Arial" w:hAnsi="Arial" w:cs="Times New Roman" w:hint="default"/>
      </w:rPr>
    </w:lvl>
    <w:lvl w:ilvl="8" w:tplc="4FE6C1E2">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544B173E"/>
    <w:multiLevelType w:val="hybridMultilevel"/>
    <w:tmpl w:val="9DC893C4"/>
    <w:lvl w:ilvl="0" w:tplc="40FC4E70">
      <w:start w:val="1"/>
      <w:numFmt w:val="bullet"/>
      <w:lvlText w:val="•"/>
      <w:lvlJc w:val="left"/>
      <w:pPr>
        <w:tabs>
          <w:tab w:val="num" w:pos="720"/>
        </w:tabs>
        <w:ind w:left="720" w:hanging="360"/>
      </w:pPr>
      <w:rPr>
        <w:rFonts w:ascii="Arial" w:hAnsi="Arial" w:cs="Times New Roman" w:hint="default"/>
      </w:rPr>
    </w:lvl>
    <w:lvl w:ilvl="1" w:tplc="91CCDE10">
      <w:start w:val="1"/>
      <w:numFmt w:val="bullet"/>
      <w:lvlText w:val="•"/>
      <w:lvlJc w:val="left"/>
      <w:pPr>
        <w:tabs>
          <w:tab w:val="num" w:pos="1440"/>
        </w:tabs>
        <w:ind w:left="1440" w:hanging="360"/>
      </w:pPr>
      <w:rPr>
        <w:rFonts w:ascii="Arial" w:hAnsi="Arial" w:cs="Times New Roman" w:hint="default"/>
      </w:rPr>
    </w:lvl>
    <w:lvl w:ilvl="2" w:tplc="BB400CEA">
      <w:start w:val="1"/>
      <w:numFmt w:val="bullet"/>
      <w:lvlText w:val="•"/>
      <w:lvlJc w:val="left"/>
      <w:pPr>
        <w:tabs>
          <w:tab w:val="num" w:pos="2160"/>
        </w:tabs>
        <w:ind w:left="2160" w:hanging="360"/>
      </w:pPr>
      <w:rPr>
        <w:rFonts w:ascii="Arial" w:hAnsi="Arial" w:cs="Times New Roman" w:hint="default"/>
      </w:rPr>
    </w:lvl>
    <w:lvl w:ilvl="3" w:tplc="DC0C576C">
      <w:start w:val="1"/>
      <w:numFmt w:val="bullet"/>
      <w:lvlText w:val="•"/>
      <w:lvlJc w:val="left"/>
      <w:pPr>
        <w:tabs>
          <w:tab w:val="num" w:pos="2880"/>
        </w:tabs>
        <w:ind w:left="2880" w:hanging="360"/>
      </w:pPr>
      <w:rPr>
        <w:rFonts w:ascii="Arial" w:hAnsi="Arial" w:cs="Times New Roman" w:hint="default"/>
      </w:rPr>
    </w:lvl>
    <w:lvl w:ilvl="4" w:tplc="65D05296">
      <w:start w:val="1"/>
      <w:numFmt w:val="bullet"/>
      <w:lvlText w:val="•"/>
      <w:lvlJc w:val="left"/>
      <w:pPr>
        <w:tabs>
          <w:tab w:val="num" w:pos="3600"/>
        </w:tabs>
        <w:ind w:left="3600" w:hanging="360"/>
      </w:pPr>
      <w:rPr>
        <w:rFonts w:ascii="Arial" w:hAnsi="Arial" w:cs="Times New Roman" w:hint="default"/>
      </w:rPr>
    </w:lvl>
    <w:lvl w:ilvl="5" w:tplc="C5223CD8">
      <w:start w:val="1"/>
      <w:numFmt w:val="bullet"/>
      <w:lvlText w:val="•"/>
      <w:lvlJc w:val="left"/>
      <w:pPr>
        <w:tabs>
          <w:tab w:val="num" w:pos="4320"/>
        </w:tabs>
        <w:ind w:left="4320" w:hanging="360"/>
      </w:pPr>
      <w:rPr>
        <w:rFonts w:ascii="Arial" w:hAnsi="Arial" w:cs="Times New Roman" w:hint="default"/>
      </w:rPr>
    </w:lvl>
    <w:lvl w:ilvl="6" w:tplc="76DE8D8C">
      <w:start w:val="1"/>
      <w:numFmt w:val="bullet"/>
      <w:lvlText w:val="•"/>
      <w:lvlJc w:val="left"/>
      <w:pPr>
        <w:tabs>
          <w:tab w:val="num" w:pos="5040"/>
        </w:tabs>
        <w:ind w:left="5040" w:hanging="360"/>
      </w:pPr>
      <w:rPr>
        <w:rFonts w:ascii="Arial" w:hAnsi="Arial" w:cs="Times New Roman" w:hint="default"/>
      </w:rPr>
    </w:lvl>
    <w:lvl w:ilvl="7" w:tplc="9E78E6BA">
      <w:start w:val="1"/>
      <w:numFmt w:val="bullet"/>
      <w:lvlText w:val="•"/>
      <w:lvlJc w:val="left"/>
      <w:pPr>
        <w:tabs>
          <w:tab w:val="num" w:pos="5760"/>
        </w:tabs>
        <w:ind w:left="5760" w:hanging="360"/>
      </w:pPr>
      <w:rPr>
        <w:rFonts w:ascii="Arial" w:hAnsi="Arial" w:cs="Times New Roman" w:hint="default"/>
      </w:rPr>
    </w:lvl>
    <w:lvl w:ilvl="8" w:tplc="10A4C914">
      <w:start w:val="1"/>
      <w:numFmt w:val="bullet"/>
      <w:lvlText w:val="•"/>
      <w:lvlJc w:val="left"/>
      <w:pPr>
        <w:tabs>
          <w:tab w:val="num" w:pos="6480"/>
        </w:tabs>
        <w:ind w:left="6480" w:hanging="360"/>
      </w:pPr>
      <w:rPr>
        <w:rFonts w:ascii="Arial" w:hAnsi="Arial" w:cs="Times New Roman" w:hint="default"/>
      </w:rPr>
    </w:lvl>
  </w:abstractNum>
  <w:num w:numId="1" w16cid:durableId="740295004">
    <w:abstractNumId w:val="1"/>
  </w:num>
  <w:num w:numId="2" w16cid:durableId="1924140668">
    <w:abstractNumId w:val="3"/>
  </w:num>
  <w:num w:numId="3" w16cid:durableId="1313024319">
    <w:abstractNumId w:val="2"/>
  </w:num>
  <w:num w:numId="4" w16cid:durableId="1981882845">
    <w:abstractNumId w:val="4"/>
  </w:num>
  <w:num w:numId="5" w16cid:durableId="1889686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59F"/>
    <w:rsid w:val="000772CC"/>
    <w:rsid w:val="00096DAF"/>
    <w:rsid w:val="000E7B76"/>
    <w:rsid w:val="00170CC5"/>
    <w:rsid w:val="001F224F"/>
    <w:rsid w:val="002B56FB"/>
    <w:rsid w:val="002F3CC6"/>
    <w:rsid w:val="003C3AEE"/>
    <w:rsid w:val="004F0B06"/>
    <w:rsid w:val="005F58E6"/>
    <w:rsid w:val="006073DA"/>
    <w:rsid w:val="006968C2"/>
    <w:rsid w:val="006D0569"/>
    <w:rsid w:val="006E4D5A"/>
    <w:rsid w:val="0070648E"/>
    <w:rsid w:val="00722F15"/>
    <w:rsid w:val="007B2F38"/>
    <w:rsid w:val="007C3DC0"/>
    <w:rsid w:val="007F6533"/>
    <w:rsid w:val="0083432D"/>
    <w:rsid w:val="00850AC4"/>
    <w:rsid w:val="008C1393"/>
    <w:rsid w:val="009276F3"/>
    <w:rsid w:val="00954B06"/>
    <w:rsid w:val="009D483D"/>
    <w:rsid w:val="00A24B43"/>
    <w:rsid w:val="00A348B0"/>
    <w:rsid w:val="00A61955"/>
    <w:rsid w:val="00AF384F"/>
    <w:rsid w:val="00B632DE"/>
    <w:rsid w:val="00B65A13"/>
    <w:rsid w:val="00B76C7C"/>
    <w:rsid w:val="00BA759F"/>
    <w:rsid w:val="00C416B4"/>
    <w:rsid w:val="00D6073B"/>
    <w:rsid w:val="00E46B26"/>
    <w:rsid w:val="00F317CE"/>
    <w:rsid w:val="00FE3DAE"/>
    <w:rsid w:val="00FF5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03E1"/>
  <w15:chartTrackingRefBased/>
  <w15:docId w15:val="{89BC573E-7112-4724-A516-CFE36C92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759F"/>
    <w:pPr>
      <w:spacing w:after="0" w:line="240" w:lineRule="auto"/>
    </w:pPr>
    <w:rPr>
      <w:rFonts w:ascii="Times New Roman" w:eastAsia="Times New Roman" w:hAnsi="Times New Roman" w:cs="Times New Roman"/>
      <w:kern w:val="0"/>
      <w:lang w:eastAsia="en-GB"/>
      <w14:ligatures w14:val="none"/>
    </w:rPr>
  </w:style>
  <w:style w:type="paragraph" w:styleId="berschrift1">
    <w:name w:val="heading 1"/>
    <w:basedOn w:val="Standard"/>
    <w:next w:val="Standard"/>
    <w:link w:val="berschrift1Zchn"/>
    <w:uiPriority w:val="9"/>
    <w:qFormat/>
    <w:rsid w:val="00BA75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A75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A759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A759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A759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A759F"/>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A759F"/>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A759F"/>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A759F"/>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759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A759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A759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A759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A759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A759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A759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A759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A759F"/>
    <w:rPr>
      <w:rFonts w:eastAsiaTheme="majorEastAsia" w:cstheme="majorBidi"/>
      <w:color w:val="272727" w:themeColor="text1" w:themeTint="D8"/>
    </w:rPr>
  </w:style>
  <w:style w:type="paragraph" w:styleId="Titel">
    <w:name w:val="Title"/>
    <w:basedOn w:val="Standard"/>
    <w:next w:val="Standard"/>
    <w:link w:val="TitelZchn"/>
    <w:uiPriority w:val="10"/>
    <w:qFormat/>
    <w:rsid w:val="00BA759F"/>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A759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A759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A759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A759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A759F"/>
    <w:rPr>
      <w:i/>
      <w:iCs/>
      <w:color w:val="404040" w:themeColor="text1" w:themeTint="BF"/>
    </w:rPr>
  </w:style>
  <w:style w:type="paragraph" w:styleId="Listenabsatz">
    <w:name w:val="List Paragraph"/>
    <w:basedOn w:val="Standard"/>
    <w:uiPriority w:val="34"/>
    <w:qFormat/>
    <w:rsid w:val="00BA759F"/>
    <w:pPr>
      <w:ind w:left="720"/>
      <w:contextualSpacing/>
    </w:pPr>
  </w:style>
  <w:style w:type="character" w:styleId="IntensiveHervorhebung">
    <w:name w:val="Intense Emphasis"/>
    <w:basedOn w:val="Absatz-Standardschriftart"/>
    <w:uiPriority w:val="21"/>
    <w:qFormat/>
    <w:rsid w:val="00BA759F"/>
    <w:rPr>
      <w:i/>
      <w:iCs/>
      <w:color w:val="0F4761" w:themeColor="accent1" w:themeShade="BF"/>
    </w:rPr>
  </w:style>
  <w:style w:type="paragraph" w:styleId="IntensivesZitat">
    <w:name w:val="Intense Quote"/>
    <w:basedOn w:val="Standard"/>
    <w:next w:val="Standard"/>
    <w:link w:val="IntensivesZitatZchn"/>
    <w:uiPriority w:val="30"/>
    <w:qFormat/>
    <w:rsid w:val="00BA75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A759F"/>
    <w:rPr>
      <w:i/>
      <w:iCs/>
      <w:color w:val="0F4761" w:themeColor="accent1" w:themeShade="BF"/>
    </w:rPr>
  </w:style>
  <w:style w:type="character" w:styleId="IntensiverVerweis">
    <w:name w:val="Intense Reference"/>
    <w:basedOn w:val="Absatz-Standardschriftart"/>
    <w:uiPriority w:val="32"/>
    <w:qFormat/>
    <w:rsid w:val="00BA759F"/>
    <w:rPr>
      <w:b/>
      <w:bCs/>
      <w:smallCaps/>
      <w:color w:val="0F4761" w:themeColor="accent1" w:themeShade="BF"/>
      <w:spacing w:val="5"/>
    </w:rPr>
  </w:style>
  <w:style w:type="table" w:styleId="EinfacheTabelle2">
    <w:name w:val="Plain Table 2"/>
    <w:basedOn w:val="NormaleTabelle"/>
    <w:uiPriority w:val="42"/>
    <w:rsid w:val="00BA759F"/>
    <w:pPr>
      <w:spacing w:after="0" w:line="240" w:lineRule="auto"/>
    </w:pPr>
    <w:rPr>
      <w:rFonts w:eastAsiaTheme="minorEastAsia"/>
      <w:kern w:val="0"/>
      <w:sz w:val="22"/>
      <w:szCs w:val="22"/>
      <w:lang w:eastAsia="de-DE"/>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ddresses">
    <w:name w:val="Addresses"/>
    <w:basedOn w:val="Standard"/>
    <w:rsid w:val="00B632DE"/>
    <w:rPr>
      <w:rFonts w:eastAsia="MS Mincho"/>
      <w:lang w:val="en-US" w:eastAsia="ja-JP"/>
    </w:rPr>
  </w:style>
  <w:style w:type="paragraph" w:customStyle="1" w:styleId="Literature">
    <w:name w:val="Literature"/>
    <w:basedOn w:val="Standard"/>
    <w:rsid w:val="00B632DE"/>
    <w:pPr>
      <w:spacing w:line="480" w:lineRule="auto"/>
    </w:pPr>
    <w:rPr>
      <w:rFonts w:eastAsia="MS Mincho"/>
      <w:lang w:eastAsia="ja-JP"/>
    </w:rPr>
  </w:style>
  <w:style w:type="paragraph" w:customStyle="1" w:styleId="Tableofcontents">
    <w:name w:val="Table of contents"/>
    <w:basedOn w:val="Standard"/>
    <w:autoRedefine/>
    <w:rsid w:val="00B632DE"/>
    <w:rPr>
      <w:rFonts w:eastAsia="MS Mincho"/>
      <w:lang w:val="en-US" w:eastAsia="ja-JP"/>
    </w:rPr>
  </w:style>
  <w:style w:type="paragraph" w:customStyle="1" w:styleId="Title2">
    <w:name w:val="Title2"/>
    <w:basedOn w:val="Standard"/>
    <w:rsid w:val="00B632DE"/>
    <w:rPr>
      <w:rFonts w:eastAsia="MS Mincho"/>
      <w:b/>
      <w:lang w:val="en-US" w:eastAsia="ja-JP"/>
    </w:rPr>
  </w:style>
  <w:style w:type="table" w:styleId="Tabellenraster">
    <w:name w:val="Table Grid"/>
    <w:basedOn w:val="NormaleTabelle"/>
    <w:uiPriority w:val="39"/>
    <w:rsid w:val="009D483D"/>
    <w:pPr>
      <w:spacing w:after="0" w:line="240" w:lineRule="auto"/>
    </w:pPr>
    <w:rPr>
      <w:rFonts w:ascii="Calibri" w:eastAsia="Times New Roman"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1698</Words>
  <Characters>10701</Characters>
  <Application>Microsoft Office Word</Application>
  <DocSecurity>0</DocSecurity>
  <Lines>89</Lines>
  <Paragraphs>24</Paragraphs>
  <ScaleCrop>false</ScaleCrop>
  <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Raab, Alexandra Beate</dc:creator>
  <cp:keywords/>
  <dc:description/>
  <cp:lastModifiedBy>Raab, Alexandra Beate</cp:lastModifiedBy>
  <cp:revision>3</cp:revision>
  <dcterms:created xsi:type="dcterms:W3CDTF">2026-05-08T13:03:00Z</dcterms:created>
  <dcterms:modified xsi:type="dcterms:W3CDTF">2026-05-08T13:10:00Z</dcterms:modified>
</cp:coreProperties>
</file>