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7A131" w14:textId="1B1BEAF8" w:rsidR="00631805" w:rsidRDefault="00F45477" w:rsidP="0063180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t>Cancer Immunology, Immunotherapy</w:t>
      </w:r>
      <w:r w:rsidR="00631805">
        <w:rPr>
          <w:rFonts w:ascii="Times New Roman" w:hAnsi="Times New Roman" w:cs="Times New Roman"/>
          <w:b/>
          <w:sz w:val="20"/>
          <w:szCs w:val="20"/>
        </w:rPr>
        <w:t xml:space="preserve"> (submitted in 2026) - Daiki </w:t>
      </w:r>
      <w:proofErr w:type="spellStart"/>
      <w:r w:rsidR="00631805">
        <w:rPr>
          <w:rFonts w:ascii="Times New Roman" w:hAnsi="Times New Roman" w:cs="Times New Roman"/>
          <w:b/>
          <w:sz w:val="20"/>
          <w:szCs w:val="20"/>
        </w:rPr>
        <w:t>Ikarashi</w:t>
      </w:r>
      <w:proofErr w:type="spellEnd"/>
      <w:r w:rsidR="00631805" w:rsidRPr="00631805">
        <w:rPr>
          <w:rFonts w:ascii="Times New Roman" w:hAnsi="Times New Roman" w:cs="Times New Roman"/>
          <w:b/>
          <w:sz w:val="20"/>
          <w:szCs w:val="20"/>
        </w:rPr>
        <w:t xml:space="preserve"> et al.</w:t>
      </w:r>
    </w:p>
    <w:p w14:paraId="6087A132" w14:textId="77777777" w:rsidR="00631805" w:rsidRDefault="00631805" w:rsidP="0063180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D1626">
        <w:rPr>
          <w:rFonts w:ascii="Times New Roman" w:hAnsi="Times New Roman" w:cs="Times New Roman"/>
          <w:b/>
          <w:sz w:val="20"/>
          <w:szCs w:val="20"/>
        </w:rPr>
        <w:t>Supplemental Materials</w:t>
      </w:r>
    </w:p>
    <w:p w14:paraId="6087A133" w14:textId="76DC2A7E" w:rsidR="00631805" w:rsidRPr="008D1626" w:rsidRDefault="00625481" w:rsidP="0063180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D1626">
        <w:rPr>
          <w:rFonts w:ascii="Times New Roman" w:hAnsi="Times New Roman" w:cs="Times New Roman"/>
          <w:b/>
          <w:sz w:val="20"/>
          <w:szCs w:val="20"/>
        </w:rPr>
        <w:t>Supplemental Fig. 1</w:t>
      </w:r>
      <w:r w:rsidR="008C760A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8C760A" w:rsidRPr="007A35A6">
        <w:rPr>
          <w:rFonts w:ascii="Times New Roman" w:hAnsi="Times New Roman" w:cs="Times New Roman"/>
          <w:sz w:val="20"/>
          <w:szCs w:val="20"/>
        </w:rPr>
        <w:t>Flow diagram of patients included in the study</w:t>
      </w:r>
    </w:p>
    <w:p w14:paraId="6087A134" w14:textId="2BEDB3E8" w:rsidR="00631805" w:rsidRPr="008D1626" w:rsidRDefault="00631805" w:rsidP="00631805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D1626">
        <w:rPr>
          <w:rFonts w:ascii="Times New Roman" w:hAnsi="Times New Roman" w:cs="Times New Roman"/>
          <w:b/>
          <w:sz w:val="20"/>
          <w:szCs w:val="20"/>
        </w:rPr>
        <w:t xml:space="preserve">Supplemental Fig. </w:t>
      </w:r>
      <w:r w:rsidR="00625481">
        <w:rPr>
          <w:rFonts w:ascii="Times New Roman" w:hAnsi="Times New Roman" w:cs="Times New Roman" w:hint="eastAsia"/>
          <w:b/>
          <w:sz w:val="20"/>
          <w:szCs w:val="20"/>
        </w:rPr>
        <w:t>2</w:t>
      </w:r>
      <w:r w:rsidRPr="008D1626">
        <w:rPr>
          <w:rFonts w:ascii="Times New Roman" w:hAnsi="Times New Roman" w:cs="Times New Roman"/>
          <w:bCs/>
          <w:sz w:val="20"/>
          <w:szCs w:val="20"/>
        </w:rPr>
        <w:t xml:space="preserve"> Prognosis following RNU</w:t>
      </w:r>
    </w:p>
    <w:p w14:paraId="6087A135" w14:textId="1ABF51B0" w:rsidR="00631805" w:rsidRDefault="00631805" w:rsidP="00631805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D1626">
        <w:rPr>
          <w:rFonts w:ascii="Times New Roman" w:hAnsi="Times New Roman" w:cs="Times New Roman"/>
          <w:bCs/>
          <w:sz w:val="20"/>
          <w:szCs w:val="20"/>
        </w:rPr>
        <w:t xml:space="preserve">Kaplan–Meier curves of (a) PFS and (b) OS stratified by </w:t>
      </w:r>
      <w:r w:rsidRPr="008D1626">
        <w:rPr>
          <w:rFonts w:ascii="Times New Roman" w:hAnsi="Times New Roman" w:cs="Times New Roman"/>
          <w:bCs/>
          <w:i/>
          <w:iCs/>
          <w:sz w:val="20"/>
          <w:szCs w:val="20"/>
        </w:rPr>
        <w:t>TP53</w:t>
      </w:r>
      <w:r w:rsidRPr="008D1626">
        <w:rPr>
          <w:rFonts w:ascii="Times New Roman" w:hAnsi="Times New Roman" w:cs="Times New Roman"/>
          <w:bCs/>
          <w:sz w:val="20"/>
          <w:szCs w:val="20"/>
        </w:rPr>
        <w:t xml:space="preserve">-, </w:t>
      </w:r>
      <w:r w:rsidRPr="008D1626">
        <w:rPr>
          <w:rFonts w:ascii="Times New Roman" w:hAnsi="Times New Roman" w:cs="Times New Roman"/>
          <w:bCs/>
          <w:i/>
          <w:iCs/>
          <w:sz w:val="20"/>
          <w:szCs w:val="20"/>
        </w:rPr>
        <w:t>FGFR3</w:t>
      </w:r>
      <w:r w:rsidRPr="008D1626">
        <w:rPr>
          <w:rFonts w:ascii="Times New Roman" w:hAnsi="Times New Roman" w:cs="Times New Roman"/>
          <w:bCs/>
          <w:sz w:val="20"/>
          <w:szCs w:val="20"/>
        </w:rPr>
        <w:t xml:space="preserve">-, and </w:t>
      </w:r>
      <w:r w:rsidRPr="008D1626">
        <w:rPr>
          <w:rFonts w:ascii="Times New Roman" w:hAnsi="Times New Roman" w:cs="Times New Roman"/>
          <w:bCs/>
          <w:i/>
          <w:iCs/>
          <w:sz w:val="20"/>
          <w:szCs w:val="20"/>
        </w:rPr>
        <w:t>RAS</w:t>
      </w:r>
      <w:r w:rsidRPr="008D1626">
        <w:rPr>
          <w:rFonts w:ascii="Times New Roman" w:hAnsi="Times New Roman" w:cs="Times New Roman"/>
          <w:bCs/>
          <w:sz w:val="20"/>
          <w:szCs w:val="20"/>
        </w:rPr>
        <w:t>-mutated groups following RNU for UTUC. PFS, progression-free survival; OS, overall survival; RNU, radical nephroureterectomy; UTUC, upper tract urothelial carcinoma</w:t>
      </w:r>
    </w:p>
    <w:p w14:paraId="31F42FF6" w14:textId="133179C6" w:rsidR="007E11AE" w:rsidRPr="007E11AE" w:rsidRDefault="007E11AE" w:rsidP="00631805">
      <w:pPr>
        <w:spacing w:line="240" w:lineRule="auto"/>
        <w:rPr>
          <w:rFonts w:ascii="Times New Roman" w:hAnsi="Times New Roman" w:cs="Times New Roman" w:hint="eastAsia"/>
          <w:bCs/>
          <w:sz w:val="20"/>
          <w:szCs w:val="20"/>
        </w:rPr>
      </w:pPr>
      <w:r w:rsidRPr="008D1626">
        <w:rPr>
          <w:rFonts w:ascii="Times New Roman" w:hAnsi="Times New Roman" w:cs="Times New Roman"/>
          <w:b/>
          <w:sz w:val="20"/>
          <w:szCs w:val="20"/>
        </w:rPr>
        <w:t xml:space="preserve">Supplemental Fig. 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3 </w:t>
      </w:r>
      <w:r w:rsidRPr="007E11AE">
        <w:rPr>
          <w:rFonts w:ascii="Times New Roman" w:hAnsi="Times New Roman" w:cs="Times New Roman"/>
          <w:bCs/>
          <w:sz w:val="20"/>
          <w:szCs w:val="20"/>
        </w:rPr>
        <w:t>TP53</w:t>
      </w:r>
      <w:r w:rsidRPr="007E11AE">
        <w:rPr>
          <w:rFonts w:ascii="Times New Roman" w:hAnsi="Times New Roman" w:cs="Times New Roman" w:hint="eastAsia"/>
          <w:bCs/>
          <w:sz w:val="20"/>
          <w:szCs w:val="20"/>
        </w:rPr>
        <w:t>/FGFR3</w:t>
      </w:r>
      <w:r w:rsidRPr="007E11AE">
        <w:rPr>
          <w:rFonts w:ascii="Times New Roman" w:hAnsi="Times New Roman" w:cs="Times New Roman"/>
          <w:bCs/>
          <w:sz w:val="20"/>
          <w:szCs w:val="20"/>
        </w:rPr>
        <w:t xml:space="preserve">–NAC interaction plot for </w:t>
      </w:r>
      <w:proofErr w:type="spellStart"/>
      <w:r w:rsidRPr="007E11AE">
        <w:rPr>
          <w:rFonts w:ascii="Times New Roman" w:hAnsi="Times New Roman" w:cs="Times New Roman"/>
          <w:bCs/>
          <w:sz w:val="20"/>
          <w:szCs w:val="20"/>
        </w:rPr>
        <w:t>intratumoral</w:t>
      </w:r>
      <w:proofErr w:type="spellEnd"/>
      <w:r w:rsidRPr="007E11AE">
        <w:rPr>
          <w:rFonts w:ascii="Times New Roman" w:hAnsi="Times New Roman" w:cs="Times New Roman"/>
          <w:bCs/>
          <w:sz w:val="20"/>
          <w:szCs w:val="20"/>
        </w:rPr>
        <w:t xml:space="preserve"> CD4</w:t>
      </w:r>
      <w:r w:rsidRPr="008B194E">
        <w:rPr>
          <w:rFonts w:ascii="Times New Roman" w:hAnsi="Times New Roman" w:cs="Times New Roman"/>
          <w:bCs/>
          <w:sz w:val="20"/>
          <w:szCs w:val="20"/>
          <w:vertAlign w:val="superscript"/>
        </w:rPr>
        <w:t>+</w:t>
      </w:r>
      <w:r w:rsidRPr="007E11AE">
        <w:rPr>
          <w:rFonts w:ascii="Times New Roman" w:hAnsi="Times New Roman" w:cs="Times New Roman"/>
          <w:bCs/>
          <w:sz w:val="20"/>
          <w:szCs w:val="20"/>
        </w:rPr>
        <w:t xml:space="preserve"> T-cell density</w:t>
      </w:r>
    </w:p>
    <w:p w14:paraId="49CD767D" w14:textId="032B3CD3" w:rsidR="007E11AE" w:rsidRPr="008D1626" w:rsidRDefault="007E11AE" w:rsidP="00631805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E11AE">
        <w:rPr>
          <w:rFonts w:ascii="Times New Roman" w:hAnsi="Times New Roman" w:cs="Times New Roman"/>
          <w:bCs/>
          <w:sz w:val="20"/>
          <w:szCs w:val="20"/>
        </w:rPr>
        <w:t xml:space="preserve">Interaction plot of </w:t>
      </w:r>
      <w:proofErr w:type="spellStart"/>
      <w:r w:rsidRPr="007E11AE">
        <w:rPr>
          <w:rFonts w:ascii="Times New Roman" w:hAnsi="Times New Roman" w:cs="Times New Roman"/>
          <w:bCs/>
          <w:sz w:val="20"/>
          <w:szCs w:val="20"/>
        </w:rPr>
        <w:t>intratumoral</w:t>
      </w:r>
      <w:proofErr w:type="spellEnd"/>
      <w:r w:rsidRPr="007E11AE">
        <w:rPr>
          <w:rFonts w:ascii="Times New Roman" w:hAnsi="Times New Roman" w:cs="Times New Roman"/>
          <w:bCs/>
          <w:sz w:val="20"/>
          <w:szCs w:val="20"/>
        </w:rPr>
        <w:t xml:space="preserve"> CD4</w:t>
      </w:r>
      <w:r w:rsidRPr="007E11AE">
        <w:rPr>
          <w:rFonts w:ascii="Times New Roman" w:hAnsi="Times New Roman" w:cs="Times New Roman"/>
          <w:bCs/>
          <w:sz w:val="20"/>
          <w:szCs w:val="20"/>
          <w:vertAlign w:val="superscript"/>
        </w:rPr>
        <w:t>+</w:t>
      </w:r>
      <w:r w:rsidRPr="007E11AE">
        <w:rPr>
          <w:rFonts w:ascii="Times New Roman" w:hAnsi="Times New Roman" w:cs="Times New Roman"/>
          <w:bCs/>
          <w:sz w:val="20"/>
          <w:szCs w:val="20"/>
        </w:rPr>
        <w:t xml:space="preserve"> T-cell density according to </w:t>
      </w:r>
      <w:r w:rsidRPr="007E11AE">
        <w:rPr>
          <w:rFonts w:ascii="Times New Roman" w:hAnsi="Times New Roman" w:cs="Times New Roman"/>
          <w:bCs/>
          <w:i/>
          <w:iCs/>
          <w:sz w:val="20"/>
          <w:szCs w:val="20"/>
        </w:rPr>
        <w:t>TP53</w:t>
      </w:r>
      <w:r>
        <w:rPr>
          <w:rFonts w:ascii="Times New Roman" w:hAnsi="Times New Roman" w:cs="Times New Roman" w:hint="eastAsia"/>
          <w:bCs/>
          <w:i/>
          <w:iCs/>
          <w:sz w:val="20"/>
          <w:szCs w:val="20"/>
        </w:rPr>
        <w:t xml:space="preserve">- </w:t>
      </w:r>
      <w:r w:rsidRPr="007E11AE">
        <w:rPr>
          <w:rFonts w:ascii="Times New Roman" w:hAnsi="Times New Roman" w:cs="Times New Roman" w:hint="eastAsia"/>
          <w:bCs/>
          <w:sz w:val="20"/>
          <w:szCs w:val="20"/>
        </w:rPr>
        <w:t>and</w:t>
      </w:r>
      <w:r>
        <w:rPr>
          <w:rFonts w:ascii="Times New Roman" w:hAnsi="Times New Roman" w:cs="Times New Roman" w:hint="eastAsia"/>
          <w:bCs/>
          <w:i/>
          <w:iCs/>
          <w:sz w:val="20"/>
          <w:szCs w:val="20"/>
        </w:rPr>
        <w:t xml:space="preserve"> FGFR3-</w:t>
      </w:r>
      <w:r w:rsidRPr="007E11AE">
        <w:rPr>
          <w:rFonts w:ascii="Times New Roman" w:hAnsi="Times New Roman" w:cs="Times New Roman"/>
          <w:bCs/>
          <w:sz w:val="20"/>
          <w:szCs w:val="20"/>
        </w:rPr>
        <w:t xml:space="preserve"> mutation status and neoadjuvant chemotherapy (NAC) exposure. The interaction between </w:t>
      </w:r>
      <w:r w:rsidRPr="007E11AE">
        <w:rPr>
          <w:rFonts w:ascii="Times New Roman" w:hAnsi="Times New Roman" w:cs="Times New Roman"/>
          <w:bCs/>
          <w:i/>
          <w:iCs/>
          <w:sz w:val="20"/>
          <w:szCs w:val="20"/>
        </w:rPr>
        <w:t>TP53</w:t>
      </w:r>
      <w:r w:rsidRPr="007E11AE">
        <w:rPr>
          <w:rFonts w:ascii="Times New Roman" w:hAnsi="Times New Roman" w:cs="Times New Roman"/>
          <w:bCs/>
          <w:sz w:val="20"/>
          <w:szCs w:val="20"/>
        </w:rPr>
        <w:t xml:space="preserve"> mutation status and NAC exposure was evaluated using a two-factor interaction model (interaction </w:t>
      </w:r>
      <w:r w:rsidRPr="007E11AE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7E11AE">
        <w:rPr>
          <w:rFonts w:ascii="Times New Roman" w:hAnsi="Times New Roman" w:cs="Times New Roman"/>
          <w:bCs/>
          <w:sz w:val="20"/>
          <w:szCs w:val="20"/>
        </w:rPr>
        <w:t xml:space="preserve"> = </w:t>
      </w:r>
      <w:r>
        <w:rPr>
          <w:rFonts w:ascii="Times New Roman" w:hAnsi="Times New Roman" w:cs="Times New Roman" w:hint="eastAsia"/>
          <w:bCs/>
          <w:sz w:val="20"/>
          <w:szCs w:val="20"/>
        </w:rPr>
        <w:t>0.0002</w:t>
      </w:r>
      <w:r w:rsidRPr="007E11AE">
        <w:rPr>
          <w:rFonts w:ascii="Times New Roman" w:hAnsi="Times New Roman" w:cs="Times New Roman"/>
          <w:bCs/>
          <w:sz w:val="20"/>
          <w:szCs w:val="20"/>
        </w:rPr>
        <w:t>).</w:t>
      </w:r>
    </w:p>
    <w:p w14:paraId="6087A136" w14:textId="0B37A94A" w:rsidR="00631805" w:rsidRPr="008D1626" w:rsidRDefault="00631805" w:rsidP="00631805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D1626">
        <w:rPr>
          <w:rFonts w:ascii="Times New Roman" w:hAnsi="Times New Roman" w:cs="Times New Roman"/>
          <w:b/>
          <w:sz w:val="20"/>
          <w:szCs w:val="20"/>
        </w:rPr>
        <w:t xml:space="preserve">Supplemental Fig. </w:t>
      </w:r>
      <w:r w:rsidR="007E11AE">
        <w:rPr>
          <w:rFonts w:ascii="Times New Roman" w:hAnsi="Times New Roman" w:cs="Times New Roman" w:hint="eastAsia"/>
          <w:b/>
          <w:sz w:val="20"/>
          <w:szCs w:val="20"/>
        </w:rPr>
        <w:t>4</w:t>
      </w:r>
      <w:r w:rsidRPr="008D162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D1626">
        <w:rPr>
          <w:rFonts w:ascii="Times New Roman" w:hAnsi="Times New Roman" w:cs="Times New Roman"/>
          <w:bCs/>
          <w:sz w:val="20"/>
          <w:szCs w:val="20"/>
        </w:rPr>
        <w:t>Representative image of HMGB1 expression</w:t>
      </w:r>
    </w:p>
    <w:p w14:paraId="6087A137" w14:textId="53EE61CC" w:rsidR="00631805" w:rsidRPr="008D1626" w:rsidRDefault="00631805" w:rsidP="00631805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D1626">
        <w:rPr>
          <w:rFonts w:ascii="Times New Roman" w:hAnsi="Times New Roman" w:cs="Times New Roman"/>
          <w:bCs/>
          <w:sz w:val="20"/>
          <w:szCs w:val="20"/>
        </w:rPr>
        <w:t>HMGB1 expression is positive in (a) NAC tissue but negative in (b) non-NAC tissue. NAC, neoadjuvant chemotherapy; HMGB1</w:t>
      </w:r>
      <w:r w:rsidR="00CE3C7D">
        <w:rPr>
          <w:rFonts w:ascii="Times New Roman" w:hAnsi="Times New Roman" w:cs="Times New Roman" w:hint="eastAsia"/>
          <w:bCs/>
          <w:sz w:val="20"/>
          <w:szCs w:val="20"/>
        </w:rPr>
        <w:t>, h</w:t>
      </w:r>
      <w:r w:rsidR="00CE3C7D" w:rsidRPr="00CE3C7D">
        <w:rPr>
          <w:rFonts w:ascii="Times New Roman" w:hAnsi="Times New Roman" w:cs="Times New Roman"/>
          <w:bCs/>
          <w:sz w:val="20"/>
          <w:szCs w:val="20"/>
        </w:rPr>
        <w:t>igh Mobility Group Box 1</w:t>
      </w:r>
    </w:p>
    <w:p w14:paraId="6087A138" w14:textId="77777777" w:rsidR="009712EE" w:rsidRDefault="009712EE"/>
    <w:sectPr w:rsidR="009712EE" w:rsidSect="007979A6">
      <w:headerReference w:type="default" r:id="rId6"/>
      <w:footerReference w:type="default" r:id="rId7"/>
      <w:pgSz w:w="12240" w:h="15840"/>
      <w:pgMar w:top="1985" w:right="1701" w:bottom="1701" w:left="1701" w:header="720" w:footer="720" w:gutter="0"/>
      <w:lnNumType w:countBy="1" w:restart="continuous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C4BF6" w14:textId="77777777" w:rsidR="00EF5304" w:rsidRDefault="00EF5304">
      <w:pPr>
        <w:spacing w:after="0" w:line="240" w:lineRule="auto"/>
      </w:pPr>
      <w:r>
        <w:separator/>
      </w:r>
    </w:p>
  </w:endnote>
  <w:endnote w:type="continuationSeparator" w:id="0">
    <w:p w14:paraId="318B55CE" w14:textId="77777777" w:rsidR="00EF5304" w:rsidRDefault="00EF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07045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087A141" w14:textId="77777777" w:rsidR="008C760A" w:rsidRPr="008D1626" w:rsidRDefault="00631805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D16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D16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D16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819C3" w:rsidRPr="001819C3">
          <w:rPr>
            <w:rFonts w:ascii="Times New Roman" w:hAnsi="Times New Roman" w:cs="Times New Roman"/>
            <w:noProof/>
            <w:sz w:val="20"/>
            <w:szCs w:val="20"/>
            <w:lang w:val="en-GB"/>
          </w:rPr>
          <w:t>2</w:t>
        </w:r>
        <w:r w:rsidRPr="008D16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087A142" w14:textId="77777777" w:rsidR="008C760A" w:rsidRDefault="008C760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EE4D" w14:textId="77777777" w:rsidR="00EF5304" w:rsidRDefault="00EF5304">
      <w:pPr>
        <w:spacing w:after="0" w:line="240" w:lineRule="auto"/>
      </w:pPr>
      <w:r>
        <w:separator/>
      </w:r>
    </w:p>
  </w:footnote>
  <w:footnote w:type="continuationSeparator" w:id="0">
    <w:p w14:paraId="0DB5C5B6" w14:textId="77777777" w:rsidR="00EF5304" w:rsidRDefault="00EF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A140" w14:textId="77777777" w:rsidR="008C760A" w:rsidRDefault="008C76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inkaDocId" w:val="d728aaae-1fd2-4c62-8d52-d40c5111311c"/>
  </w:docVars>
  <w:rsids>
    <w:rsidRoot w:val="008211E1"/>
    <w:rsid w:val="001819C3"/>
    <w:rsid w:val="005F395F"/>
    <w:rsid w:val="00625481"/>
    <w:rsid w:val="00631805"/>
    <w:rsid w:val="007A35A6"/>
    <w:rsid w:val="007C4946"/>
    <w:rsid w:val="007E11AE"/>
    <w:rsid w:val="00814BB9"/>
    <w:rsid w:val="008211E1"/>
    <w:rsid w:val="008B194E"/>
    <w:rsid w:val="008C760A"/>
    <w:rsid w:val="009712EE"/>
    <w:rsid w:val="00A61361"/>
    <w:rsid w:val="00BA45D6"/>
    <w:rsid w:val="00CB7701"/>
    <w:rsid w:val="00CE3C7D"/>
    <w:rsid w:val="00DE520C"/>
    <w:rsid w:val="00EF5304"/>
    <w:rsid w:val="00F45477"/>
    <w:rsid w:val="00F9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7A131"/>
  <w15:docId w15:val="{BCF3D0FE-52AB-43F9-AFFC-A6C972A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805"/>
    <w:rPr>
      <w:rFonts w:ascii="Calibri" w:hAnsi="Calibri" w:cs="Calibri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18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4">
    <w:name w:val="フッター (文字)"/>
    <w:basedOn w:val="a0"/>
    <w:link w:val="a3"/>
    <w:uiPriority w:val="99"/>
    <w:rsid w:val="00631805"/>
    <w:rPr>
      <w:rFonts w:ascii="Calibri" w:eastAsiaTheme="minorEastAsia" w:hAnsi="Calibri" w:cs="Calibri"/>
      <w:lang w:eastAsia="ja-JP"/>
    </w:rPr>
  </w:style>
  <w:style w:type="character" w:styleId="a5">
    <w:name w:val="annotation reference"/>
    <w:basedOn w:val="a0"/>
    <w:uiPriority w:val="99"/>
    <w:semiHidden/>
    <w:unhideWhenUsed/>
    <w:rsid w:val="00631805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631805"/>
    <w:rPr>
      <w:rFonts w:ascii="Times New Roman" w:hAnsi="Times New Roman"/>
    </w:rPr>
  </w:style>
  <w:style w:type="character" w:customStyle="1" w:styleId="a7">
    <w:name w:val="コメント文字列 (文字)"/>
    <w:basedOn w:val="a0"/>
    <w:link w:val="a6"/>
    <w:uiPriority w:val="99"/>
    <w:rsid w:val="00631805"/>
    <w:rPr>
      <w:rFonts w:ascii="Times New Roman" w:eastAsiaTheme="minorEastAsia" w:hAnsi="Times New Roman" w:cs="Calibri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631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631805"/>
    <w:rPr>
      <w:rFonts w:ascii="Tahoma" w:eastAsiaTheme="minorEastAsia" w:hAnsi="Tahoma" w:cs="Tahoma"/>
      <w:sz w:val="16"/>
      <w:szCs w:val="16"/>
      <w:lang w:eastAsia="ja-JP"/>
    </w:rPr>
  </w:style>
  <w:style w:type="character" w:styleId="aa">
    <w:name w:val="line number"/>
    <w:basedOn w:val="a0"/>
    <w:uiPriority w:val="99"/>
    <w:semiHidden/>
    <w:unhideWhenUsed/>
    <w:rsid w:val="00631805"/>
  </w:style>
  <w:style w:type="paragraph" w:styleId="ab">
    <w:name w:val="annotation subject"/>
    <w:basedOn w:val="a6"/>
    <w:next w:val="a6"/>
    <w:link w:val="ac"/>
    <w:uiPriority w:val="99"/>
    <w:semiHidden/>
    <w:unhideWhenUsed/>
    <w:rsid w:val="00631805"/>
    <w:pPr>
      <w:spacing w:line="240" w:lineRule="auto"/>
    </w:pPr>
    <w:rPr>
      <w:rFonts w:ascii="Calibri" w:hAnsi="Calibri"/>
      <w:b/>
      <w:bCs/>
      <w:sz w:val="20"/>
      <w:szCs w:val="20"/>
    </w:rPr>
  </w:style>
  <w:style w:type="character" w:customStyle="1" w:styleId="ac">
    <w:name w:val="コメント内容 (文字)"/>
    <w:basedOn w:val="a7"/>
    <w:link w:val="ab"/>
    <w:uiPriority w:val="99"/>
    <w:semiHidden/>
    <w:rsid w:val="00631805"/>
    <w:rPr>
      <w:rFonts w:ascii="Calibri" w:eastAsiaTheme="minorEastAsia" w:hAnsi="Calibri" w:cs="Calibri"/>
      <w:b/>
      <w:bCs/>
      <w:sz w:val="20"/>
      <w:szCs w:val="20"/>
      <w:lang w:eastAsia="ja-JP"/>
    </w:rPr>
  </w:style>
  <w:style w:type="paragraph" w:styleId="ad">
    <w:name w:val="Revision"/>
    <w:hidden/>
    <w:uiPriority w:val="99"/>
    <w:semiHidden/>
    <w:rsid w:val="00625481"/>
    <w:pPr>
      <w:spacing w:after="0" w:line="240" w:lineRule="auto"/>
    </w:pPr>
    <w:rPr>
      <w:rFonts w:ascii="Calibri" w:hAnsi="Calibri" w:cs="Calibri"/>
      <w:lang w:eastAsia="ja-JP"/>
    </w:rPr>
  </w:style>
  <w:style w:type="paragraph" w:styleId="ae">
    <w:name w:val="header"/>
    <w:basedOn w:val="a"/>
    <w:link w:val="af"/>
    <w:uiPriority w:val="99"/>
    <w:unhideWhenUsed/>
    <w:rsid w:val="00F454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45477"/>
    <w:rPr>
      <w:rFonts w:ascii="Calibri" w:hAnsi="Calibri" w:cs="Calibr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大樹 五十嵐</cp:lastModifiedBy>
  <cp:revision>11</cp:revision>
  <dcterms:created xsi:type="dcterms:W3CDTF">2026-03-14T03:56:00Z</dcterms:created>
  <dcterms:modified xsi:type="dcterms:W3CDTF">2026-06-02T11:53:00Z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65a8eb021869426fbf91aeb78cfb6a96</vt:lpwstr>
  </property>
</Properties>
</file>