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jc w:val="center"/>
      </w:pPr>
      <w:r>
        <w:rPr>
          <w:b/>
          <w:sz w:val="28"/>
        </w:rPr>
        <w:t>Supplementary Information</w:t>
      </w:r>
    </w:p>
    <w:p>
      <w:pPr>
        <w:spacing w:after="400"/>
        <w:jc w:val="center"/>
      </w:pPr>
      <w:r>
        <w:rPr>
          <w:i/>
          <w:sz w:val="22"/>
        </w:rPr>
        <w:t>for</w:t>
      </w:r>
    </w:p>
    <w:p>
      <w:pPr>
        <w:spacing w:after="160"/>
        <w:jc w:val="center"/>
      </w:pPr>
      <w:r>
        <w:rPr>
          <w:b/>
          <w:sz w:val="24"/>
        </w:rPr>
        <w:t>Three-year field performance of a residential grid-tied PV prosumer in Romania: measured data, seasonal yield, and statistical characterisation</w:t>
      </w:r>
    </w:p>
    <w:p>
      <w:pPr>
        <w:spacing w:after="160"/>
        <w:jc w:val="center"/>
      </w:pPr>
      <w:r>
        <w:rPr>
          <w:sz w:val="22"/>
        </w:rPr>
        <w:t>George-Andrei Beșchea, Beatrice-Georgiana Vuțoiu*, Gabriel Năstase</w:t>
      </w:r>
    </w:p>
    <w:p>
      <w:pPr>
        <w:spacing w:after="400"/>
        <w:jc w:val="center"/>
      </w:pPr>
      <w:r>
        <w:rPr>
          <w:i/>
          <w:sz w:val="20"/>
        </w:rPr>
        <w:t>Laboratory of Building Services, Institute of Civil Engineering, Transilvania University of Brașov, 500152 Brașov, Romania</w:t>
      </w:r>
    </w:p>
    <w:p>
      <w:pPr>
        <w:spacing w:after="560"/>
        <w:jc w:val="center"/>
      </w:pPr>
      <w:r>
        <w:rPr>
          <w:sz w:val="20"/>
        </w:rPr>
        <w:t>* Corresponding author. E-mail: beatrice.vutoiu@unitbv.ro</w:t>
      </w:r>
    </w:p>
    <w:p>
      <w:pPr>
        <w:spacing w:after="160"/>
        <w:jc w:val="left"/>
      </w:pPr>
      <w:r>
        <w:rPr>
          <w:b/>
          <w:sz w:val="24"/>
        </w:rPr>
        <w:t>Contents</w:t>
      </w:r>
    </w:p>
    <w:p>
      <w:pPr>
        <w:spacing w:after="80"/>
        <w:jc w:val="both"/>
      </w:pPr>
      <w:r>
        <w:rPr>
          <w:sz w:val="22"/>
        </w:rPr>
        <w:t>Supplementary Table S1. Inferred installed capacity sensitivity analysis.</w:t>
      </w:r>
    </w:p>
    <w:p>
      <w:pPr>
        <w:spacing w:after="80"/>
        <w:jc w:val="both"/>
      </w:pPr>
      <w:r>
        <w:rPr>
          <w:sz w:val="22"/>
        </w:rPr>
        <w:t>Supplementary Table S2. Study limitations and recommended mitigations.</w:t>
      </w:r>
    </w:p>
    <w:p>
      <w:pPr>
        <w:spacing w:after="80"/>
        <w:jc w:val="both"/>
      </w:pPr>
      <w:r>
        <w:rPr>
          <w:sz w:val="22"/>
        </w:rPr>
        <w:t>Supplementary Table S3. Descriptive statistics of monthly production data.</w:t>
      </w:r>
    </w:p>
    <w:p>
      <w:pPr>
        <w:spacing w:after="80"/>
        <w:jc w:val="both"/>
      </w:pPr>
      <w:r>
        <w:rPr>
          <w:sz w:val="22"/>
        </w:rPr>
        <w:t>Supplementary Table S4. List of abbreviations.</w:t>
      </w:r>
    </w:p>
    <w:p>
      <w:r>
        <w:br w:type="page"/>
      </w:r>
    </w:p>
    <w:p>
      <w:pPr>
        <w:keepNext/>
        <w:spacing w:before="280" w:after="120"/>
      </w:pPr>
      <w:r>
        <w:rPr>
          <w:b/>
          <w:sz w:val="26"/>
        </w:rPr>
        <w:t>Supplementary Table S1</w:t>
      </w:r>
    </w:p>
    <w:p>
      <w:pPr>
        <w:spacing w:after="120"/>
        <w:jc w:val="both"/>
      </w:pPr>
      <w:r>
        <w:rPr>
          <w:sz w:val="22"/>
        </w:rPr>
        <w:t>Specific yield in kWh/kWp/yr computed under eight candidate rated capacities, compared to the PVGIS-SARAH3 expected range of 1,050–1,150 kWh/kWp/yr for central Romania at optimal fixed tilt (reference 3 in the main manuscript). The highlighted row (2.70 kWp) indicates the candidate capacity for which the three-year mean specific yield falls within the PVGIS expected range. This table supports the inferred installed-capacity discussion in Section 3.4.2 of the main text.</w:t>
      </w:r>
    </w:p>
    <w:tbl>
      <w:tblPr>
        <w:tblW w:type="auto" w:w="0"/>
        <w:jc w:val="center"/>
        <w:tblLook w:firstColumn="1" w:firstRow="1" w:lastColumn="0" w:lastRow="0" w:noHBand="0" w:noVBand="1" w:val="04A0"/>
      </w:tblPr>
      <w:tblGrid>
        <w:gridCol w:w="1568"/>
        <w:gridCol w:w="1568"/>
        <w:gridCol w:w="1568"/>
        <w:gridCol w:w="1568"/>
        <w:gridCol w:w="1568"/>
        <w:gridCol w:w="1568"/>
      </w:tblGrid>
      <w:tr>
        <w:tc>
          <w:tcPr>
            <w:tcW w:type="dxa" w:w="1008"/>
            <w:shd w:fill="D9E2F3" w:val="clear"/>
            <w:tcBorders>
              <w:top w:val="single" w:sz="8" w:color="000000"/>
              <w:left w:val="single" w:sz="4" w:color="999999"/>
              <w:bottom w:val="single" w:sz="8" w:color="000000"/>
              <w:right w:val="single" w:sz="4" w:color="999999"/>
            </w:tcBorders>
          </w:tcPr>
          <w:p>
            <w:pPr>
              <w:jc w:val="center"/>
            </w:pPr>
            <w:r/>
            <w:r>
              <w:rPr>
                <w:b/>
                <w:sz w:val="20"/>
              </w:rPr>
              <w:t>kWp</w:t>
            </w:r>
          </w:p>
        </w:tc>
        <w:tc>
          <w:tcPr>
            <w:tcW w:type="dxa" w:w="1440"/>
            <w:shd w:fill="D9E2F3" w:val="clear"/>
            <w:tcBorders>
              <w:top w:val="single" w:sz="8" w:color="000000"/>
              <w:left w:val="single" w:sz="4" w:color="999999"/>
              <w:bottom w:val="single" w:sz="8" w:color="000000"/>
              <w:right w:val="single" w:sz="4" w:color="999999"/>
            </w:tcBorders>
          </w:tcPr>
          <w:p>
            <w:pPr>
              <w:jc w:val="center"/>
            </w:pPr>
            <w:r/>
            <w:r>
              <w:rPr>
                <w:b/>
                <w:sz w:val="20"/>
              </w:rPr>
              <w:t>2023</w:t>
            </w:r>
          </w:p>
        </w:tc>
        <w:tc>
          <w:tcPr>
            <w:tcW w:type="dxa" w:w="1440"/>
            <w:shd w:fill="D9E2F3" w:val="clear"/>
            <w:tcBorders>
              <w:top w:val="single" w:sz="8" w:color="000000"/>
              <w:left w:val="single" w:sz="4" w:color="999999"/>
              <w:bottom w:val="single" w:sz="8" w:color="000000"/>
              <w:right w:val="single" w:sz="4" w:color="999999"/>
            </w:tcBorders>
          </w:tcPr>
          <w:p>
            <w:pPr>
              <w:jc w:val="center"/>
            </w:pPr>
            <w:r/>
            <w:r>
              <w:rPr>
                <w:b/>
                <w:sz w:val="20"/>
              </w:rPr>
              <w:t>2024</w:t>
            </w:r>
          </w:p>
        </w:tc>
        <w:tc>
          <w:tcPr>
            <w:tcW w:type="dxa" w:w="1440"/>
            <w:shd w:fill="D9E2F3" w:val="clear"/>
            <w:tcBorders>
              <w:top w:val="single" w:sz="8" w:color="000000"/>
              <w:left w:val="single" w:sz="4" w:color="999999"/>
              <w:bottom w:val="single" w:sz="8" w:color="000000"/>
              <w:right w:val="single" w:sz="4" w:color="999999"/>
            </w:tcBorders>
          </w:tcPr>
          <w:p>
            <w:pPr>
              <w:jc w:val="center"/>
            </w:pPr>
            <w:r/>
            <w:r>
              <w:rPr>
                <w:b/>
                <w:sz w:val="20"/>
              </w:rPr>
              <w:t>2025</w:t>
            </w:r>
          </w:p>
        </w:tc>
        <w:tc>
          <w:tcPr>
            <w:tcW w:type="dxa" w:w="1440"/>
            <w:shd w:fill="D9E2F3" w:val="clear"/>
            <w:tcBorders>
              <w:top w:val="single" w:sz="8" w:color="000000"/>
              <w:left w:val="single" w:sz="4" w:color="999999"/>
              <w:bottom w:val="single" w:sz="8" w:color="000000"/>
              <w:right w:val="single" w:sz="4" w:color="999999"/>
            </w:tcBorders>
          </w:tcPr>
          <w:p>
            <w:pPr>
              <w:jc w:val="center"/>
            </w:pPr>
            <w:r/>
            <w:r>
              <w:rPr>
                <w:b/>
                <w:sz w:val="20"/>
              </w:rPr>
              <w:t>3-yr avg</w:t>
            </w:r>
          </w:p>
        </w:tc>
        <w:tc>
          <w:tcPr>
            <w:tcW w:type="dxa" w:w="2160"/>
            <w:shd w:fill="D9E2F3" w:val="clear"/>
            <w:tcBorders>
              <w:top w:val="single" w:sz="8" w:color="000000"/>
              <w:left w:val="single" w:sz="4" w:color="999999"/>
              <w:bottom w:val="single" w:sz="8" w:color="000000"/>
              <w:right w:val="single" w:sz="4" w:color="999999"/>
            </w:tcBorders>
          </w:tcPr>
          <w:p>
            <w:pPr>
              <w:jc w:val="center"/>
            </w:pPr>
            <w:r/>
            <w:r>
              <w:rPr>
                <w:b/>
                <w:sz w:val="20"/>
              </w:rPr>
              <w:t>Δ from PVGIS range</w:t>
            </w:r>
          </w:p>
        </w:tc>
      </w:tr>
      <w:tr>
        <w:tc>
          <w:tcPr>
            <w:tcW w:type="dxa" w:w="1008"/>
            <w:tcBorders>
              <w:top w:val="single" w:sz="4" w:color="CCCCCC"/>
              <w:left w:val="single" w:sz="4" w:color="CCCCCC"/>
              <w:bottom w:val="single" w:sz="4" w:color="CCCCCC"/>
              <w:right w:val="single" w:sz="4" w:color="CCCCCC"/>
            </w:tcBorders>
          </w:tcPr>
          <w:p>
            <w:pPr>
              <w:jc w:val="left"/>
            </w:pPr>
            <w:r/>
            <w:r>
              <w:rPr>
                <w:sz w:val="20"/>
              </w:rPr>
              <w:t>2.50</w:t>
            </w:r>
          </w:p>
        </w:tc>
        <w:tc>
          <w:tcPr>
            <w:tcW w:type="dxa" w:w="1440"/>
            <w:tcBorders>
              <w:top w:val="single" w:sz="4" w:color="CCCCCC"/>
              <w:left w:val="single" w:sz="4" w:color="CCCCCC"/>
              <w:bottom w:val="single" w:sz="4" w:color="CCCCCC"/>
              <w:right w:val="single" w:sz="4" w:color="CCCCCC"/>
            </w:tcBorders>
          </w:tcPr>
          <w:p>
            <w:pPr>
              <w:jc w:val="center"/>
            </w:pPr>
            <w:r/>
            <w:r>
              <w:rPr>
                <w:sz w:val="20"/>
              </w:rPr>
              <w:t>1,278.0</w:t>
            </w:r>
          </w:p>
        </w:tc>
        <w:tc>
          <w:tcPr>
            <w:tcW w:type="dxa" w:w="1440"/>
            <w:tcBorders>
              <w:top w:val="single" w:sz="4" w:color="CCCCCC"/>
              <w:left w:val="single" w:sz="4" w:color="CCCCCC"/>
              <w:bottom w:val="single" w:sz="4" w:color="CCCCCC"/>
              <w:right w:val="single" w:sz="4" w:color="CCCCCC"/>
            </w:tcBorders>
          </w:tcPr>
          <w:p>
            <w:pPr>
              <w:jc w:val="center"/>
            </w:pPr>
            <w:r/>
            <w:r>
              <w:rPr>
                <w:sz w:val="20"/>
              </w:rPr>
              <w:t>1,268.5</w:t>
            </w:r>
          </w:p>
        </w:tc>
        <w:tc>
          <w:tcPr>
            <w:tcW w:type="dxa" w:w="1440"/>
            <w:tcBorders>
              <w:top w:val="single" w:sz="4" w:color="CCCCCC"/>
              <w:left w:val="single" w:sz="4" w:color="CCCCCC"/>
              <w:bottom w:val="single" w:sz="4" w:color="CCCCCC"/>
              <w:right w:val="single" w:sz="4" w:color="CCCCCC"/>
            </w:tcBorders>
          </w:tcPr>
          <w:p>
            <w:pPr>
              <w:jc w:val="center"/>
            </w:pPr>
            <w:r/>
            <w:r>
              <w:rPr>
                <w:sz w:val="20"/>
              </w:rPr>
              <w:t>1,153.5</w:t>
            </w:r>
          </w:p>
        </w:tc>
        <w:tc>
          <w:tcPr>
            <w:tcW w:type="dxa" w:w="1440"/>
            <w:tcBorders>
              <w:top w:val="single" w:sz="4" w:color="CCCCCC"/>
              <w:left w:val="single" w:sz="4" w:color="CCCCCC"/>
              <w:bottom w:val="single" w:sz="4" w:color="CCCCCC"/>
              <w:right w:val="single" w:sz="4" w:color="CCCCCC"/>
            </w:tcBorders>
          </w:tcPr>
          <w:p>
            <w:pPr>
              <w:jc w:val="center"/>
            </w:pPr>
            <w:r/>
            <w:r>
              <w:rPr>
                <w:sz w:val="20"/>
              </w:rPr>
              <w:t>1,233.3</w:t>
            </w:r>
          </w:p>
        </w:tc>
        <w:tc>
          <w:tcPr>
            <w:tcW w:type="dxa" w:w="2160"/>
            <w:tcBorders>
              <w:top w:val="single" w:sz="4" w:color="CCCCCC"/>
              <w:left w:val="single" w:sz="4" w:color="CCCCCC"/>
              <w:bottom w:val="single" w:sz="4" w:color="CCCCCC"/>
              <w:right w:val="single" w:sz="4" w:color="CCCCCC"/>
            </w:tcBorders>
          </w:tcPr>
          <w:p>
            <w:pPr>
              <w:jc w:val="center"/>
            </w:pPr>
            <w:r/>
            <w:r>
              <w:rPr>
                <w:sz w:val="20"/>
              </w:rPr>
              <w:t>+7.2% above</w:t>
            </w:r>
          </w:p>
        </w:tc>
      </w:tr>
      <w:tr>
        <w:tc>
          <w:tcPr>
            <w:tcW w:type="dxa" w:w="1008"/>
            <w:tcBorders>
              <w:top w:val="single" w:sz="4" w:color="CCCCCC"/>
              <w:left w:val="single" w:sz="4" w:color="CCCCCC"/>
              <w:bottom w:val="single" w:sz="4" w:color="CCCCCC"/>
              <w:right w:val="single" w:sz="4" w:color="CCCCCC"/>
            </w:tcBorders>
          </w:tcPr>
          <w:p>
            <w:pPr>
              <w:jc w:val="left"/>
            </w:pPr>
            <w:r/>
            <w:r>
              <w:rPr>
                <w:b/>
                <w:sz w:val="20"/>
              </w:rPr>
              <w:t>2.70</w:t>
            </w:r>
          </w:p>
        </w:tc>
        <w:tc>
          <w:tcPr>
            <w:tcW w:type="dxa" w:w="1440"/>
            <w:tcBorders>
              <w:top w:val="single" w:sz="4" w:color="CCCCCC"/>
              <w:left w:val="single" w:sz="4" w:color="CCCCCC"/>
              <w:bottom w:val="single" w:sz="4" w:color="CCCCCC"/>
              <w:right w:val="single" w:sz="4" w:color="CCCCCC"/>
            </w:tcBorders>
          </w:tcPr>
          <w:p>
            <w:pPr>
              <w:jc w:val="center"/>
            </w:pPr>
            <w:r/>
            <w:r>
              <w:rPr>
                <w:b/>
                <w:sz w:val="20"/>
              </w:rPr>
              <w:t>1,183.3</w:t>
            </w:r>
          </w:p>
        </w:tc>
        <w:tc>
          <w:tcPr>
            <w:tcW w:type="dxa" w:w="1440"/>
            <w:tcBorders>
              <w:top w:val="single" w:sz="4" w:color="CCCCCC"/>
              <w:left w:val="single" w:sz="4" w:color="CCCCCC"/>
              <w:bottom w:val="single" w:sz="4" w:color="CCCCCC"/>
              <w:right w:val="single" w:sz="4" w:color="CCCCCC"/>
            </w:tcBorders>
          </w:tcPr>
          <w:p>
            <w:pPr>
              <w:jc w:val="center"/>
            </w:pPr>
            <w:r/>
            <w:r>
              <w:rPr>
                <w:b/>
                <w:sz w:val="20"/>
              </w:rPr>
              <w:t>1,174.6</w:t>
            </w:r>
          </w:p>
        </w:tc>
        <w:tc>
          <w:tcPr>
            <w:tcW w:type="dxa" w:w="1440"/>
            <w:tcBorders>
              <w:top w:val="single" w:sz="4" w:color="CCCCCC"/>
              <w:left w:val="single" w:sz="4" w:color="CCCCCC"/>
              <w:bottom w:val="single" w:sz="4" w:color="CCCCCC"/>
              <w:right w:val="single" w:sz="4" w:color="CCCCCC"/>
            </w:tcBorders>
          </w:tcPr>
          <w:p>
            <w:pPr>
              <w:jc w:val="center"/>
            </w:pPr>
            <w:r/>
            <w:r>
              <w:rPr>
                <w:b/>
                <w:sz w:val="20"/>
              </w:rPr>
              <w:t>1,068.0</w:t>
            </w:r>
          </w:p>
        </w:tc>
        <w:tc>
          <w:tcPr>
            <w:tcW w:type="dxa" w:w="1440"/>
            <w:tcBorders>
              <w:top w:val="single" w:sz="4" w:color="CCCCCC"/>
              <w:left w:val="single" w:sz="4" w:color="CCCCCC"/>
              <w:bottom w:val="single" w:sz="4" w:color="CCCCCC"/>
              <w:right w:val="single" w:sz="4" w:color="CCCCCC"/>
            </w:tcBorders>
          </w:tcPr>
          <w:p>
            <w:pPr>
              <w:jc w:val="center"/>
            </w:pPr>
            <w:r/>
            <w:r>
              <w:rPr>
                <w:b/>
                <w:sz w:val="20"/>
              </w:rPr>
              <w:t>1,142.0</w:t>
            </w:r>
          </w:p>
        </w:tc>
        <w:tc>
          <w:tcPr>
            <w:tcW w:type="dxa" w:w="2160"/>
            <w:tcBorders>
              <w:top w:val="single" w:sz="4" w:color="CCCCCC"/>
              <w:left w:val="single" w:sz="4" w:color="CCCCCC"/>
              <w:bottom w:val="single" w:sz="4" w:color="CCCCCC"/>
              <w:right w:val="single" w:sz="4" w:color="CCCCCC"/>
            </w:tcBorders>
          </w:tcPr>
          <w:p>
            <w:pPr>
              <w:jc w:val="center"/>
            </w:pPr>
            <w:r/>
            <w:r>
              <w:rPr>
                <w:b/>
                <w:sz w:val="20"/>
              </w:rPr>
              <w:t>✓ within range</w:t>
            </w:r>
          </w:p>
        </w:tc>
      </w:tr>
      <w:tr>
        <w:tc>
          <w:tcPr>
            <w:tcW w:type="dxa" w:w="1008"/>
            <w:tcBorders>
              <w:top w:val="single" w:sz="4" w:color="CCCCCC"/>
              <w:left w:val="single" w:sz="4" w:color="CCCCCC"/>
              <w:bottom w:val="single" w:sz="4" w:color="CCCCCC"/>
              <w:right w:val="single" w:sz="4" w:color="CCCCCC"/>
            </w:tcBorders>
          </w:tcPr>
          <w:p>
            <w:pPr>
              <w:jc w:val="left"/>
            </w:pPr>
            <w:r/>
            <w:r>
              <w:rPr>
                <w:sz w:val="20"/>
              </w:rPr>
              <w:t>3.00</w:t>
            </w:r>
          </w:p>
        </w:tc>
        <w:tc>
          <w:tcPr>
            <w:tcW w:type="dxa" w:w="1440"/>
            <w:tcBorders>
              <w:top w:val="single" w:sz="4" w:color="CCCCCC"/>
              <w:left w:val="single" w:sz="4" w:color="CCCCCC"/>
              <w:bottom w:val="single" w:sz="4" w:color="CCCCCC"/>
              <w:right w:val="single" w:sz="4" w:color="CCCCCC"/>
            </w:tcBorders>
          </w:tcPr>
          <w:p>
            <w:pPr>
              <w:jc w:val="center"/>
            </w:pPr>
            <w:r/>
            <w:r>
              <w:rPr>
                <w:sz w:val="20"/>
              </w:rPr>
              <w:t>1,065.0</w:t>
            </w:r>
          </w:p>
        </w:tc>
        <w:tc>
          <w:tcPr>
            <w:tcW w:type="dxa" w:w="1440"/>
            <w:tcBorders>
              <w:top w:val="single" w:sz="4" w:color="CCCCCC"/>
              <w:left w:val="single" w:sz="4" w:color="CCCCCC"/>
              <w:bottom w:val="single" w:sz="4" w:color="CCCCCC"/>
              <w:right w:val="single" w:sz="4" w:color="CCCCCC"/>
            </w:tcBorders>
          </w:tcPr>
          <w:p>
            <w:pPr>
              <w:jc w:val="center"/>
            </w:pPr>
            <w:r/>
            <w:r>
              <w:rPr>
                <w:sz w:val="20"/>
              </w:rPr>
              <w:t>1,057.1</w:t>
            </w:r>
          </w:p>
        </w:tc>
        <w:tc>
          <w:tcPr>
            <w:tcW w:type="dxa" w:w="1440"/>
            <w:tcBorders>
              <w:top w:val="single" w:sz="4" w:color="CCCCCC"/>
              <w:left w:val="single" w:sz="4" w:color="CCCCCC"/>
              <w:bottom w:val="single" w:sz="4" w:color="CCCCCC"/>
              <w:right w:val="single" w:sz="4" w:color="CCCCCC"/>
            </w:tcBorders>
          </w:tcPr>
          <w:p>
            <w:pPr>
              <w:jc w:val="center"/>
            </w:pPr>
            <w:r/>
            <w:r>
              <w:rPr>
                <w:sz w:val="20"/>
              </w:rPr>
              <w:t>961.2</w:t>
            </w:r>
          </w:p>
        </w:tc>
        <w:tc>
          <w:tcPr>
            <w:tcW w:type="dxa" w:w="1440"/>
            <w:tcBorders>
              <w:top w:val="single" w:sz="4" w:color="CCCCCC"/>
              <w:left w:val="single" w:sz="4" w:color="CCCCCC"/>
              <w:bottom w:val="single" w:sz="4" w:color="CCCCCC"/>
              <w:right w:val="single" w:sz="4" w:color="CCCCCC"/>
            </w:tcBorders>
          </w:tcPr>
          <w:p>
            <w:pPr>
              <w:jc w:val="center"/>
            </w:pPr>
            <w:r/>
            <w:r>
              <w:rPr>
                <w:sz w:val="20"/>
              </w:rPr>
              <w:t>1,027.8</w:t>
            </w:r>
          </w:p>
        </w:tc>
        <w:tc>
          <w:tcPr>
            <w:tcW w:type="dxa" w:w="2160"/>
            <w:tcBorders>
              <w:top w:val="single" w:sz="4" w:color="CCCCCC"/>
              <w:left w:val="single" w:sz="4" w:color="CCCCCC"/>
              <w:bottom w:val="single" w:sz="4" w:color="CCCCCC"/>
              <w:right w:val="single" w:sz="4" w:color="CCCCCC"/>
            </w:tcBorders>
          </w:tcPr>
          <w:p>
            <w:pPr>
              <w:jc w:val="center"/>
            </w:pPr>
            <w:r/>
            <w:r>
              <w:rPr>
                <w:sz w:val="20"/>
              </w:rPr>
              <w:t>−2.1% below</w:t>
            </w:r>
          </w:p>
        </w:tc>
      </w:tr>
      <w:tr>
        <w:tc>
          <w:tcPr>
            <w:tcW w:type="dxa" w:w="1008"/>
            <w:tcBorders>
              <w:top w:val="single" w:sz="4" w:color="CCCCCC"/>
              <w:left w:val="single" w:sz="4" w:color="CCCCCC"/>
              <w:bottom w:val="single" w:sz="4" w:color="CCCCCC"/>
              <w:right w:val="single" w:sz="4" w:color="CCCCCC"/>
            </w:tcBorders>
          </w:tcPr>
          <w:p>
            <w:pPr>
              <w:jc w:val="left"/>
            </w:pPr>
            <w:r/>
            <w:r>
              <w:rPr>
                <w:sz w:val="20"/>
              </w:rPr>
              <w:t>3.25</w:t>
            </w:r>
          </w:p>
        </w:tc>
        <w:tc>
          <w:tcPr>
            <w:tcW w:type="dxa" w:w="1440"/>
            <w:tcBorders>
              <w:top w:val="single" w:sz="4" w:color="CCCCCC"/>
              <w:left w:val="single" w:sz="4" w:color="CCCCCC"/>
              <w:bottom w:val="single" w:sz="4" w:color="CCCCCC"/>
              <w:right w:val="single" w:sz="4" w:color="CCCCCC"/>
            </w:tcBorders>
          </w:tcPr>
          <w:p>
            <w:pPr>
              <w:jc w:val="center"/>
            </w:pPr>
            <w:r/>
            <w:r>
              <w:rPr>
                <w:sz w:val="20"/>
              </w:rPr>
              <w:t>983.1</w:t>
            </w:r>
          </w:p>
        </w:tc>
        <w:tc>
          <w:tcPr>
            <w:tcW w:type="dxa" w:w="1440"/>
            <w:tcBorders>
              <w:top w:val="single" w:sz="4" w:color="CCCCCC"/>
              <w:left w:val="single" w:sz="4" w:color="CCCCCC"/>
              <w:bottom w:val="single" w:sz="4" w:color="CCCCCC"/>
              <w:right w:val="single" w:sz="4" w:color="CCCCCC"/>
            </w:tcBorders>
          </w:tcPr>
          <w:p>
            <w:pPr>
              <w:jc w:val="center"/>
            </w:pPr>
            <w:r/>
            <w:r>
              <w:rPr>
                <w:sz w:val="20"/>
              </w:rPr>
              <w:t>975.8</w:t>
            </w:r>
          </w:p>
        </w:tc>
        <w:tc>
          <w:tcPr>
            <w:tcW w:type="dxa" w:w="1440"/>
            <w:tcBorders>
              <w:top w:val="single" w:sz="4" w:color="CCCCCC"/>
              <w:left w:val="single" w:sz="4" w:color="CCCCCC"/>
              <w:bottom w:val="single" w:sz="4" w:color="CCCCCC"/>
              <w:right w:val="single" w:sz="4" w:color="CCCCCC"/>
            </w:tcBorders>
          </w:tcPr>
          <w:p>
            <w:pPr>
              <w:jc w:val="center"/>
            </w:pPr>
            <w:r/>
            <w:r>
              <w:rPr>
                <w:sz w:val="20"/>
              </w:rPr>
              <w:t>887.3</w:t>
            </w:r>
          </w:p>
        </w:tc>
        <w:tc>
          <w:tcPr>
            <w:tcW w:type="dxa" w:w="1440"/>
            <w:tcBorders>
              <w:top w:val="single" w:sz="4" w:color="CCCCCC"/>
              <w:left w:val="single" w:sz="4" w:color="CCCCCC"/>
              <w:bottom w:val="single" w:sz="4" w:color="CCCCCC"/>
              <w:right w:val="single" w:sz="4" w:color="CCCCCC"/>
            </w:tcBorders>
          </w:tcPr>
          <w:p>
            <w:pPr>
              <w:jc w:val="center"/>
            </w:pPr>
            <w:r/>
            <w:r>
              <w:rPr>
                <w:sz w:val="20"/>
              </w:rPr>
              <w:t>948.7</w:t>
            </w:r>
          </w:p>
        </w:tc>
        <w:tc>
          <w:tcPr>
            <w:tcW w:type="dxa" w:w="2160"/>
            <w:tcBorders>
              <w:top w:val="single" w:sz="4" w:color="CCCCCC"/>
              <w:left w:val="single" w:sz="4" w:color="CCCCCC"/>
              <w:bottom w:val="single" w:sz="4" w:color="CCCCCC"/>
              <w:right w:val="single" w:sz="4" w:color="CCCCCC"/>
            </w:tcBorders>
          </w:tcPr>
          <w:p>
            <w:pPr>
              <w:jc w:val="center"/>
            </w:pPr>
            <w:r/>
            <w:r>
              <w:rPr>
                <w:sz w:val="20"/>
              </w:rPr>
              <w:t>−9.6% below</w:t>
            </w:r>
          </w:p>
        </w:tc>
      </w:tr>
      <w:tr>
        <w:tc>
          <w:tcPr>
            <w:tcW w:type="dxa" w:w="1008"/>
            <w:tcBorders>
              <w:top w:val="single" w:sz="4" w:color="CCCCCC"/>
              <w:left w:val="single" w:sz="4" w:color="CCCCCC"/>
              <w:bottom w:val="single" w:sz="4" w:color="CCCCCC"/>
              <w:right w:val="single" w:sz="4" w:color="CCCCCC"/>
            </w:tcBorders>
          </w:tcPr>
          <w:p>
            <w:pPr>
              <w:jc w:val="left"/>
            </w:pPr>
            <w:r/>
            <w:r>
              <w:rPr>
                <w:sz w:val="20"/>
              </w:rPr>
              <w:t>3.50</w:t>
            </w:r>
          </w:p>
        </w:tc>
        <w:tc>
          <w:tcPr>
            <w:tcW w:type="dxa" w:w="1440"/>
            <w:tcBorders>
              <w:top w:val="single" w:sz="4" w:color="CCCCCC"/>
              <w:left w:val="single" w:sz="4" w:color="CCCCCC"/>
              <w:bottom w:val="single" w:sz="4" w:color="CCCCCC"/>
              <w:right w:val="single" w:sz="4" w:color="CCCCCC"/>
            </w:tcBorders>
          </w:tcPr>
          <w:p>
            <w:pPr>
              <w:jc w:val="center"/>
            </w:pPr>
            <w:r/>
            <w:r>
              <w:rPr>
                <w:sz w:val="20"/>
              </w:rPr>
              <w:t>912.9</w:t>
            </w:r>
          </w:p>
        </w:tc>
        <w:tc>
          <w:tcPr>
            <w:tcW w:type="dxa" w:w="1440"/>
            <w:tcBorders>
              <w:top w:val="single" w:sz="4" w:color="CCCCCC"/>
              <w:left w:val="single" w:sz="4" w:color="CCCCCC"/>
              <w:bottom w:val="single" w:sz="4" w:color="CCCCCC"/>
              <w:right w:val="single" w:sz="4" w:color="CCCCCC"/>
            </w:tcBorders>
          </w:tcPr>
          <w:p>
            <w:pPr>
              <w:jc w:val="center"/>
            </w:pPr>
            <w:r/>
            <w:r>
              <w:rPr>
                <w:sz w:val="20"/>
              </w:rPr>
              <w:t>906.1</w:t>
            </w:r>
          </w:p>
        </w:tc>
        <w:tc>
          <w:tcPr>
            <w:tcW w:type="dxa" w:w="1440"/>
            <w:tcBorders>
              <w:top w:val="single" w:sz="4" w:color="CCCCCC"/>
              <w:left w:val="single" w:sz="4" w:color="CCCCCC"/>
              <w:bottom w:val="single" w:sz="4" w:color="CCCCCC"/>
              <w:right w:val="single" w:sz="4" w:color="CCCCCC"/>
            </w:tcBorders>
          </w:tcPr>
          <w:p>
            <w:pPr>
              <w:jc w:val="center"/>
            </w:pPr>
            <w:r/>
            <w:r>
              <w:rPr>
                <w:sz w:val="20"/>
              </w:rPr>
              <w:t>823.9</w:t>
            </w:r>
          </w:p>
        </w:tc>
        <w:tc>
          <w:tcPr>
            <w:tcW w:type="dxa" w:w="1440"/>
            <w:tcBorders>
              <w:top w:val="single" w:sz="4" w:color="CCCCCC"/>
              <w:left w:val="single" w:sz="4" w:color="CCCCCC"/>
              <w:bottom w:val="single" w:sz="4" w:color="CCCCCC"/>
              <w:right w:val="single" w:sz="4" w:color="CCCCCC"/>
            </w:tcBorders>
          </w:tcPr>
          <w:p>
            <w:pPr>
              <w:jc w:val="center"/>
            </w:pPr>
            <w:r/>
            <w:r>
              <w:rPr>
                <w:sz w:val="20"/>
              </w:rPr>
              <w:t>881.0</w:t>
            </w:r>
          </w:p>
        </w:tc>
        <w:tc>
          <w:tcPr>
            <w:tcW w:type="dxa" w:w="2160"/>
            <w:tcBorders>
              <w:top w:val="single" w:sz="4" w:color="CCCCCC"/>
              <w:left w:val="single" w:sz="4" w:color="CCCCCC"/>
              <w:bottom w:val="single" w:sz="4" w:color="CCCCCC"/>
              <w:right w:val="single" w:sz="4" w:color="CCCCCC"/>
            </w:tcBorders>
          </w:tcPr>
          <w:p>
            <w:pPr>
              <w:jc w:val="center"/>
            </w:pPr>
            <w:r/>
            <w:r>
              <w:rPr>
                <w:sz w:val="20"/>
              </w:rPr>
              <w:t>−16.1% below</w:t>
            </w:r>
          </w:p>
        </w:tc>
      </w:tr>
      <w:tr>
        <w:tc>
          <w:tcPr>
            <w:tcW w:type="dxa" w:w="1008"/>
            <w:tcBorders>
              <w:top w:val="single" w:sz="4" w:color="CCCCCC"/>
              <w:left w:val="single" w:sz="4" w:color="CCCCCC"/>
              <w:bottom w:val="single" w:sz="4" w:color="CCCCCC"/>
              <w:right w:val="single" w:sz="4" w:color="CCCCCC"/>
            </w:tcBorders>
          </w:tcPr>
          <w:p>
            <w:pPr>
              <w:jc w:val="left"/>
            </w:pPr>
            <w:r/>
            <w:r>
              <w:rPr>
                <w:sz w:val="20"/>
              </w:rPr>
              <w:t>4.00</w:t>
            </w:r>
          </w:p>
        </w:tc>
        <w:tc>
          <w:tcPr>
            <w:tcW w:type="dxa" w:w="1440"/>
            <w:tcBorders>
              <w:top w:val="single" w:sz="4" w:color="CCCCCC"/>
              <w:left w:val="single" w:sz="4" w:color="CCCCCC"/>
              <w:bottom w:val="single" w:sz="4" w:color="CCCCCC"/>
              <w:right w:val="single" w:sz="4" w:color="CCCCCC"/>
            </w:tcBorders>
          </w:tcPr>
          <w:p>
            <w:pPr>
              <w:jc w:val="center"/>
            </w:pPr>
            <w:r/>
            <w:r>
              <w:rPr>
                <w:sz w:val="20"/>
              </w:rPr>
              <w:t>798.7</w:t>
            </w:r>
          </w:p>
        </w:tc>
        <w:tc>
          <w:tcPr>
            <w:tcW w:type="dxa" w:w="1440"/>
            <w:tcBorders>
              <w:top w:val="single" w:sz="4" w:color="CCCCCC"/>
              <w:left w:val="single" w:sz="4" w:color="CCCCCC"/>
              <w:bottom w:val="single" w:sz="4" w:color="CCCCCC"/>
              <w:right w:val="single" w:sz="4" w:color="CCCCCC"/>
            </w:tcBorders>
          </w:tcPr>
          <w:p>
            <w:pPr>
              <w:jc w:val="center"/>
            </w:pPr>
            <w:r/>
            <w:r>
              <w:rPr>
                <w:sz w:val="20"/>
              </w:rPr>
              <w:t>792.8</w:t>
            </w:r>
          </w:p>
        </w:tc>
        <w:tc>
          <w:tcPr>
            <w:tcW w:type="dxa" w:w="1440"/>
            <w:tcBorders>
              <w:top w:val="single" w:sz="4" w:color="CCCCCC"/>
              <w:left w:val="single" w:sz="4" w:color="CCCCCC"/>
              <w:bottom w:val="single" w:sz="4" w:color="CCCCCC"/>
              <w:right w:val="single" w:sz="4" w:color="CCCCCC"/>
            </w:tcBorders>
          </w:tcPr>
          <w:p>
            <w:pPr>
              <w:jc w:val="center"/>
            </w:pPr>
            <w:r/>
            <w:r>
              <w:rPr>
                <w:sz w:val="20"/>
              </w:rPr>
              <w:t>720.9</w:t>
            </w:r>
          </w:p>
        </w:tc>
        <w:tc>
          <w:tcPr>
            <w:tcW w:type="dxa" w:w="1440"/>
            <w:tcBorders>
              <w:top w:val="single" w:sz="4" w:color="CCCCCC"/>
              <w:left w:val="single" w:sz="4" w:color="CCCCCC"/>
              <w:bottom w:val="single" w:sz="4" w:color="CCCCCC"/>
              <w:right w:val="single" w:sz="4" w:color="CCCCCC"/>
            </w:tcBorders>
          </w:tcPr>
          <w:p>
            <w:pPr>
              <w:jc w:val="center"/>
            </w:pPr>
            <w:r/>
            <w:r>
              <w:rPr>
                <w:sz w:val="20"/>
              </w:rPr>
              <w:t>770.8</w:t>
            </w:r>
          </w:p>
        </w:tc>
        <w:tc>
          <w:tcPr>
            <w:tcW w:type="dxa" w:w="2160"/>
            <w:tcBorders>
              <w:top w:val="single" w:sz="4" w:color="CCCCCC"/>
              <w:left w:val="single" w:sz="4" w:color="CCCCCC"/>
              <w:bottom w:val="single" w:sz="4" w:color="CCCCCC"/>
              <w:right w:val="single" w:sz="4" w:color="CCCCCC"/>
            </w:tcBorders>
          </w:tcPr>
          <w:p>
            <w:pPr>
              <w:jc w:val="center"/>
            </w:pPr>
            <w:r/>
            <w:r>
              <w:rPr>
                <w:sz w:val="20"/>
              </w:rPr>
              <w:t>−26.6% below</w:t>
            </w:r>
          </w:p>
        </w:tc>
      </w:tr>
      <w:tr>
        <w:tc>
          <w:tcPr>
            <w:tcW w:type="dxa" w:w="1008"/>
            <w:tcBorders>
              <w:top w:val="single" w:sz="4" w:color="CCCCCC"/>
              <w:left w:val="single" w:sz="4" w:color="CCCCCC"/>
              <w:bottom w:val="single" w:sz="4" w:color="CCCCCC"/>
              <w:right w:val="single" w:sz="4" w:color="CCCCCC"/>
            </w:tcBorders>
          </w:tcPr>
          <w:p>
            <w:pPr>
              <w:jc w:val="left"/>
            </w:pPr>
            <w:r/>
            <w:r>
              <w:rPr>
                <w:sz w:val="20"/>
              </w:rPr>
              <w:t>4.50</w:t>
            </w:r>
          </w:p>
        </w:tc>
        <w:tc>
          <w:tcPr>
            <w:tcW w:type="dxa" w:w="1440"/>
            <w:tcBorders>
              <w:top w:val="single" w:sz="4" w:color="CCCCCC"/>
              <w:left w:val="single" w:sz="4" w:color="CCCCCC"/>
              <w:bottom w:val="single" w:sz="4" w:color="CCCCCC"/>
              <w:right w:val="single" w:sz="4" w:color="CCCCCC"/>
            </w:tcBorders>
          </w:tcPr>
          <w:p>
            <w:pPr>
              <w:jc w:val="center"/>
            </w:pPr>
            <w:r/>
            <w:r>
              <w:rPr>
                <w:sz w:val="20"/>
              </w:rPr>
              <w:t>710.0</w:t>
            </w:r>
          </w:p>
        </w:tc>
        <w:tc>
          <w:tcPr>
            <w:tcW w:type="dxa" w:w="1440"/>
            <w:tcBorders>
              <w:top w:val="single" w:sz="4" w:color="CCCCCC"/>
              <w:left w:val="single" w:sz="4" w:color="CCCCCC"/>
              <w:bottom w:val="single" w:sz="4" w:color="CCCCCC"/>
              <w:right w:val="single" w:sz="4" w:color="CCCCCC"/>
            </w:tcBorders>
          </w:tcPr>
          <w:p>
            <w:pPr>
              <w:jc w:val="center"/>
            </w:pPr>
            <w:r/>
            <w:r>
              <w:rPr>
                <w:sz w:val="20"/>
              </w:rPr>
              <w:t>704.7</w:t>
            </w:r>
          </w:p>
        </w:tc>
        <w:tc>
          <w:tcPr>
            <w:tcW w:type="dxa" w:w="1440"/>
            <w:tcBorders>
              <w:top w:val="single" w:sz="4" w:color="CCCCCC"/>
              <w:left w:val="single" w:sz="4" w:color="CCCCCC"/>
              <w:bottom w:val="single" w:sz="4" w:color="CCCCCC"/>
              <w:right w:val="single" w:sz="4" w:color="CCCCCC"/>
            </w:tcBorders>
          </w:tcPr>
          <w:p>
            <w:pPr>
              <w:jc w:val="center"/>
            </w:pPr>
            <w:r/>
            <w:r>
              <w:rPr>
                <w:sz w:val="20"/>
              </w:rPr>
              <w:t>640.8</w:t>
            </w:r>
          </w:p>
        </w:tc>
        <w:tc>
          <w:tcPr>
            <w:tcW w:type="dxa" w:w="1440"/>
            <w:tcBorders>
              <w:top w:val="single" w:sz="4" w:color="CCCCCC"/>
              <w:left w:val="single" w:sz="4" w:color="CCCCCC"/>
              <w:bottom w:val="single" w:sz="4" w:color="CCCCCC"/>
              <w:right w:val="single" w:sz="4" w:color="CCCCCC"/>
            </w:tcBorders>
          </w:tcPr>
          <w:p>
            <w:pPr>
              <w:jc w:val="center"/>
            </w:pPr>
            <w:r/>
            <w:r>
              <w:rPr>
                <w:sz w:val="20"/>
              </w:rPr>
              <w:t>685.2</w:t>
            </w:r>
          </w:p>
        </w:tc>
        <w:tc>
          <w:tcPr>
            <w:tcW w:type="dxa" w:w="2160"/>
            <w:tcBorders>
              <w:top w:val="single" w:sz="4" w:color="CCCCCC"/>
              <w:left w:val="single" w:sz="4" w:color="CCCCCC"/>
              <w:bottom w:val="single" w:sz="4" w:color="CCCCCC"/>
              <w:right w:val="single" w:sz="4" w:color="CCCCCC"/>
            </w:tcBorders>
          </w:tcPr>
          <w:p>
            <w:pPr>
              <w:jc w:val="center"/>
            </w:pPr>
            <w:r/>
            <w:r>
              <w:rPr>
                <w:sz w:val="20"/>
              </w:rPr>
              <w:t>−34.7% below</w:t>
            </w:r>
          </w:p>
        </w:tc>
      </w:tr>
      <w:tr>
        <w:tc>
          <w:tcPr>
            <w:tcW w:type="dxa" w:w="1008"/>
            <w:tcBorders>
              <w:top w:val="single" w:sz="4" w:color="CCCCCC"/>
              <w:left w:val="single" w:sz="4" w:color="CCCCCC"/>
              <w:bottom w:val="single" w:sz="8" w:color="000000"/>
              <w:right w:val="single" w:sz="4" w:color="CCCCCC"/>
            </w:tcBorders>
          </w:tcPr>
          <w:p>
            <w:pPr>
              <w:jc w:val="left"/>
            </w:pPr>
            <w:r/>
            <w:r>
              <w:rPr>
                <w:sz w:val="20"/>
              </w:rPr>
              <w:t>5.00</w:t>
            </w:r>
          </w:p>
        </w:tc>
        <w:tc>
          <w:tcPr>
            <w:tcW w:type="dxa" w:w="1440"/>
            <w:tcBorders>
              <w:top w:val="single" w:sz="4" w:color="CCCCCC"/>
              <w:left w:val="single" w:sz="4" w:color="CCCCCC"/>
              <w:bottom w:val="single" w:sz="8" w:color="000000"/>
              <w:right w:val="single" w:sz="4" w:color="CCCCCC"/>
            </w:tcBorders>
          </w:tcPr>
          <w:p>
            <w:pPr>
              <w:jc w:val="center"/>
            </w:pPr>
            <w:r/>
            <w:r>
              <w:rPr>
                <w:sz w:val="20"/>
              </w:rPr>
              <w:t>639.0</w:t>
            </w:r>
          </w:p>
        </w:tc>
        <w:tc>
          <w:tcPr>
            <w:tcW w:type="dxa" w:w="1440"/>
            <w:tcBorders>
              <w:top w:val="single" w:sz="4" w:color="CCCCCC"/>
              <w:left w:val="single" w:sz="4" w:color="CCCCCC"/>
              <w:bottom w:val="single" w:sz="8" w:color="000000"/>
              <w:right w:val="single" w:sz="4" w:color="CCCCCC"/>
            </w:tcBorders>
          </w:tcPr>
          <w:p>
            <w:pPr>
              <w:jc w:val="center"/>
            </w:pPr>
            <w:r/>
            <w:r>
              <w:rPr>
                <w:sz w:val="20"/>
              </w:rPr>
              <w:t>634.3</w:t>
            </w:r>
          </w:p>
        </w:tc>
        <w:tc>
          <w:tcPr>
            <w:tcW w:type="dxa" w:w="1440"/>
            <w:tcBorders>
              <w:top w:val="single" w:sz="4" w:color="CCCCCC"/>
              <w:left w:val="single" w:sz="4" w:color="CCCCCC"/>
              <w:bottom w:val="single" w:sz="8" w:color="000000"/>
              <w:right w:val="single" w:sz="4" w:color="CCCCCC"/>
            </w:tcBorders>
          </w:tcPr>
          <w:p>
            <w:pPr>
              <w:jc w:val="center"/>
            </w:pPr>
            <w:r/>
            <w:r>
              <w:rPr>
                <w:sz w:val="20"/>
              </w:rPr>
              <w:t>576.7</w:t>
            </w:r>
          </w:p>
        </w:tc>
        <w:tc>
          <w:tcPr>
            <w:tcW w:type="dxa" w:w="1440"/>
            <w:tcBorders>
              <w:top w:val="single" w:sz="4" w:color="CCCCCC"/>
              <w:left w:val="single" w:sz="4" w:color="CCCCCC"/>
              <w:bottom w:val="single" w:sz="8" w:color="000000"/>
              <w:right w:val="single" w:sz="4" w:color="CCCCCC"/>
            </w:tcBorders>
          </w:tcPr>
          <w:p>
            <w:pPr>
              <w:jc w:val="center"/>
            </w:pPr>
            <w:r/>
            <w:r>
              <w:rPr>
                <w:sz w:val="20"/>
              </w:rPr>
              <w:t>616.7</w:t>
            </w:r>
          </w:p>
        </w:tc>
        <w:tc>
          <w:tcPr>
            <w:tcW w:type="dxa" w:w="2160"/>
            <w:tcBorders>
              <w:top w:val="single" w:sz="4" w:color="CCCCCC"/>
              <w:left w:val="single" w:sz="4" w:color="CCCCCC"/>
              <w:bottom w:val="single" w:sz="8" w:color="000000"/>
              <w:right w:val="single" w:sz="4" w:color="CCCCCC"/>
            </w:tcBorders>
          </w:tcPr>
          <w:p>
            <w:pPr>
              <w:jc w:val="center"/>
            </w:pPr>
            <w:r/>
            <w:r>
              <w:rPr>
                <w:sz w:val="20"/>
              </w:rPr>
              <w:t>−41.3% below</w:t>
            </w:r>
          </w:p>
        </w:tc>
      </w:tr>
    </w:tbl>
    <w:p>
      <w:r>
        <w:br w:type="page"/>
      </w:r>
    </w:p>
    <w:p>
      <w:pPr>
        <w:keepNext/>
        <w:spacing w:before="280" w:after="120"/>
      </w:pPr>
      <w:r>
        <w:rPr>
          <w:b/>
          <w:sz w:val="26"/>
        </w:rPr>
        <w:t>Supplementary Table S2</w:t>
      </w:r>
    </w:p>
    <w:p>
      <w:pPr>
        <w:spacing w:after="120"/>
        <w:jc w:val="both"/>
      </w:pPr>
      <w:r>
        <w:rPr>
          <w:sz w:val="22"/>
        </w:rPr>
        <w:t>Systematic inventory of study limitations together with recommended mitigations. This table supports the discussion of limitations in Section 4.3 of the main text.</w:t>
      </w:r>
    </w:p>
    <w:tbl>
      <w:tblPr>
        <w:tblW w:type="auto" w:w="0"/>
        <w:jc w:val="center"/>
        <w:tblLook w:firstColumn="1" w:firstRow="1" w:lastColumn="0" w:lastRow="0" w:noHBand="0" w:noVBand="1" w:val="04A0"/>
      </w:tblPr>
      <w:tblGrid>
        <w:gridCol w:w="2351"/>
        <w:gridCol w:w="2351"/>
        <w:gridCol w:w="2351"/>
        <w:gridCol w:w="2351"/>
      </w:tblGrid>
      <w:tr>
        <w:tc>
          <w:tcPr>
            <w:tcW w:type="dxa" w:w="576"/>
            <w:shd w:fill="D9E2F3" w:val="clear"/>
            <w:tcBorders>
              <w:top w:val="single" w:sz="8" w:color="000000"/>
              <w:left w:val="single" w:sz="4" w:color="999999"/>
              <w:bottom w:val="single" w:sz="8" w:color="000000"/>
              <w:right w:val="single" w:sz="4" w:color="999999"/>
            </w:tcBorders>
          </w:tcPr>
          <w:p>
            <w:pPr>
              <w:jc w:val="center"/>
            </w:pPr>
            <w:r/>
            <w:r>
              <w:rPr>
                <w:b/>
                <w:sz w:val="20"/>
              </w:rPr>
              <w:t>#</w:t>
            </w:r>
          </w:p>
        </w:tc>
        <w:tc>
          <w:tcPr>
            <w:tcW w:type="dxa" w:w="2592"/>
            <w:shd w:fill="D9E2F3" w:val="clear"/>
            <w:tcBorders>
              <w:top w:val="single" w:sz="8" w:color="000000"/>
              <w:left w:val="single" w:sz="4" w:color="999999"/>
              <w:bottom w:val="single" w:sz="8" w:color="000000"/>
              <w:right w:val="single" w:sz="4" w:color="999999"/>
            </w:tcBorders>
          </w:tcPr>
          <w:p>
            <w:pPr>
              <w:jc w:val="center"/>
            </w:pPr>
            <w:r/>
            <w:r>
              <w:rPr>
                <w:b/>
                <w:sz w:val="20"/>
              </w:rPr>
              <w:t>Limitation</w:t>
            </w:r>
          </w:p>
        </w:tc>
        <w:tc>
          <w:tcPr>
            <w:tcW w:type="dxa" w:w="2880"/>
            <w:shd w:fill="D9E2F3" w:val="clear"/>
            <w:tcBorders>
              <w:top w:val="single" w:sz="8" w:color="000000"/>
              <w:left w:val="single" w:sz="4" w:color="999999"/>
              <w:bottom w:val="single" w:sz="8" w:color="000000"/>
              <w:right w:val="single" w:sz="4" w:color="999999"/>
            </w:tcBorders>
          </w:tcPr>
          <w:p>
            <w:pPr>
              <w:jc w:val="center"/>
            </w:pPr>
            <w:r/>
            <w:r>
              <w:rPr>
                <w:b/>
                <w:sz w:val="20"/>
              </w:rPr>
              <w:t>Impact on study</w:t>
            </w:r>
          </w:p>
        </w:tc>
        <w:tc>
          <w:tcPr>
            <w:tcW w:type="dxa" w:w="3168"/>
            <w:shd w:fill="D9E2F3" w:val="clear"/>
            <w:tcBorders>
              <w:top w:val="single" w:sz="8" w:color="000000"/>
              <w:left w:val="single" w:sz="4" w:color="999999"/>
              <w:bottom w:val="single" w:sz="8" w:color="000000"/>
              <w:right w:val="single" w:sz="4" w:color="999999"/>
            </w:tcBorders>
          </w:tcPr>
          <w:p>
            <w:pPr>
              <w:jc w:val="center"/>
            </w:pPr>
            <w:r/>
            <w:r>
              <w:rPr>
                <w:b/>
                <w:sz w:val="20"/>
              </w:rPr>
              <w:t>Recommended mitigation</w:t>
            </w:r>
          </w:p>
        </w:tc>
      </w:tr>
      <w:tr>
        <w:tc>
          <w:tcPr>
            <w:tcW w:type="dxa" w:w="576"/>
            <w:tcBorders>
              <w:top w:val="single" w:sz="4" w:color="CCCCCC"/>
              <w:left w:val="single" w:sz="4" w:color="CCCCCC"/>
              <w:bottom w:val="single" w:sz="4" w:color="CCCCCC"/>
              <w:right w:val="single" w:sz="4" w:color="CCCCCC"/>
            </w:tcBorders>
          </w:tcPr>
          <w:p>
            <w:pPr>
              <w:jc w:val="left"/>
            </w:pPr>
            <w:r/>
            <w:r>
              <w:rPr>
                <w:sz w:val="20"/>
              </w:rPr>
              <w:t>1</w:t>
            </w:r>
          </w:p>
        </w:tc>
        <w:tc>
          <w:tcPr>
            <w:tcW w:type="dxa" w:w="2592"/>
            <w:tcBorders>
              <w:top w:val="single" w:sz="4" w:color="CCCCCC"/>
              <w:left w:val="single" w:sz="4" w:color="CCCCCC"/>
              <w:bottom w:val="single" w:sz="4" w:color="CCCCCC"/>
              <w:right w:val="single" w:sz="4" w:color="CCCCCC"/>
            </w:tcBorders>
          </w:tcPr>
          <w:p>
            <w:pPr>
              <w:jc w:val="center"/>
            </w:pPr>
            <w:r/>
            <w:r>
              <w:rPr>
                <w:sz w:val="20"/>
              </w:rPr>
              <w:t>Rated peak power (kWp) unknown</w:t>
            </w:r>
          </w:p>
        </w:tc>
        <w:tc>
          <w:tcPr>
            <w:tcW w:type="dxa" w:w="2880"/>
            <w:tcBorders>
              <w:top w:val="single" w:sz="4" w:color="CCCCCC"/>
              <w:left w:val="single" w:sz="4" w:color="CCCCCC"/>
              <w:bottom w:val="single" w:sz="4" w:color="CCCCCC"/>
              <w:right w:val="single" w:sz="4" w:color="CCCCCC"/>
            </w:tcBorders>
          </w:tcPr>
          <w:p>
            <w:pPr>
              <w:jc w:val="center"/>
            </w:pPr>
            <w:r/>
            <w:r>
              <w:rPr>
                <w:sz w:val="20"/>
              </w:rPr>
              <w:t>Precludes verified specific yield &amp; PR calculation per IEC 61724</w:t>
            </w:r>
          </w:p>
        </w:tc>
        <w:tc>
          <w:tcPr>
            <w:tcW w:type="dxa" w:w="3168"/>
            <w:tcBorders>
              <w:top w:val="single" w:sz="4" w:color="CCCCCC"/>
              <w:left w:val="single" w:sz="4" w:color="CCCCCC"/>
              <w:bottom w:val="single" w:sz="4" w:color="CCCCCC"/>
              <w:right w:val="single" w:sz="4" w:color="CCCCCC"/>
            </w:tcBorders>
          </w:tcPr>
          <w:p>
            <w:pPr>
              <w:jc w:val="center"/>
            </w:pPr>
            <w:r/>
            <w:r>
              <w:rPr>
                <w:sz w:val="20"/>
              </w:rPr>
              <w:t>Retrieve from ATR documentation; add to monitoring system</w:t>
            </w:r>
          </w:p>
        </w:tc>
      </w:tr>
      <w:tr>
        <w:tc>
          <w:tcPr>
            <w:tcW w:type="dxa" w:w="576"/>
            <w:tcBorders>
              <w:top w:val="single" w:sz="4" w:color="CCCCCC"/>
              <w:left w:val="single" w:sz="4" w:color="CCCCCC"/>
              <w:bottom w:val="single" w:sz="4" w:color="CCCCCC"/>
              <w:right w:val="single" w:sz="4" w:color="CCCCCC"/>
            </w:tcBorders>
          </w:tcPr>
          <w:p>
            <w:pPr>
              <w:jc w:val="left"/>
            </w:pPr>
            <w:r/>
            <w:r>
              <w:rPr>
                <w:sz w:val="20"/>
              </w:rPr>
              <w:t>2</w:t>
            </w:r>
          </w:p>
        </w:tc>
        <w:tc>
          <w:tcPr>
            <w:tcW w:type="dxa" w:w="2592"/>
            <w:tcBorders>
              <w:top w:val="single" w:sz="4" w:color="CCCCCC"/>
              <w:left w:val="single" w:sz="4" w:color="CCCCCC"/>
              <w:bottom w:val="single" w:sz="4" w:color="CCCCCC"/>
              <w:right w:val="single" w:sz="4" w:color="CCCCCC"/>
            </w:tcBorders>
          </w:tcPr>
          <w:p>
            <w:pPr>
              <w:jc w:val="center"/>
            </w:pPr>
            <w:r/>
            <w:r>
              <w:rPr>
                <w:sz w:val="20"/>
              </w:rPr>
              <w:t>No on-site irradiance reference</w:t>
            </w:r>
          </w:p>
        </w:tc>
        <w:tc>
          <w:tcPr>
            <w:tcW w:type="dxa" w:w="2880"/>
            <w:tcBorders>
              <w:top w:val="single" w:sz="4" w:color="CCCCCC"/>
              <w:left w:val="single" w:sz="4" w:color="CCCCCC"/>
              <w:bottom w:val="single" w:sz="4" w:color="CCCCCC"/>
              <w:right w:val="single" w:sz="4" w:color="CCCCCC"/>
            </w:tcBorders>
          </w:tcPr>
          <w:p>
            <w:pPr>
              <w:jc w:val="center"/>
            </w:pPr>
            <w:r/>
            <w:r>
              <w:rPr>
                <w:sz w:val="20"/>
              </w:rPr>
              <w:t>Cannot distinguish irradiance variability from inverter degradation</w:t>
            </w:r>
          </w:p>
        </w:tc>
        <w:tc>
          <w:tcPr>
            <w:tcW w:type="dxa" w:w="3168"/>
            <w:tcBorders>
              <w:top w:val="single" w:sz="4" w:color="CCCCCC"/>
              <w:left w:val="single" w:sz="4" w:color="CCCCCC"/>
              <w:bottom w:val="single" w:sz="4" w:color="CCCCCC"/>
              <w:right w:val="single" w:sz="4" w:color="CCCCCC"/>
            </w:tcBorders>
          </w:tcPr>
          <w:p>
            <w:pPr>
              <w:jc w:val="center"/>
            </w:pPr>
            <w:r/>
            <w:r>
              <w:rPr>
                <w:sz w:val="20"/>
              </w:rPr>
              <w:t>Install a calibrated pyranometer (Class C or better)</w:t>
            </w:r>
          </w:p>
        </w:tc>
      </w:tr>
      <w:tr>
        <w:tc>
          <w:tcPr>
            <w:tcW w:type="dxa" w:w="576"/>
            <w:tcBorders>
              <w:top w:val="single" w:sz="4" w:color="CCCCCC"/>
              <w:left w:val="single" w:sz="4" w:color="CCCCCC"/>
              <w:bottom w:val="single" w:sz="4" w:color="CCCCCC"/>
              <w:right w:val="single" w:sz="4" w:color="CCCCCC"/>
            </w:tcBorders>
          </w:tcPr>
          <w:p>
            <w:pPr>
              <w:jc w:val="left"/>
            </w:pPr>
            <w:r/>
            <w:r>
              <w:rPr>
                <w:sz w:val="20"/>
              </w:rPr>
              <w:t>3</w:t>
            </w:r>
          </w:p>
        </w:tc>
        <w:tc>
          <w:tcPr>
            <w:tcW w:type="dxa" w:w="2592"/>
            <w:tcBorders>
              <w:top w:val="single" w:sz="4" w:color="CCCCCC"/>
              <w:left w:val="single" w:sz="4" w:color="CCCCCC"/>
              <w:bottom w:val="single" w:sz="4" w:color="CCCCCC"/>
              <w:right w:val="single" w:sz="4" w:color="CCCCCC"/>
            </w:tcBorders>
          </w:tcPr>
          <w:p>
            <w:pPr>
              <w:jc w:val="center"/>
            </w:pPr>
            <w:r/>
            <w:r>
              <w:rPr>
                <w:sz w:val="20"/>
              </w:rPr>
              <w:t>Household load not sub-metered</w:t>
            </w:r>
          </w:p>
        </w:tc>
        <w:tc>
          <w:tcPr>
            <w:tcW w:type="dxa" w:w="2880"/>
            <w:tcBorders>
              <w:top w:val="single" w:sz="4" w:color="CCCCCC"/>
              <w:left w:val="single" w:sz="4" w:color="CCCCCC"/>
              <w:bottom w:val="single" w:sz="4" w:color="CCCCCC"/>
              <w:right w:val="single" w:sz="4" w:color="CCCCCC"/>
            </w:tcBorders>
          </w:tcPr>
          <w:p>
            <w:pPr>
              <w:jc w:val="center"/>
            </w:pPr>
            <w:r/>
            <w:r>
              <w:rPr>
                <w:sz w:val="20"/>
              </w:rPr>
              <w:t>Consumption profile unknown; cannot assess time-of-use optimisation</w:t>
            </w:r>
          </w:p>
        </w:tc>
        <w:tc>
          <w:tcPr>
            <w:tcW w:type="dxa" w:w="3168"/>
            <w:tcBorders>
              <w:top w:val="single" w:sz="4" w:color="CCCCCC"/>
              <w:left w:val="single" w:sz="4" w:color="CCCCCC"/>
              <w:bottom w:val="single" w:sz="4" w:color="CCCCCC"/>
              <w:right w:val="single" w:sz="4" w:color="CCCCCC"/>
            </w:tcBorders>
          </w:tcPr>
          <w:p>
            <w:pPr>
              <w:jc w:val="center"/>
            </w:pPr>
            <w:r/>
            <w:r>
              <w:rPr>
                <w:sz w:val="20"/>
              </w:rPr>
              <w:t>Install sub-metering on major load categories</w:t>
            </w:r>
          </w:p>
        </w:tc>
      </w:tr>
      <w:tr>
        <w:tc>
          <w:tcPr>
            <w:tcW w:type="dxa" w:w="576"/>
            <w:tcBorders>
              <w:top w:val="single" w:sz="4" w:color="CCCCCC"/>
              <w:left w:val="single" w:sz="4" w:color="CCCCCC"/>
              <w:bottom w:val="single" w:sz="4" w:color="CCCCCC"/>
              <w:right w:val="single" w:sz="4" w:color="CCCCCC"/>
            </w:tcBorders>
          </w:tcPr>
          <w:p>
            <w:pPr>
              <w:jc w:val="left"/>
            </w:pPr>
            <w:r/>
            <w:r>
              <w:rPr>
                <w:sz w:val="20"/>
              </w:rPr>
              <w:t>4</w:t>
            </w:r>
          </w:p>
        </w:tc>
        <w:tc>
          <w:tcPr>
            <w:tcW w:type="dxa" w:w="2592"/>
            <w:tcBorders>
              <w:top w:val="single" w:sz="4" w:color="CCCCCC"/>
              <w:left w:val="single" w:sz="4" w:color="CCCCCC"/>
              <w:bottom w:val="single" w:sz="4" w:color="CCCCCC"/>
              <w:right w:val="single" w:sz="4" w:color="CCCCCC"/>
            </w:tcBorders>
          </w:tcPr>
          <w:p>
            <w:pPr>
              <w:jc w:val="center"/>
            </w:pPr>
            <w:r/>
            <w:r>
              <w:rPr>
                <w:sz w:val="20"/>
              </w:rPr>
              <w:t>Data source: mobile app screenshots</w:t>
            </w:r>
          </w:p>
        </w:tc>
        <w:tc>
          <w:tcPr>
            <w:tcW w:type="dxa" w:w="2880"/>
            <w:tcBorders>
              <w:top w:val="single" w:sz="4" w:color="CCCCCC"/>
              <w:left w:val="single" w:sz="4" w:color="CCCCCC"/>
              <w:bottom w:val="single" w:sz="4" w:color="CCCCCC"/>
              <w:right w:val="single" w:sz="4" w:color="CCCCCC"/>
            </w:tcBorders>
          </w:tcPr>
          <w:p>
            <w:pPr>
              <w:jc w:val="center"/>
            </w:pPr>
            <w:r/>
            <w:r>
              <w:rPr>
                <w:sz w:val="20"/>
              </w:rPr>
              <w:t>Manual extraction risk; no automated API export</w:t>
            </w:r>
          </w:p>
        </w:tc>
        <w:tc>
          <w:tcPr>
            <w:tcW w:type="dxa" w:w="3168"/>
            <w:tcBorders>
              <w:top w:val="single" w:sz="4" w:color="CCCCCC"/>
              <w:left w:val="single" w:sz="4" w:color="CCCCCC"/>
              <w:bottom w:val="single" w:sz="4" w:color="CCCCCC"/>
              <w:right w:val="single" w:sz="4" w:color="CCCCCC"/>
            </w:tcBorders>
          </w:tcPr>
          <w:p>
            <w:pPr>
              <w:jc w:val="center"/>
            </w:pPr>
            <w:r/>
            <w:r>
              <w:rPr>
                <w:sz w:val="20"/>
              </w:rPr>
              <w:t>Configure ShineServer API automated export to CSV/JSON</w:t>
            </w:r>
          </w:p>
        </w:tc>
      </w:tr>
      <w:tr>
        <w:tc>
          <w:tcPr>
            <w:tcW w:type="dxa" w:w="576"/>
            <w:tcBorders>
              <w:top w:val="single" w:sz="4" w:color="CCCCCC"/>
              <w:left w:val="single" w:sz="4" w:color="CCCCCC"/>
              <w:bottom w:val="single" w:sz="4" w:color="CCCCCC"/>
              <w:right w:val="single" w:sz="4" w:color="CCCCCC"/>
            </w:tcBorders>
          </w:tcPr>
          <w:p>
            <w:pPr>
              <w:jc w:val="left"/>
            </w:pPr>
            <w:r/>
            <w:r>
              <w:rPr>
                <w:sz w:val="20"/>
              </w:rPr>
              <w:t>5</w:t>
            </w:r>
          </w:p>
        </w:tc>
        <w:tc>
          <w:tcPr>
            <w:tcW w:type="dxa" w:w="2592"/>
            <w:tcBorders>
              <w:top w:val="single" w:sz="4" w:color="CCCCCC"/>
              <w:left w:val="single" w:sz="4" w:color="CCCCCC"/>
              <w:bottom w:val="single" w:sz="4" w:color="CCCCCC"/>
              <w:right w:val="single" w:sz="4" w:color="CCCCCC"/>
            </w:tcBorders>
          </w:tcPr>
          <w:p>
            <w:pPr>
              <w:jc w:val="center"/>
            </w:pPr>
            <w:r/>
            <w:r>
              <w:rPr>
                <w:sz w:val="20"/>
              </w:rPr>
              <w:t>Monitoring period: 37 months</w:t>
            </w:r>
          </w:p>
        </w:tc>
        <w:tc>
          <w:tcPr>
            <w:tcW w:type="dxa" w:w="2880"/>
            <w:tcBorders>
              <w:top w:val="single" w:sz="4" w:color="CCCCCC"/>
              <w:left w:val="single" w:sz="4" w:color="CCCCCC"/>
              <w:bottom w:val="single" w:sz="4" w:color="CCCCCC"/>
              <w:right w:val="single" w:sz="4" w:color="CCCCCC"/>
            </w:tcBorders>
          </w:tcPr>
          <w:p>
            <w:pPr>
              <w:jc w:val="center"/>
            </w:pPr>
            <w:r/>
            <w:r>
              <w:rPr>
                <w:sz w:val="20"/>
              </w:rPr>
              <w:t>Below recommended 5–10 yr for degradation trend analysis</w:t>
            </w:r>
          </w:p>
        </w:tc>
        <w:tc>
          <w:tcPr>
            <w:tcW w:type="dxa" w:w="3168"/>
            <w:tcBorders>
              <w:top w:val="single" w:sz="4" w:color="CCCCCC"/>
              <w:left w:val="single" w:sz="4" w:color="CCCCCC"/>
              <w:bottom w:val="single" w:sz="4" w:color="CCCCCC"/>
              <w:right w:val="single" w:sz="4" w:color="CCCCCC"/>
            </w:tcBorders>
          </w:tcPr>
          <w:p>
            <w:pPr>
              <w:jc w:val="center"/>
            </w:pPr>
            <w:r/>
            <w:r>
              <w:rPr>
                <w:sz w:val="20"/>
              </w:rPr>
              <w:t>Continue data collection; re-evaluate at Year 5 (2027)</w:t>
            </w:r>
          </w:p>
        </w:tc>
      </w:tr>
      <w:tr>
        <w:tc>
          <w:tcPr>
            <w:tcW w:type="dxa" w:w="576"/>
            <w:tcBorders>
              <w:top w:val="single" w:sz="4" w:color="CCCCCC"/>
              <w:left w:val="single" w:sz="4" w:color="CCCCCC"/>
              <w:bottom w:val="single" w:sz="8" w:color="000000"/>
              <w:right w:val="single" w:sz="4" w:color="CCCCCC"/>
            </w:tcBorders>
          </w:tcPr>
          <w:p>
            <w:pPr>
              <w:jc w:val="left"/>
            </w:pPr>
            <w:r/>
            <w:r>
              <w:rPr>
                <w:sz w:val="20"/>
              </w:rPr>
              <w:t>6</w:t>
            </w:r>
          </w:p>
        </w:tc>
        <w:tc>
          <w:tcPr>
            <w:tcW w:type="dxa" w:w="2592"/>
            <w:tcBorders>
              <w:top w:val="single" w:sz="4" w:color="CCCCCC"/>
              <w:left w:val="single" w:sz="4" w:color="CCCCCC"/>
              <w:bottom w:val="single" w:sz="8" w:color="000000"/>
              <w:right w:val="single" w:sz="4" w:color="CCCCCC"/>
            </w:tcBorders>
          </w:tcPr>
          <w:p>
            <w:pPr>
              <w:jc w:val="center"/>
            </w:pPr>
            <w:r/>
            <w:r>
              <w:rPr>
                <w:sz w:val="20"/>
              </w:rPr>
              <w:t>Single installation (n=1)</w:t>
            </w:r>
          </w:p>
        </w:tc>
        <w:tc>
          <w:tcPr>
            <w:tcW w:type="dxa" w:w="2880"/>
            <w:tcBorders>
              <w:top w:val="single" w:sz="4" w:color="CCCCCC"/>
              <w:left w:val="single" w:sz="4" w:color="CCCCCC"/>
              <w:bottom w:val="single" w:sz="8" w:color="000000"/>
              <w:right w:val="single" w:sz="4" w:color="CCCCCC"/>
            </w:tcBorders>
          </w:tcPr>
          <w:p>
            <w:pPr>
              <w:jc w:val="center"/>
            </w:pPr>
            <w:r/>
            <w:r>
              <w:rPr>
                <w:sz w:val="20"/>
              </w:rPr>
              <w:t>Results may not generalise to broader population</w:t>
            </w:r>
          </w:p>
        </w:tc>
        <w:tc>
          <w:tcPr>
            <w:tcW w:type="dxa" w:w="3168"/>
            <w:tcBorders>
              <w:top w:val="single" w:sz="4" w:color="CCCCCC"/>
              <w:left w:val="single" w:sz="4" w:color="CCCCCC"/>
              <w:bottom w:val="single" w:sz="8" w:color="000000"/>
              <w:right w:val="single" w:sz="4" w:color="CCCCCC"/>
            </w:tcBorders>
          </w:tcPr>
          <w:p>
            <w:pPr>
              <w:jc w:val="center"/>
            </w:pPr>
            <w:r/>
            <w:r>
              <w:rPr>
                <w:sz w:val="20"/>
              </w:rPr>
              <w:t>Replicate study with ≥20 similar installations in the same region</w:t>
            </w:r>
          </w:p>
        </w:tc>
      </w:tr>
    </w:tbl>
    <w:p>
      <w:r>
        <w:br w:type="page"/>
      </w:r>
    </w:p>
    <w:p>
      <w:pPr>
        <w:keepNext/>
        <w:spacing w:before="280" w:after="120"/>
      </w:pPr>
      <w:r>
        <w:rPr>
          <w:b/>
          <w:sz w:val="26"/>
        </w:rPr>
        <w:t>Supplementary Table S3</w:t>
      </w:r>
    </w:p>
    <w:p>
      <w:pPr>
        <w:spacing w:after="120"/>
        <w:jc w:val="both"/>
      </w:pPr>
      <w:r>
        <w:rPr>
          <w:sz w:val="22"/>
        </w:rPr>
        <w:t>Descriptive statistics computed from the 12 monthly production values for each year. Q1 and Q3 refer to the first and third quartiles of the monthly distribution, not to meteorological quarters. IQR = interquartile range.</w:t>
      </w:r>
    </w:p>
    <w:tbl>
      <w:tblPr>
        <w:tblW w:type="auto" w:w="0"/>
        <w:jc w:val="center"/>
        <w:tblLook w:firstColumn="1" w:firstRow="1" w:lastColumn="0" w:lastRow="0" w:noHBand="0" w:noVBand="1" w:val="04A0"/>
      </w:tblPr>
      <w:tblGrid>
        <w:gridCol w:w="2351"/>
        <w:gridCol w:w="2351"/>
        <w:gridCol w:w="2351"/>
        <w:gridCol w:w="2351"/>
      </w:tblGrid>
      <w:tr>
        <w:tc>
          <w:tcPr>
            <w:tcW w:type="dxa" w:w="2880"/>
            <w:shd w:fill="D9E2F3" w:val="clear"/>
            <w:tcBorders>
              <w:top w:val="single" w:sz="8" w:color="000000"/>
              <w:left w:val="single" w:sz="4" w:color="999999"/>
              <w:bottom w:val="single" w:sz="8" w:color="000000"/>
              <w:right w:val="single" w:sz="4" w:color="999999"/>
            </w:tcBorders>
          </w:tcPr>
          <w:p>
            <w:pPr>
              <w:jc w:val="center"/>
            </w:pPr>
            <w:r/>
            <w:r>
              <w:rPr>
                <w:b/>
                <w:sz w:val="20"/>
              </w:rPr>
              <w:t>Statistic</w:t>
            </w:r>
          </w:p>
        </w:tc>
        <w:tc>
          <w:tcPr>
            <w:tcW w:type="dxa" w:w="1872"/>
            <w:shd w:fill="D9E2F3" w:val="clear"/>
            <w:tcBorders>
              <w:top w:val="single" w:sz="8" w:color="000000"/>
              <w:left w:val="single" w:sz="4" w:color="999999"/>
              <w:bottom w:val="single" w:sz="8" w:color="000000"/>
              <w:right w:val="single" w:sz="4" w:color="999999"/>
            </w:tcBorders>
          </w:tcPr>
          <w:p>
            <w:pPr>
              <w:jc w:val="center"/>
            </w:pPr>
            <w:r/>
            <w:r>
              <w:rPr>
                <w:b/>
                <w:sz w:val="20"/>
              </w:rPr>
              <w:t>2023</w:t>
            </w:r>
          </w:p>
        </w:tc>
        <w:tc>
          <w:tcPr>
            <w:tcW w:type="dxa" w:w="1872"/>
            <w:shd w:fill="D9E2F3" w:val="clear"/>
            <w:tcBorders>
              <w:top w:val="single" w:sz="8" w:color="000000"/>
              <w:left w:val="single" w:sz="4" w:color="999999"/>
              <w:bottom w:val="single" w:sz="8" w:color="000000"/>
              <w:right w:val="single" w:sz="4" w:color="999999"/>
            </w:tcBorders>
          </w:tcPr>
          <w:p>
            <w:pPr>
              <w:jc w:val="center"/>
            </w:pPr>
            <w:r/>
            <w:r>
              <w:rPr>
                <w:b/>
                <w:sz w:val="20"/>
              </w:rPr>
              <w:t>2024</w:t>
            </w:r>
          </w:p>
        </w:tc>
        <w:tc>
          <w:tcPr>
            <w:tcW w:type="dxa" w:w="1872"/>
            <w:shd w:fill="D9E2F3" w:val="clear"/>
            <w:tcBorders>
              <w:top w:val="single" w:sz="8" w:color="000000"/>
              <w:left w:val="single" w:sz="4" w:color="999999"/>
              <w:bottom w:val="single" w:sz="8" w:color="000000"/>
              <w:right w:val="single" w:sz="4" w:color="999999"/>
            </w:tcBorders>
          </w:tcPr>
          <w:p>
            <w:pPr>
              <w:jc w:val="center"/>
            </w:pPr>
            <w:r/>
            <w:r>
              <w:rPr>
                <w:b/>
                <w:sz w:val="20"/>
              </w:rPr>
              <w:t>2025</w:t>
            </w:r>
          </w:p>
        </w:tc>
      </w:tr>
      <w:tr>
        <w:tc>
          <w:tcPr>
            <w:tcW w:type="dxa" w:w="2880"/>
            <w:tcBorders>
              <w:top w:val="single" w:sz="4" w:color="CCCCCC"/>
              <w:left w:val="single" w:sz="4" w:color="CCCCCC"/>
              <w:bottom w:val="single" w:sz="4" w:color="CCCCCC"/>
              <w:right w:val="single" w:sz="4" w:color="CCCCCC"/>
            </w:tcBorders>
          </w:tcPr>
          <w:p>
            <w:pPr>
              <w:jc w:val="left"/>
            </w:pPr>
            <w:r/>
            <w:r>
              <w:rPr>
                <w:sz w:val="20"/>
              </w:rPr>
              <w:t>N (months)</w:t>
            </w:r>
          </w:p>
        </w:tc>
        <w:tc>
          <w:tcPr>
            <w:tcW w:type="dxa" w:w="1872"/>
            <w:tcBorders>
              <w:top w:val="single" w:sz="4" w:color="CCCCCC"/>
              <w:left w:val="single" w:sz="4" w:color="CCCCCC"/>
              <w:bottom w:val="single" w:sz="4" w:color="CCCCCC"/>
              <w:right w:val="single" w:sz="4" w:color="CCCCCC"/>
            </w:tcBorders>
          </w:tcPr>
          <w:p>
            <w:pPr>
              <w:jc w:val="center"/>
            </w:pPr>
            <w:r/>
            <w:r>
              <w:rPr>
                <w:sz w:val="20"/>
              </w:rPr>
              <w:t>12</w:t>
            </w:r>
          </w:p>
        </w:tc>
        <w:tc>
          <w:tcPr>
            <w:tcW w:type="dxa" w:w="1872"/>
            <w:tcBorders>
              <w:top w:val="single" w:sz="4" w:color="CCCCCC"/>
              <w:left w:val="single" w:sz="4" w:color="CCCCCC"/>
              <w:bottom w:val="single" w:sz="4" w:color="CCCCCC"/>
              <w:right w:val="single" w:sz="4" w:color="CCCCCC"/>
            </w:tcBorders>
          </w:tcPr>
          <w:p>
            <w:pPr>
              <w:jc w:val="center"/>
            </w:pPr>
            <w:r/>
            <w:r>
              <w:rPr>
                <w:sz w:val="20"/>
              </w:rPr>
              <w:t>12</w:t>
            </w:r>
          </w:p>
        </w:tc>
        <w:tc>
          <w:tcPr>
            <w:tcW w:type="dxa" w:w="1872"/>
            <w:tcBorders>
              <w:top w:val="single" w:sz="4" w:color="CCCCCC"/>
              <w:left w:val="single" w:sz="4" w:color="CCCCCC"/>
              <w:bottom w:val="single" w:sz="4" w:color="CCCCCC"/>
              <w:right w:val="single" w:sz="4" w:color="CCCCCC"/>
            </w:tcBorders>
          </w:tcPr>
          <w:p>
            <w:pPr>
              <w:jc w:val="center"/>
            </w:pPr>
            <w:r/>
            <w:r>
              <w:rPr>
                <w:sz w:val="20"/>
              </w:rPr>
              <w:t>12</w:t>
            </w:r>
          </w:p>
        </w:tc>
      </w:tr>
      <w:tr>
        <w:tc>
          <w:tcPr>
            <w:tcW w:type="dxa" w:w="2880"/>
            <w:tcBorders>
              <w:top w:val="single" w:sz="4" w:color="CCCCCC"/>
              <w:left w:val="single" w:sz="4" w:color="CCCCCC"/>
              <w:bottom w:val="single" w:sz="4" w:color="CCCCCC"/>
              <w:right w:val="single" w:sz="4" w:color="CCCCCC"/>
            </w:tcBorders>
          </w:tcPr>
          <w:p>
            <w:pPr>
              <w:jc w:val="left"/>
            </w:pPr>
            <w:r/>
            <w:r>
              <w:rPr>
                <w:sz w:val="20"/>
              </w:rPr>
              <w:t>Mean (kWh/month)</w:t>
            </w:r>
          </w:p>
        </w:tc>
        <w:tc>
          <w:tcPr>
            <w:tcW w:type="dxa" w:w="1872"/>
            <w:tcBorders>
              <w:top w:val="single" w:sz="4" w:color="CCCCCC"/>
              <w:left w:val="single" w:sz="4" w:color="CCCCCC"/>
              <w:bottom w:val="single" w:sz="4" w:color="CCCCCC"/>
              <w:right w:val="single" w:sz="4" w:color="CCCCCC"/>
            </w:tcBorders>
          </w:tcPr>
          <w:p>
            <w:pPr>
              <w:jc w:val="center"/>
            </w:pPr>
            <w:r/>
            <w:r>
              <w:rPr>
                <w:sz w:val="20"/>
              </w:rPr>
              <w:t>266.3</w:t>
            </w:r>
          </w:p>
        </w:tc>
        <w:tc>
          <w:tcPr>
            <w:tcW w:type="dxa" w:w="1872"/>
            <w:tcBorders>
              <w:top w:val="single" w:sz="4" w:color="CCCCCC"/>
              <w:left w:val="single" w:sz="4" w:color="CCCCCC"/>
              <w:bottom w:val="single" w:sz="4" w:color="CCCCCC"/>
              <w:right w:val="single" w:sz="4" w:color="CCCCCC"/>
            </w:tcBorders>
          </w:tcPr>
          <w:p>
            <w:pPr>
              <w:jc w:val="center"/>
            </w:pPr>
            <w:r/>
            <w:r>
              <w:rPr>
                <w:sz w:val="20"/>
              </w:rPr>
              <w:t>264.3</w:t>
            </w:r>
          </w:p>
        </w:tc>
        <w:tc>
          <w:tcPr>
            <w:tcW w:type="dxa" w:w="1872"/>
            <w:tcBorders>
              <w:top w:val="single" w:sz="4" w:color="CCCCCC"/>
              <w:left w:val="single" w:sz="4" w:color="CCCCCC"/>
              <w:bottom w:val="single" w:sz="4" w:color="CCCCCC"/>
              <w:right w:val="single" w:sz="4" w:color="CCCCCC"/>
            </w:tcBorders>
          </w:tcPr>
          <w:p>
            <w:pPr>
              <w:jc w:val="center"/>
            </w:pPr>
            <w:r/>
            <w:r>
              <w:rPr>
                <w:sz w:val="20"/>
              </w:rPr>
              <w:t>240.3</w:t>
            </w:r>
          </w:p>
        </w:tc>
      </w:tr>
      <w:tr>
        <w:tc>
          <w:tcPr>
            <w:tcW w:type="dxa" w:w="2880"/>
            <w:tcBorders>
              <w:top w:val="single" w:sz="4" w:color="CCCCCC"/>
              <w:left w:val="single" w:sz="4" w:color="CCCCCC"/>
              <w:bottom w:val="single" w:sz="4" w:color="CCCCCC"/>
              <w:right w:val="single" w:sz="4" w:color="CCCCCC"/>
            </w:tcBorders>
          </w:tcPr>
          <w:p>
            <w:pPr>
              <w:jc w:val="left"/>
            </w:pPr>
            <w:r/>
            <w:r>
              <w:rPr>
                <w:sz w:val="20"/>
              </w:rPr>
              <w:t>Median (kWh/month)</w:t>
            </w:r>
          </w:p>
        </w:tc>
        <w:tc>
          <w:tcPr>
            <w:tcW w:type="dxa" w:w="1872"/>
            <w:tcBorders>
              <w:top w:val="single" w:sz="4" w:color="CCCCCC"/>
              <w:left w:val="single" w:sz="4" w:color="CCCCCC"/>
              <w:bottom w:val="single" w:sz="4" w:color="CCCCCC"/>
              <w:right w:val="single" w:sz="4" w:color="CCCCCC"/>
            </w:tcBorders>
          </w:tcPr>
          <w:p>
            <w:pPr>
              <w:jc w:val="center"/>
            </w:pPr>
            <w:r/>
            <w:r>
              <w:rPr>
                <w:sz w:val="20"/>
              </w:rPr>
              <w:t>272.5</w:t>
            </w:r>
          </w:p>
        </w:tc>
        <w:tc>
          <w:tcPr>
            <w:tcW w:type="dxa" w:w="1872"/>
            <w:tcBorders>
              <w:top w:val="single" w:sz="4" w:color="CCCCCC"/>
              <w:left w:val="single" w:sz="4" w:color="CCCCCC"/>
              <w:bottom w:val="single" w:sz="4" w:color="CCCCCC"/>
              <w:right w:val="single" w:sz="4" w:color="CCCCCC"/>
            </w:tcBorders>
          </w:tcPr>
          <w:p>
            <w:pPr>
              <w:jc w:val="center"/>
            </w:pPr>
            <w:r/>
            <w:r>
              <w:rPr>
                <w:sz w:val="20"/>
              </w:rPr>
              <w:t>268.6</w:t>
            </w:r>
          </w:p>
        </w:tc>
        <w:tc>
          <w:tcPr>
            <w:tcW w:type="dxa" w:w="1872"/>
            <w:tcBorders>
              <w:top w:val="single" w:sz="4" w:color="CCCCCC"/>
              <w:left w:val="single" w:sz="4" w:color="CCCCCC"/>
              <w:bottom w:val="single" w:sz="4" w:color="CCCCCC"/>
              <w:right w:val="single" w:sz="4" w:color="CCCCCC"/>
            </w:tcBorders>
          </w:tcPr>
          <w:p>
            <w:pPr>
              <w:jc w:val="center"/>
            </w:pPr>
            <w:r/>
            <w:r>
              <w:rPr>
                <w:sz w:val="20"/>
              </w:rPr>
              <w:t>246.7</w:t>
            </w:r>
          </w:p>
        </w:tc>
      </w:tr>
      <w:tr>
        <w:tc>
          <w:tcPr>
            <w:tcW w:type="dxa" w:w="2880"/>
            <w:tcBorders>
              <w:top w:val="single" w:sz="4" w:color="CCCCCC"/>
              <w:left w:val="single" w:sz="4" w:color="CCCCCC"/>
              <w:bottom w:val="single" w:sz="4" w:color="CCCCCC"/>
              <w:right w:val="single" w:sz="4" w:color="CCCCCC"/>
            </w:tcBorders>
          </w:tcPr>
          <w:p>
            <w:pPr>
              <w:jc w:val="left"/>
            </w:pPr>
            <w:r/>
            <w:r>
              <w:rPr>
                <w:sz w:val="20"/>
              </w:rPr>
              <w:t>Std. Dev. (kWh)</w:t>
            </w:r>
          </w:p>
        </w:tc>
        <w:tc>
          <w:tcPr>
            <w:tcW w:type="dxa" w:w="1872"/>
            <w:tcBorders>
              <w:top w:val="single" w:sz="4" w:color="CCCCCC"/>
              <w:left w:val="single" w:sz="4" w:color="CCCCCC"/>
              <w:bottom w:val="single" w:sz="4" w:color="CCCCCC"/>
              <w:right w:val="single" w:sz="4" w:color="CCCCCC"/>
            </w:tcBorders>
          </w:tcPr>
          <w:p>
            <w:pPr>
              <w:jc w:val="center"/>
            </w:pPr>
            <w:r/>
            <w:r>
              <w:rPr>
                <w:sz w:val="20"/>
              </w:rPr>
              <w:t>126.5</w:t>
            </w:r>
          </w:p>
        </w:tc>
        <w:tc>
          <w:tcPr>
            <w:tcW w:type="dxa" w:w="1872"/>
            <w:tcBorders>
              <w:top w:val="single" w:sz="4" w:color="CCCCCC"/>
              <w:left w:val="single" w:sz="4" w:color="CCCCCC"/>
              <w:bottom w:val="single" w:sz="4" w:color="CCCCCC"/>
              <w:right w:val="single" w:sz="4" w:color="CCCCCC"/>
            </w:tcBorders>
          </w:tcPr>
          <w:p>
            <w:pPr>
              <w:jc w:val="center"/>
            </w:pPr>
            <w:r/>
            <w:r>
              <w:rPr>
                <w:sz w:val="20"/>
              </w:rPr>
              <w:t>117.5</w:t>
            </w:r>
          </w:p>
        </w:tc>
        <w:tc>
          <w:tcPr>
            <w:tcW w:type="dxa" w:w="1872"/>
            <w:tcBorders>
              <w:top w:val="single" w:sz="4" w:color="CCCCCC"/>
              <w:left w:val="single" w:sz="4" w:color="CCCCCC"/>
              <w:bottom w:val="single" w:sz="4" w:color="CCCCCC"/>
              <w:right w:val="single" w:sz="4" w:color="CCCCCC"/>
            </w:tcBorders>
          </w:tcPr>
          <w:p>
            <w:pPr>
              <w:jc w:val="center"/>
            </w:pPr>
            <w:r/>
            <w:r>
              <w:rPr>
                <w:sz w:val="20"/>
              </w:rPr>
              <w:t>95.8</w:t>
            </w:r>
          </w:p>
        </w:tc>
      </w:tr>
      <w:tr>
        <w:tc>
          <w:tcPr>
            <w:tcW w:type="dxa" w:w="2880"/>
            <w:tcBorders>
              <w:top w:val="single" w:sz="4" w:color="CCCCCC"/>
              <w:left w:val="single" w:sz="4" w:color="CCCCCC"/>
              <w:bottom w:val="single" w:sz="4" w:color="CCCCCC"/>
              <w:right w:val="single" w:sz="4" w:color="CCCCCC"/>
            </w:tcBorders>
          </w:tcPr>
          <w:p>
            <w:pPr>
              <w:jc w:val="left"/>
            </w:pPr>
            <w:r/>
            <w:r>
              <w:rPr>
                <w:sz w:val="20"/>
              </w:rPr>
              <w:t>Coeff. of Variation</w:t>
            </w:r>
          </w:p>
        </w:tc>
        <w:tc>
          <w:tcPr>
            <w:tcW w:type="dxa" w:w="1872"/>
            <w:tcBorders>
              <w:top w:val="single" w:sz="4" w:color="CCCCCC"/>
              <w:left w:val="single" w:sz="4" w:color="CCCCCC"/>
              <w:bottom w:val="single" w:sz="4" w:color="CCCCCC"/>
              <w:right w:val="single" w:sz="4" w:color="CCCCCC"/>
            </w:tcBorders>
          </w:tcPr>
          <w:p>
            <w:pPr>
              <w:jc w:val="center"/>
            </w:pPr>
            <w:r/>
            <w:r>
              <w:rPr>
                <w:sz w:val="20"/>
              </w:rPr>
              <w:t>47.5%</w:t>
            </w:r>
          </w:p>
        </w:tc>
        <w:tc>
          <w:tcPr>
            <w:tcW w:type="dxa" w:w="1872"/>
            <w:tcBorders>
              <w:top w:val="single" w:sz="4" w:color="CCCCCC"/>
              <w:left w:val="single" w:sz="4" w:color="CCCCCC"/>
              <w:bottom w:val="single" w:sz="4" w:color="CCCCCC"/>
              <w:right w:val="single" w:sz="4" w:color="CCCCCC"/>
            </w:tcBorders>
          </w:tcPr>
          <w:p>
            <w:pPr>
              <w:jc w:val="center"/>
            </w:pPr>
            <w:r/>
            <w:r>
              <w:rPr>
                <w:sz w:val="20"/>
              </w:rPr>
              <w:t>44.5%</w:t>
            </w:r>
          </w:p>
        </w:tc>
        <w:tc>
          <w:tcPr>
            <w:tcW w:type="dxa" w:w="1872"/>
            <w:tcBorders>
              <w:top w:val="single" w:sz="4" w:color="CCCCCC"/>
              <w:left w:val="single" w:sz="4" w:color="CCCCCC"/>
              <w:bottom w:val="single" w:sz="4" w:color="CCCCCC"/>
              <w:right w:val="single" w:sz="4" w:color="CCCCCC"/>
            </w:tcBorders>
          </w:tcPr>
          <w:p>
            <w:pPr>
              <w:jc w:val="center"/>
            </w:pPr>
            <w:r/>
            <w:r>
              <w:rPr>
                <w:sz w:val="20"/>
              </w:rPr>
              <w:t>39.9%</w:t>
            </w:r>
          </w:p>
        </w:tc>
      </w:tr>
      <w:tr>
        <w:tc>
          <w:tcPr>
            <w:tcW w:type="dxa" w:w="2880"/>
            <w:tcBorders>
              <w:top w:val="single" w:sz="4" w:color="CCCCCC"/>
              <w:left w:val="single" w:sz="4" w:color="CCCCCC"/>
              <w:bottom w:val="single" w:sz="4" w:color="CCCCCC"/>
              <w:right w:val="single" w:sz="4" w:color="CCCCCC"/>
            </w:tcBorders>
          </w:tcPr>
          <w:p>
            <w:pPr>
              <w:jc w:val="left"/>
            </w:pPr>
            <w:r/>
            <w:r>
              <w:rPr>
                <w:sz w:val="20"/>
              </w:rPr>
              <w:t>Minimum (kWh)</w:t>
            </w:r>
          </w:p>
        </w:tc>
        <w:tc>
          <w:tcPr>
            <w:tcW w:type="dxa" w:w="1872"/>
            <w:tcBorders>
              <w:top w:val="single" w:sz="4" w:color="CCCCCC"/>
              <w:left w:val="single" w:sz="4" w:color="CCCCCC"/>
              <w:bottom w:val="single" w:sz="4" w:color="CCCCCC"/>
              <w:right w:val="single" w:sz="4" w:color="CCCCCC"/>
            </w:tcBorders>
          </w:tcPr>
          <w:p>
            <w:pPr>
              <w:jc w:val="center"/>
            </w:pPr>
            <w:r/>
            <w:r>
              <w:rPr>
                <w:sz w:val="20"/>
              </w:rPr>
              <w:t>97.7 (Dec)</w:t>
            </w:r>
          </w:p>
        </w:tc>
        <w:tc>
          <w:tcPr>
            <w:tcW w:type="dxa" w:w="1872"/>
            <w:tcBorders>
              <w:top w:val="single" w:sz="4" w:color="CCCCCC"/>
              <w:left w:val="single" w:sz="4" w:color="CCCCCC"/>
              <w:bottom w:val="single" w:sz="4" w:color="CCCCCC"/>
              <w:right w:val="single" w:sz="4" w:color="CCCCCC"/>
            </w:tcBorders>
          </w:tcPr>
          <w:p>
            <w:pPr>
              <w:jc w:val="center"/>
            </w:pPr>
            <w:r/>
            <w:r>
              <w:rPr>
                <w:sz w:val="20"/>
              </w:rPr>
              <w:t>57.9 (Dec)</w:t>
            </w:r>
          </w:p>
        </w:tc>
        <w:tc>
          <w:tcPr>
            <w:tcW w:type="dxa" w:w="1872"/>
            <w:tcBorders>
              <w:top w:val="single" w:sz="4" w:color="CCCCCC"/>
              <w:left w:val="single" w:sz="4" w:color="CCCCCC"/>
              <w:bottom w:val="single" w:sz="4" w:color="CCCCCC"/>
              <w:right w:val="single" w:sz="4" w:color="CCCCCC"/>
            </w:tcBorders>
          </w:tcPr>
          <w:p>
            <w:pPr>
              <w:jc w:val="center"/>
            </w:pPr>
            <w:r/>
            <w:r>
              <w:rPr>
                <w:sz w:val="20"/>
              </w:rPr>
              <w:t>89.6 (Dec)</w:t>
            </w:r>
          </w:p>
        </w:tc>
      </w:tr>
      <w:tr>
        <w:tc>
          <w:tcPr>
            <w:tcW w:type="dxa" w:w="2880"/>
            <w:tcBorders>
              <w:top w:val="single" w:sz="4" w:color="CCCCCC"/>
              <w:left w:val="single" w:sz="4" w:color="CCCCCC"/>
              <w:bottom w:val="single" w:sz="4" w:color="CCCCCC"/>
              <w:right w:val="single" w:sz="4" w:color="CCCCCC"/>
            </w:tcBorders>
          </w:tcPr>
          <w:p>
            <w:pPr>
              <w:jc w:val="left"/>
            </w:pPr>
            <w:r/>
            <w:r>
              <w:rPr>
                <w:sz w:val="20"/>
              </w:rPr>
              <w:t>Maximum (kWh)</w:t>
            </w:r>
          </w:p>
        </w:tc>
        <w:tc>
          <w:tcPr>
            <w:tcW w:type="dxa" w:w="1872"/>
            <w:tcBorders>
              <w:top w:val="single" w:sz="4" w:color="CCCCCC"/>
              <w:left w:val="single" w:sz="4" w:color="CCCCCC"/>
              <w:bottom w:val="single" w:sz="4" w:color="CCCCCC"/>
              <w:right w:val="single" w:sz="4" w:color="CCCCCC"/>
            </w:tcBorders>
          </w:tcPr>
          <w:p>
            <w:pPr>
              <w:jc w:val="center"/>
            </w:pPr>
            <w:r/>
            <w:r>
              <w:rPr>
                <w:sz w:val="20"/>
              </w:rPr>
              <w:t>420.7 (Jul)</w:t>
            </w:r>
          </w:p>
        </w:tc>
        <w:tc>
          <w:tcPr>
            <w:tcW w:type="dxa" w:w="1872"/>
            <w:tcBorders>
              <w:top w:val="single" w:sz="4" w:color="CCCCCC"/>
              <w:left w:val="single" w:sz="4" w:color="CCCCCC"/>
              <w:bottom w:val="single" w:sz="4" w:color="CCCCCC"/>
              <w:right w:val="single" w:sz="4" w:color="CCCCCC"/>
            </w:tcBorders>
          </w:tcPr>
          <w:p>
            <w:pPr>
              <w:jc w:val="center"/>
            </w:pPr>
            <w:r/>
            <w:r>
              <w:rPr>
                <w:sz w:val="20"/>
              </w:rPr>
              <w:t>419.5 (Jun)</w:t>
            </w:r>
          </w:p>
        </w:tc>
        <w:tc>
          <w:tcPr>
            <w:tcW w:type="dxa" w:w="1872"/>
            <w:tcBorders>
              <w:top w:val="single" w:sz="4" w:color="CCCCCC"/>
              <w:left w:val="single" w:sz="4" w:color="CCCCCC"/>
              <w:bottom w:val="single" w:sz="4" w:color="CCCCCC"/>
              <w:right w:val="single" w:sz="4" w:color="CCCCCC"/>
            </w:tcBorders>
          </w:tcPr>
          <w:p>
            <w:pPr>
              <w:jc w:val="center"/>
            </w:pPr>
            <w:r/>
            <w:r>
              <w:rPr>
                <w:sz w:val="20"/>
              </w:rPr>
              <w:t>377.2 (Jun)</w:t>
            </w:r>
          </w:p>
        </w:tc>
      </w:tr>
      <w:tr>
        <w:tc>
          <w:tcPr>
            <w:tcW w:type="dxa" w:w="2880"/>
            <w:tcBorders>
              <w:top w:val="single" w:sz="4" w:color="CCCCCC"/>
              <w:left w:val="single" w:sz="4" w:color="CCCCCC"/>
              <w:bottom w:val="single" w:sz="4" w:color="CCCCCC"/>
              <w:right w:val="single" w:sz="4" w:color="CCCCCC"/>
            </w:tcBorders>
          </w:tcPr>
          <w:p>
            <w:pPr>
              <w:jc w:val="left"/>
            </w:pPr>
            <w:r/>
            <w:r>
              <w:rPr>
                <w:sz w:val="20"/>
              </w:rPr>
              <w:t>Range (kWh)</w:t>
            </w:r>
          </w:p>
        </w:tc>
        <w:tc>
          <w:tcPr>
            <w:tcW w:type="dxa" w:w="1872"/>
            <w:tcBorders>
              <w:top w:val="single" w:sz="4" w:color="CCCCCC"/>
              <w:left w:val="single" w:sz="4" w:color="CCCCCC"/>
              <w:bottom w:val="single" w:sz="4" w:color="CCCCCC"/>
              <w:right w:val="single" w:sz="4" w:color="CCCCCC"/>
            </w:tcBorders>
          </w:tcPr>
          <w:p>
            <w:pPr>
              <w:jc w:val="center"/>
            </w:pPr>
            <w:r/>
            <w:r>
              <w:rPr>
                <w:sz w:val="20"/>
              </w:rPr>
              <w:t>323.0</w:t>
            </w:r>
          </w:p>
        </w:tc>
        <w:tc>
          <w:tcPr>
            <w:tcW w:type="dxa" w:w="1872"/>
            <w:tcBorders>
              <w:top w:val="single" w:sz="4" w:color="CCCCCC"/>
              <w:left w:val="single" w:sz="4" w:color="CCCCCC"/>
              <w:bottom w:val="single" w:sz="4" w:color="CCCCCC"/>
              <w:right w:val="single" w:sz="4" w:color="CCCCCC"/>
            </w:tcBorders>
          </w:tcPr>
          <w:p>
            <w:pPr>
              <w:jc w:val="center"/>
            </w:pPr>
            <w:r/>
            <w:r>
              <w:rPr>
                <w:sz w:val="20"/>
              </w:rPr>
              <w:t>361.6</w:t>
            </w:r>
          </w:p>
        </w:tc>
        <w:tc>
          <w:tcPr>
            <w:tcW w:type="dxa" w:w="1872"/>
            <w:tcBorders>
              <w:top w:val="single" w:sz="4" w:color="CCCCCC"/>
              <w:left w:val="single" w:sz="4" w:color="CCCCCC"/>
              <w:bottom w:val="single" w:sz="4" w:color="CCCCCC"/>
              <w:right w:val="single" w:sz="4" w:color="CCCCCC"/>
            </w:tcBorders>
          </w:tcPr>
          <w:p>
            <w:pPr>
              <w:jc w:val="center"/>
            </w:pPr>
            <w:r/>
            <w:r>
              <w:rPr>
                <w:sz w:val="20"/>
              </w:rPr>
              <w:t>287.6</w:t>
            </w:r>
          </w:p>
        </w:tc>
      </w:tr>
      <w:tr>
        <w:tc>
          <w:tcPr>
            <w:tcW w:type="dxa" w:w="2880"/>
            <w:tcBorders>
              <w:top w:val="single" w:sz="4" w:color="CCCCCC"/>
              <w:left w:val="single" w:sz="4" w:color="CCCCCC"/>
              <w:bottom w:val="single" w:sz="4" w:color="CCCCCC"/>
              <w:right w:val="single" w:sz="4" w:color="CCCCCC"/>
            </w:tcBorders>
          </w:tcPr>
          <w:p>
            <w:pPr>
              <w:jc w:val="left"/>
            </w:pPr>
            <w:r/>
            <w:r>
              <w:rPr>
                <w:sz w:val="20"/>
              </w:rPr>
              <w:t>Q1 Quartile (kWh)</w:t>
            </w:r>
          </w:p>
        </w:tc>
        <w:tc>
          <w:tcPr>
            <w:tcW w:type="dxa" w:w="1872"/>
            <w:tcBorders>
              <w:top w:val="single" w:sz="4" w:color="CCCCCC"/>
              <w:left w:val="single" w:sz="4" w:color="CCCCCC"/>
              <w:bottom w:val="single" w:sz="4" w:color="CCCCCC"/>
              <w:right w:val="single" w:sz="4" w:color="CCCCCC"/>
            </w:tcBorders>
          </w:tcPr>
          <w:p>
            <w:pPr>
              <w:jc w:val="center"/>
            </w:pPr>
            <w:r/>
            <w:r>
              <w:rPr>
                <w:sz w:val="20"/>
              </w:rPr>
              <w:t>105.6</w:t>
            </w:r>
          </w:p>
        </w:tc>
        <w:tc>
          <w:tcPr>
            <w:tcW w:type="dxa" w:w="1872"/>
            <w:tcBorders>
              <w:top w:val="single" w:sz="4" w:color="CCCCCC"/>
              <w:left w:val="single" w:sz="4" w:color="CCCCCC"/>
              <w:bottom w:val="single" w:sz="4" w:color="CCCCCC"/>
              <w:right w:val="single" w:sz="4" w:color="CCCCCC"/>
            </w:tcBorders>
          </w:tcPr>
          <w:p>
            <w:pPr>
              <w:jc w:val="center"/>
            </w:pPr>
            <w:r/>
            <w:r>
              <w:rPr>
                <w:sz w:val="20"/>
              </w:rPr>
              <w:t>104.1</w:t>
            </w:r>
          </w:p>
        </w:tc>
        <w:tc>
          <w:tcPr>
            <w:tcW w:type="dxa" w:w="1872"/>
            <w:tcBorders>
              <w:top w:val="single" w:sz="4" w:color="CCCCCC"/>
              <w:left w:val="single" w:sz="4" w:color="CCCCCC"/>
              <w:bottom w:val="single" w:sz="4" w:color="CCCCCC"/>
              <w:right w:val="single" w:sz="4" w:color="CCCCCC"/>
            </w:tcBorders>
          </w:tcPr>
          <w:p>
            <w:pPr>
              <w:jc w:val="center"/>
            </w:pPr>
            <w:r/>
            <w:r>
              <w:rPr>
                <w:sz w:val="20"/>
              </w:rPr>
              <w:t>112.7</w:t>
            </w:r>
          </w:p>
        </w:tc>
      </w:tr>
      <w:tr>
        <w:tc>
          <w:tcPr>
            <w:tcW w:type="dxa" w:w="2880"/>
            <w:tcBorders>
              <w:top w:val="single" w:sz="4" w:color="CCCCCC"/>
              <w:left w:val="single" w:sz="4" w:color="CCCCCC"/>
              <w:bottom w:val="single" w:sz="4" w:color="CCCCCC"/>
              <w:right w:val="single" w:sz="4" w:color="CCCCCC"/>
            </w:tcBorders>
          </w:tcPr>
          <w:p>
            <w:pPr>
              <w:jc w:val="left"/>
            </w:pPr>
            <w:r/>
            <w:r>
              <w:rPr>
                <w:sz w:val="20"/>
              </w:rPr>
              <w:t>Q3 Quartile (kWh)</w:t>
            </w:r>
          </w:p>
        </w:tc>
        <w:tc>
          <w:tcPr>
            <w:tcW w:type="dxa" w:w="1872"/>
            <w:tcBorders>
              <w:top w:val="single" w:sz="4" w:color="CCCCCC"/>
              <w:left w:val="single" w:sz="4" w:color="CCCCCC"/>
              <w:bottom w:val="single" w:sz="4" w:color="CCCCCC"/>
              <w:right w:val="single" w:sz="4" w:color="CCCCCC"/>
            </w:tcBorders>
          </w:tcPr>
          <w:p>
            <w:pPr>
              <w:jc w:val="center"/>
            </w:pPr>
            <w:r/>
            <w:r>
              <w:rPr>
                <w:sz w:val="20"/>
              </w:rPr>
              <w:t>395.5</w:t>
            </w:r>
          </w:p>
        </w:tc>
        <w:tc>
          <w:tcPr>
            <w:tcW w:type="dxa" w:w="1872"/>
            <w:tcBorders>
              <w:top w:val="single" w:sz="4" w:color="CCCCCC"/>
              <w:left w:val="single" w:sz="4" w:color="CCCCCC"/>
              <w:bottom w:val="single" w:sz="4" w:color="CCCCCC"/>
              <w:right w:val="single" w:sz="4" w:color="CCCCCC"/>
            </w:tcBorders>
          </w:tcPr>
          <w:p>
            <w:pPr>
              <w:jc w:val="center"/>
            </w:pPr>
            <w:r/>
            <w:r>
              <w:rPr>
                <w:sz w:val="20"/>
              </w:rPr>
              <w:t>379.5</w:t>
            </w:r>
          </w:p>
        </w:tc>
        <w:tc>
          <w:tcPr>
            <w:tcW w:type="dxa" w:w="1872"/>
            <w:tcBorders>
              <w:top w:val="single" w:sz="4" w:color="CCCCCC"/>
              <w:left w:val="single" w:sz="4" w:color="CCCCCC"/>
              <w:bottom w:val="single" w:sz="4" w:color="CCCCCC"/>
              <w:right w:val="single" w:sz="4" w:color="CCCCCC"/>
            </w:tcBorders>
          </w:tcPr>
          <w:p>
            <w:pPr>
              <w:jc w:val="center"/>
            </w:pPr>
            <w:r/>
            <w:r>
              <w:rPr>
                <w:sz w:val="20"/>
              </w:rPr>
              <w:t>343.1</w:t>
            </w:r>
          </w:p>
        </w:tc>
      </w:tr>
      <w:tr>
        <w:tc>
          <w:tcPr>
            <w:tcW w:type="dxa" w:w="2880"/>
            <w:tcBorders>
              <w:top w:val="single" w:sz="4" w:color="CCCCCC"/>
              <w:left w:val="single" w:sz="4" w:color="CCCCCC"/>
              <w:bottom w:val="single" w:sz="4" w:color="CCCCCC"/>
              <w:right w:val="single" w:sz="4" w:color="CCCCCC"/>
            </w:tcBorders>
          </w:tcPr>
          <w:p>
            <w:pPr>
              <w:jc w:val="left"/>
            </w:pPr>
            <w:r/>
            <w:r>
              <w:rPr>
                <w:sz w:val="20"/>
              </w:rPr>
              <w:t>IQR (kWh)</w:t>
            </w:r>
          </w:p>
        </w:tc>
        <w:tc>
          <w:tcPr>
            <w:tcW w:type="dxa" w:w="1872"/>
            <w:tcBorders>
              <w:top w:val="single" w:sz="4" w:color="CCCCCC"/>
              <w:left w:val="single" w:sz="4" w:color="CCCCCC"/>
              <w:bottom w:val="single" w:sz="4" w:color="CCCCCC"/>
              <w:right w:val="single" w:sz="4" w:color="CCCCCC"/>
            </w:tcBorders>
          </w:tcPr>
          <w:p>
            <w:pPr>
              <w:jc w:val="center"/>
            </w:pPr>
            <w:r/>
            <w:r>
              <w:rPr>
                <w:sz w:val="20"/>
              </w:rPr>
              <w:t>289.9</w:t>
            </w:r>
          </w:p>
        </w:tc>
        <w:tc>
          <w:tcPr>
            <w:tcW w:type="dxa" w:w="1872"/>
            <w:tcBorders>
              <w:top w:val="single" w:sz="4" w:color="CCCCCC"/>
              <w:left w:val="single" w:sz="4" w:color="CCCCCC"/>
              <w:bottom w:val="single" w:sz="4" w:color="CCCCCC"/>
              <w:right w:val="single" w:sz="4" w:color="CCCCCC"/>
            </w:tcBorders>
          </w:tcPr>
          <w:p>
            <w:pPr>
              <w:jc w:val="center"/>
            </w:pPr>
            <w:r/>
            <w:r>
              <w:rPr>
                <w:sz w:val="20"/>
              </w:rPr>
              <w:t>275.4</w:t>
            </w:r>
          </w:p>
        </w:tc>
        <w:tc>
          <w:tcPr>
            <w:tcW w:type="dxa" w:w="1872"/>
            <w:tcBorders>
              <w:top w:val="single" w:sz="4" w:color="CCCCCC"/>
              <w:left w:val="single" w:sz="4" w:color="CCCCCC"/>
              <w:bottom w:val="single" w:sz="4" w:color="CCCCCC"/>
              <w:right w:val="single" w:sz="4" w:color="CCCCCC"/>
            </w:tcBorders>
          </w:tcPr>
          <w:p>
            <w:pPr>
              <w:jc w:val="center"/>
            </w:pPr>
            <w:r/>
            <w:r>
              <w:rPr>
                <w:sz w:val="20"/>
              </w:rPr>
              <w:t>230.4</w:t>
            </w:r>
          </w:p>
        </w:tc>
      </w:tr>
      <w:tr>
        <w:tc>
          <w:tcPr>
            <w:tcW w:type="dxa" w:w="2880"/>
            <w:tcBorders>
              <w:top w:val="single" w:sz="4" w:color="CCCCCC"/>
              <w:left w:val="single" w:sz="4" w:color="CCCCCC"/>
              <w:bottom w:val="single" w:sz="8" w:color="000000"/>
              <w:right w:val="single" w:sz="4" w:color="CCCCCC"/>
            </w:tcBorders>
          </w:tcPr>
          <w:p>
            <w:pPr>
              <w:jc w:val="left"/>
            </w:pPr>
            <w:r/>
            <w:r>
              <w:rPr>
                <w:b/>
                <w:sz w:val="20"/>
              </w:rPr>
              <w:t>Annual Total (kWh)</w:t>
            </w:r>
          </w:p>
        </w:tc>
        <w:tc>
          <w:tcPr>
            <w:tcW w:type="dxa" w:w="1872"/>
            <w:tcBorders>
              <w:top w:val="single" w:sz="4" w:color="CCCCCC"/>
              <w:left w:val="single" w:sz="4" w:color="CCCCCC"/>
              <w:bottom w:val="single" w:sz="8" w:color="000000"/>
              <w:right w:val="single" w:sz="4" w:color="CCCCCC"/>
            </w:tcBorders>
          </w:tcPr>
          <w:p>
            <w:pPr>
              <w:jc w:val="center"/>
            </w:pPr>
            <w:r/>
            <w:r>
              <w:rPr>
                <w:b/>
                <w:sz w:val="20"/>
              </w:rPr>
              <w:t>3,195.0</w:t>
            </w:r>
          </w:p>
        </w:tc>
        <w:tc>
          <w:tcPr>
            <w:tcW w:type="dxa" w:w="1872"/>
            <w:tcBorders>
              <w:top w:val="single" w:sz="4" w:color="CCCCCC"/>
              <w:left w:val="single" w:sz="4" w:color="CCCCCC"/>
              <w:bottom w:val="single" w:sz="8" w:color="000000"/>
              <w:right w:val="single" w:sz="4" w:color="CCCCCC"/>
            </w:tcBorders>
          </w:tcPr>
          <w:p>
            <w:pPr>
              <w:jc w:val="center"/>
            </w:pPr>
            <w:r/>
            <w:r>
              <w:rPr>
                <w:b/>
                <w:sz w:val="20"/>
              </w:rPr>
              <w:t>3,171.3</w:t>
            </w:r>
          </w:p>
        </w:tc>
        <w:tc>
          <w:tcPr>
            <w:tcW w:type="dxa" w:w="1872"/>
            <w:tcBorders>
              <w:top w:val="single" w:sz="4" w:color="CCCCCC"/>
              <w:left w:val="single" w:sz="4" w:color="CCCCCC"/>
              <w:bottom w:val="single" w:sz="8" w:color="000000"/>
              <w:right w:val="single" w:sz="4" w:color="CCCCCC"/>
            </w:tcBorders>
          </w:tcPr>
          <w:p>
            <w:pPr>
              <w:jc w:val="center"/>
            </w:pPr>
            <w:r/>
            <w:r>
              <w:rPr>
                <w:b/>
                <w:sz w:val="20"/>
              </w:rPr>
              <w:t>2,883.7</w:t>
            </w:r>
          </w:p>
        </w:tc>
      </w:tr>
    </w:tbl>
    <w:p>
      <w:pPr>
        <w:spacing w:after="120"/>
        <w:jc w:val="both"/>
      </w:pPr>
      <w:r>
        <w:rPr>
          <w:sz w:val="22"/>
        </w:rPr>
        <w:t>The coefficient of variation declines monotonically from 47.5% in 2023 to 44.5% in 2024 and 39.9% in 2025. The trend reflects the changes observed in the seasonal production profile: in 2025, simultaneously higher winter production and lower summer production relative to 2023 compressed the seasonal amplitude and brought the monthly production distribution closer to uniformity.</w:t>
      </w:r>
    </w:p>
    <w:p>
      <w:r>
        <w:br w:type="page"/>
      </w:r>
    </w:p>
    <w:p>
      <w:pPr>
        <w:keepNext/>
        <w:spacing w:before="280" w:after="120"/>
      </w:pPr>
      <w:r>
        <w:rPr>
          <w:b/>
          <w:sz w:val="26"/>
        </w:rPr>
        <w:t>Supplementary Table S4</w:t>
      </w:r>
    </w:p>
    <w:p>
      <w:pPr>
        <w:spacing w:after="120"/>
        <w:jc w:val="both"/>
      </w:pPr>
      <w:r>
        <w:rPr>
          <w:sz w:val="22"/>
        </w:rPr>
        <w:t>List of abbreviations used in the main manuscript.</w:t>
      </w:r>
    </w:p>
    <w:tbl>
      <w:tblPr>
        <w:tblW w:type="auto" w:w="0"/>
        <w:jc w:val="center"/>
        <w:tblLook w:firstColumn="1" w:firstRow="1" w:lastColumn="0" w:lastRow="0" w:noHBand="0" w:noVBand="1" w:val="04A0"/>
      </w:tblPr>
      <w:tblGrid>
        <w:gridCol w:w="4703"/>
        <w:gridCol w:w="4703"/>
      </w:tblGrid>
      <w:tr>
        <w:tc>
          <w:tcPr>
            <w:tcW w:type="dxa" w:w="2160"/>
            <w:shd w:fill="D9E2F3" w:val="clear"/>
            <w:tcBorders>
              <w:top w:val="single" w:sz="8" w:color="000000"/>
              <w:left w:val="single" w:sz="4" w:color="999999"/>
              <w:bottom w:val="single" w:sz="8" w:color="000000"/>
              <w:right w:val="single" w:sz="4" w:color="999999"/>
            </w:tcBorders>
          </w:tcPr>
          <w:p>
            <w:pPr>
              <w:jc w:val="center"/>
            </w:pPr>
            <w:r/>
            <w:r>
              <w:rPr>
                <w:b/>
                <w:sz w:val="20"/>
              </w:rPr>
              <w:t>Abbreviation</w:t>
            </w:r>
          </w:p>
        </w:tc>
        <w:tc>
          <w:tcPr>
            <w:tcW w:type="dxa" w:w="7200"/>
            <w:shd w:fill="D9E2F3" w:val="clear"/>
            <w:tcBorders>
              <w:top w:val="single" w:sz="8" w:color="000000"/>
              <w:left w:val="single" w:sz="4" w:color="999999"/>
              <w:bottom w:val="single" w:sz="8" w:color="000000"/>
              <w:right w:val="single" w:sz="4" w:color="999999"/>
            </w:tcBorders>
          </w:tcPr>
          <w:p>
            <w:pPr>
              <w:jc w:val="center"/>
            </w:pPr>
            <w:r/>
            <w:r>
              <w:rPr>
                <w:b/>
                <w:sz w:val="20"/>
              </w:rPr>
              <w:t>Full term</w:t>
            </w:r>
          </w:p>
        </w:tc>
      </w:tr>
      <w:tr>
        <w:tc>
          <w:tcPr>
            <w:tcW w:type="dxa" w:w="2160"/>
            <w:tcBorders>
              <w:top w:val="single" w:sz="4" w:color="CCCCCC"/>
              <w:left w:val="single" w:sz="4" w:color="CCCCCC"/>
              <w:bottom w:val="single" w:sz="4" w:color="CCCCCC"/>
              <w:right w:val="single" w:sz="4" w:color="CCCCCC"/>
            </w:tcBorders>
          </w:tcPr>
          <w:p>
            <w:pPr>
              <w:jc w:val="left"/>
            </w:pPr>
            <w:r/>
            <w:r>
              <w:rPr>
                <w:b/>
                <w:sz w:val="20"/>
              </w:rPr>
              <w:t>ANRE</w:t>
            </w:r>
          </w:p>
        </w:tc>
        <w:tc>
          <w:tcPr>
            <w:tcW w:type="dxa" w:w="7200"/>
            <w:tcBorders>
              <w:top w:val="single" w:sz="4" w:color="CCCCCC"/>
              <w:left w:val="single" w:sz="4" w:color="CCCCCC"/>
              <w:bottom w:val="single" w:sz="4" w:color="CCCCCC"/>
              <w:right w:val="single" w:sz="4" w:color="CCCCCC"/>
            </w:tcBorders>
          </w:tcPr>
          <w:p>
            <w:pPr>
              <w:jc w:val="center"/>
            </w:pPr>
            <w:r/>
            <w:r>
              <w:rPr>
                <w:sz w:val="20"/>
              </w:rPr>
              <w:t>Autoritatea Națională de Reglementare în domeniul Energiei (Romanian Energy Regulatory Authority)</w:t>
            </w:r>
          </w:p>
        </w:tc>
      </w:tr>
      <w:tr>
        <w:tc>
          <w:tcPr>
            <w:tcW w:type="dxa" w:w="2160"/>
            <w:tcBorders>
              <w:top w:val="single" w:sz="4" w:color="CCCCCC"/>
              <w:left w:val="single" w:sz="4" w:color="CCCCCC"/>
              <w:bottom w:val="single" w:sz="4" w:color="CCCCCC"/>
              <w:right w:val="single" w:sz="4" w:color="CCCCCC"/>
            </w:tcBorders>
          </w:tcPr>
          <w:p>
            <w:pPr>
              <w:jc w:val="left"/>
            </w:pPr>
            <w:r/>
            <w:r>
              <w:rPr>
                <w:b/>
                <w:sz w:val="20"/>
              </w:rPr>
              <w:t>ATR</w:t>
            </w:r>
          </w:p>
        </w:tc>
        <w:tc>
          <w:tcPr>
            <w:tcW w:type="dxa" w:w="7200"/>
            <w:tcBorders>
              <w:top w:val="single" w:sz="4" w:color="CCCCCC"/>
              <w:left w:val="single" w:sz="4" w:color="CCCCCC"/>
              <w:bottom w:val="single" w:sz="4" w:color="CCCCCC"/>
              <w:right w:val="single" w:sz="4" w:color="CCCCCC"/>
            </w:tcBorders>
          </w:tcPr>
          <w:p>
            <w:pPr>
              <w:jc w:val="center"/>
            </w:pPr>
            <w:r/>
            <w:r>
              <w:rPr>
                <w:sz w:val="20"/>
              </w:rPr>
              <w:t>Aviz Tehnic de Racordare (Technical Approval for Grid Connection)</w:t>
            </w:r>
          </w:p>
        </w:tc>
      </w:tr>
      <w:tr>
        <w:tc>
          <w:tcPr>
            <w:tcW w:type="dxa" w:w="2160"/>
            <w:tcBorders>
              <w:top w:val="single" w:sz="4" w:color="CCCCCC"/>
              <w:left w:val="single" w:sz="4" w:color="CCCCCC"/>
              <w:bottom w:val="single" w:sz="4" w:color="CCCCCC"/>
              <w:right w:val="single" w:sz="4" w:color="CCCCCC"/>
            </w:tcBorders>
          </w:tcPr>
          <w:p>
            <w:pPr>
              <w:jc w:val="left"/>
            </w:pPr>
            <w:r/>
            <w:r>
              <w:rPr>
                <w:b/>
                <w:sz w:val="20"/>
              </w:rPr>
              <w:t>CAMS</w:t>
            </w:r>
          </w:p>
        </w:tc>
        <w:tc>
          <w:tcPr>
            <w:tcW w:type="dxa" w:w="7200"/>
            <w:tcBorders>
              <w:top w:val="single" w:sz="4" w:color="CCCCCC"/>
              <w:left w:val="single" w:sz="4" w:color="CCCCCC"/>
              <w:bottom w:val="single" w:sz="4" w:color="CCCCCC"/>
              <w:right w:val="single" w:sz="4" w:color="CCCCCC"/>
            </w:tcBorders>
          </w:tcPr>
          <w:p>
            <w:pPr>
              <w:jc w:val="center"/>
            </w:pPr>
            <w:r/>
            <w:r>
              <w:rPr>
                <w:sz w:val="20"/>
              </w:rPr>
              <w:t>Copernicus Atmosphere Monitoring Service</w:t>
            </w:r>
          </w:p>
        </w:tc>
      </w:tr>
      <w:tr>
        <w:tc>
          <w:tcPr>
            <w:tcW w:type="dxa" w:w="2160"/>
            <w:tcBorders>
              <w:top w:val="single" w:sz="4" w:color="CCCCCC"/>
              <w:left w:val="single" w:sz="4" w:color="CCCCCC"/>
              <w:bottom w:val="single" w:sz="4" w:color="CCCCCC"/>
              <w:right w:val="single" w:sz="4" w:color="CCCCCC"/>
            </w:tcBorders>
          </w:tcPr>
          <w:p>
            <w:pPr>
              <w:jc w:val="left"/>
            </w:pPr>
            <w:r/>
            <w:r>
              <w:rPr>
                <w:b/>
                <w:sz w:val="20"/>
              </w:rPr>
              <w:t>ECMWF</w:t>
            </w:r>
          </w:p>
        </w:tc>
        <w:tc>
          <w:tcPr>
            <w:tcW w:type="dxa" w:w="7200"/>
            <w:tcBorders>
              <w:top w:val="single" w:sz="4" w:color="CCCCCC"/>
              <w:left w:val="single" w:sz="4" w:color="CCCCCC"/>
              <w:bottom w:val="single" w:sz="4" w:color="CCCCCC"/>
              <w:right w:val="single" w:sz="4" w:color="CCCCCC"/>
            </w:tcBorders>
          </w:tcPr>
          <w:p>
            <w:pPr>
              <w:jc w:val="center"/>
            </w:pPr>
            <w:r/>
            <w:r>
              <w:rPr>
                <w:sz w:val="20"/>
              </w:rPr>
              <w:t>European Centre for Medium-Range Weather Forecasts</w:t>
            </w:r>
          </w:p>
        </w:tc>
      </w:tr>
      <w:tr>
        <w:tc>
          <w:tcPr>
            <w:tcW w:type="dxa" w:w="2160"/>
            <w:tcBorders>
              <w:top w:val="single" w:sz="4" w:color="CCCCCC"/>
              <w:left w:val="single" w:sz="4" w:color="CCCCCC"/>
              <w:bottom w:val="single" w:sz="4" w:color="CCCCCC"/>
              <w:right w:val="single" w:sz="4" w:color="CCCCCC"/>
            </w:tcBorders>
          </w:tcPr>
          <w:p>
            <w:pPr>
              <w:jc w:val="left"/>
            </w:pPr>
            <w:r/>
            <w:r>
              <w:rPr>
                <w:b/>
                <w:sz w:val="20"/>
              </w:rPr>
              <w:t>GHI</w:t>
            </w:r>
          </w:p>
        </w:tc>
        <w:tc>
          <w:tcPr>
            <w:tcW w:type="dxa" w:w="7200"/>
            <w:tcBorders>
              <w:top w:val="single" w:sz="4" w:color="CCCCCC"/>
              <w:left w:val="single" w:sz="4" w:color="CCCCCC"/>
              <w:bottom w:val="single" w:sz="4" w:color="CCCCCC"/>
              <w:right w:val="single" w:sz="4" w:color="CCCCCC"/>
            </w:tcBorders>
          </w:tcPr>
          <w:p>
            <w:pPr>
              <w:jc w:val="center"/>
            </w:pPr>
            <w:r/>
            <w:r>
              <w:rPr>
                <w:sz w:val="20"/>
              </w:rPr>
              <w:t>Global Horizontal Irradiance</w:t>
            </w:r>
          </w:p>
        </w:tc>
      </w:tr>
      <w:tr>
        <w:tc>
          <w:tcPr>
            <w:tcW w:type="dxa" w:w="2160"/>
            <w:tcBorders>
              <w:top w:val="single" w:sz="4" w:color="CCCCCC"/>
              <w:left w:val="single" w:sz="4" w:color="CCCCCC"/>
              <w:bottom w:val="single" w:sz="4" w:color="CCCCCC"/>
              <w:right w:val="single" w:sz="4" w:color="CCCCCC"/>
            </w:tcBorders>
          </w:tcPr>
          <w:p>
            <w:pPr>
              <w:jc w:val="left"/>
            </w:pPr>
            <w:r/>
            <w:r>
              <w:rPr>
                <w:b/>
                <w:sz w:val="20"/>
              </w:rPr>
              <w:t>IEA</w:t>
            </w:r>
          </w:p>
        </w:tc>
        <w:tc>
          <w:tcPr>
            <w:tcW w:type="dxa" w:w="7200"/>
            <w:tcBorders>
              <w:top w:val="single" w:sz="4" w:color="CCCCCC"/>
              <w:left w:val="single" w:sz="4" w:color="CCCCCC"/>
              <w:bottom w:val="single" w:sz="4" w:color="CCCCCC"/>
              <w:right w:val="single" w:sz="4" w:color="CCCCCC"/>
            </w:tcBorders>
          </w:tcPr>
          <w:p>
            <w:pPr>
              <w:jc w:val="center"/>
            </w:pPr>
            <w:r/>
            <w:r>
              <w:rPr>
                <w:sz w:val="20"/>
              </w:rPr>
              <w:t>International Energy Agency</w:t>
            </w:r>
          </w:p>
        </w:tc>
      </w:tr>
      <w:tr>
        <w:tc>
          <w:tcPr>
            <w:tcW w:type="dxa" w:w="2160"/>
            <w:tcBorders>
              <w:top w:val="single" w:sz="4" w:color="CCCCCC"/>
              <w:left w:val="single" w:sz="4" w:color="CCCCCC"/>
              <w:bottom w:val="single" w:sz="4" w:color="CCCCCC"/>
              <w:right w:val="single" w:sz="4" w:color="CCCCCC"/>
            </w:tcBorders>
          </w:tcPr>
          <w:p>
            <w:pPr>
              <w:jc w:val="left"/>
            </w:pPr>
            <w:r/>
            <w:r>
              <w:rPr>
                <w:b/>
                <w:sz w:val="20"/>
              </w:rPr>
              <w:t>IEC</w:t>
            </w:r>
          </w:p>
        </w:tc>
        <w:tc>
          <w:tcPr>
            <w:tcW w:type="dxa" w:w="7200"/>
            <w:tcBorders>
              <w:top w:val="single" w:sz="4" w:color="CCCCCC"/>
              <w:left w:val="single" w:sz="4" w:color="CCCCCC"/>
              <w:bottom w:val="single" w:sz="4" w:color="CCCCCC"/>
              <w:right w:val="single" w:sz="4" w:color="CCCCCC"/>
            </w:tcBorders>
          </w:tcPr>
          <w:p>
            <w:pPr>
              <w:jc w:val="center"/>
            </w:pPr>
            <w:r/>
            <w:r>
              <w:rPr>
                <w:sz w:val="20"/>
              </w:rPr>
              <w:t>International Electrotechnical Commission</w:t>
            </w:r>
          </w:p>
        </w:tc>
      </w:tr>
      <w:tr>
        <w:tc>
          <w:tcPr>
            <w:tcW w:type="dxa" w:w="2160"/>
            <w:tcBorders>
              <w:top w:val="single" w:sz="4" w:color="CCCCCC"/>
              <w:left w:val="single" w:sz="4" w:color="CCCCCC"/>
              <w:bottom w:val="single" w:sz="4" w:color="CCCCCC"/>
              <w:right w:val="single" w:sz="4" w:color="CCCCCC"/>
            </w:tcBorders>
          </w:tcPr>
          <w:p>
            <w:pPr>
              <w:jc w:val="left"/>
            </w:pPr>
            <w:r/>
            <w:r>
              <w:rPr>
                <w:b/>
                <w:sz w:val="20"/>
              </w:rPr>
              <w:t>MPPT</w:t>
            </w:r>
          </w:p>
        </w:tc>
        <w:tc>
          <w:tcPr>
            <w:tcW w:type="dxa" w:w="7200"/>
            <w:tcBorders>
              <w:top w:val="single" w:sz="4" w:color="CCCCCC"/>
              <w:left w:val="single" w:sz="4" w:color="CCCCCC"/>
              <w:bottom w:val="single" w:sz="4" w:color="CCCCCC"/>
              <w:right w:val="single" w:sz="4" w:color="CCCCCC"/>
            </w:tcBorders>
          </w:tcPr>
          <w:p>
            <w:pPr>
              <w:jc w:val="center"/>
            </w:pPr>
            <w:r/>
            <w:r>
              <w:rPr>
                <w:sz w:val="20"/>
              </w:rPr>
              <w:t>Maximum Power Point Tracking</w:t>
            </w:r>
          </w:p>
        </w:tc>
      </w:tr>
      <w:tr>
        <w:tc>
          <w:tcPr>
            <w:tcW w:type="dxa" w:w="2160"/>
            <w:tcBorders>
              <w:top w:val="single" w:sz="4" w:color="CCCCCC"/>
              <w:left w:val="single" w:sz="4" w:color="CCCCCC"/>
              <w:bottom w:val="single" w:sz="4" w:color="CCCCCC"/>
              <w:right w:val="single" w:sz="4" w:color="CCCCCC"/>
            </w:tcBorders>
          </w:tcPr>
          <w:p>
            <w:pPr>
              <w:jc w:val="left"/>
            </w:pPr>
            <w:r/>
            <w:r>
              <w:rPr>
                <w:b/>
                <w:sz w:val="20"/>
              </w:rPr>
              <w:t>NAO</w:t>
            </w:r>
          </w:p>
        </w:tc>
        <w:tc>
          <w:tcPr>
            <w:tcW w:type="dxa" w:w="7200"/>
            <w:tcBorders>
              <w:top w:val="single" w:sz="4" w:color="CCCCCC"/>
              <w:left w:val="single" w:sz="4" w:color="CCCCCC"/>
              <w:bottom w:val="single" w:sz="4" w:color="CCCCCC"/>
              <w:right w:val="single" w:sz="4" w:color="CCCCCC"/>
            </w:tcBorders>
          </w:tcPr>
          <w:p>
            <w:pPr>
              <w:jc w:val="center"/>
            </w:pPr>
            <w:r/>
            <w:r>
              <w:rPr>
                <w:sz w:val="20"/>
              </w:rPr>
              <w:t>North Atlantic Oscillation</w:t>
            </w:r>
          </w:p>
        </w:tc>
      </w:tr>
      <w:tr>
        <w:tc>
          <w:tcPr>
            <w:tcW w:type="dxa" w:w="2160"/>
            <w:tcBorders>
              <w:top w:val="single" w:sz="4" w:color="CCCCCC"/>
              <w:left w:val="single" w:sz="4" w:color="CCCCCC"/>
              <w:bottom w:val="single" w:sz="4" w:color="CCCCCC"/>
              <w:right w:val="single" w:sz="4" w:color="CCCCCC"/>
            </w:tcBorders>
          </w:tcPr>
          <w:p>
            <w:pPr>
              <w:jc w:val="left"/>
            </w:pPr>
            <w:r/>
            <w:r>
              <w:rPr>
                <w:b/>
                <w:sz w:val="20"/>
              </w:rPr>
              <w:t>POA</w:t>
            </w:r>
          </w:p>
        </w:tc>
        <w:tc>
          <w:tcPr>
            <w:tcW w:type="dxa" w:w="7200"/>
            <w:tcBorders>
              <w:top w:val="single" w:sz="4" w:color="CCCCCC"/>
              <w:left w:val="single" w:sz="4" w:color="CCCCCC"/>
              <w:bottom w:val="single" w:sz="4" w:color="CCCCCC"/>
              <w:right w:val="single" w:sz="4" w:color="CCCCCC"/>
            </w:tcBorders>
          </w:tcPr>
          <w:p>
            <w:pPr>
              <w:jc w:val="center"/>
            </w:pPr>
            <w:r/>
            <w:r>
              <w:rPr>
                <w:sz w:val="20"/>
              </w:rPr>
              <w:t>Plane of Array</w:t>
            </w:r>
          </w:p>
        </w:tc>
      </w:tr>
      <w:tr>
        <w:tc>
          <w:tcPr>
            <w:tcW w:type="dxa" w:w="2160"/>
            <w:tcBorders>
              <w:top w:val="single" w:sz="4" w:color="CCCCCC"/>
              <w:left w:val="single" w:sz="4" w:color="CCCCCC"/>
              <w:bottom w:val="single" w:sz="4" w:color="CCCCCC"/>
              <w:right w:val="single" w:sz="4" w:color="CCCCCC"/>
            </w:tcBorders>
          </w:tcPr>
          <w:p>
            <w:pPr>
              <w:jc w:val="left"/>
            </w:pPr>
            <w:r/>
            <w:r>
              <w:rPr>
                <w:b/>
                <w:sz w:val="20"/>
              </w:rPr>
              <w:t>PR</w:t>
            </w:r>
          </w:p>
        </w:tc>
        <w:tc>
          <w:tcPr>
            <w:tcW w:type="dxa" w:w="7200"/>
            <w:tcBorders>
              <w:top w:val="single" w:sz="4" w:color="CCCCCC"/>
              <w:left w:val="single" w:sz="4" w:color="CCCCCC"/>
              <w:bottom w:val="single" w:sz="4" w:color="CCCCCC"/>
              <w:right w:val="single" w:sz="4" w:color="CCCCCC"/>
            </w:tcBorders>
          </w:tcPr>
          <w:p>
            <w:pPr>
              <w:jc w:val="center"/>
            </w:pPr>
            <w:r/>
            <w:r>
              <w:rPr>
                <w:sz w:val="20"/>
              </w:rPr>
              <w:t>Performance Ratio</w:t>
            </w:r>
          </w:p>
        </w:tc>
      </w:tr>
      <w:tr>
        <w:tc>
          <w:tcPr>
            <w:tcW w:type="dxa" w:w="2160"/>
            <w:tcBorders>
              <w:top w:val="single" w:sz="4" w:color="CCCCCC"/>
              <w:left w:val="single" w:sz="4" w:color="CCCCCC"/>
              <w:bottom w:val="single" w:sz="4" w:color="CCCCCC"/>
              <w:right w:val="single" w:sz="4" w:color="CCCCCC"/>
            </w:tcBorders>
          </w:tcPr>
          <w:p>
            <w:pPr>
              <w:jc w:val="left"/>
            </w:pPr>
            <w:r/>
            <w:r>
              <w:rPr>
                <w:b/>
                <w:sz w:val="20"/>
              </w:rPr>
              <w:t>PV</w:t>
            </w:r>
          </w:p>
        </w:tc>
        <w:tc>
          <w:tcPr>
            <w:tcW w:type="dxa" w:w="7200"/>
            <w:tcBorders>
              <w:top w:val="single" w:sz="4" w:color="CCCCCC"/>
              <w:left w:val="single" w:sz="4" w:color="CCCCCC"/>
              <w:bottom w:val="single" w:sz="4" w:color="CCCCCC"/>
              <w:right w:val="single" w:sz="4" w:color="CCCCCC"/>
            </w:tcBorders>
          </w:tcPr>
          <w:p>
            <w:pPr>
              <w:jc w:val="center"/>
            </w:pPr>
            <w:r/>
            <w:r>
              <w:rPr>
                <w:sz w:val="20"/>
              </w:rPr>
              <w:t>Photovoltaic</w:t>
            </w:r>
          </w:p>
        </w:tc>
      </w:tr>
      <w:tr>
        <w:tc>
          <w:tcPr>
            <w:tcW w:type="dxa" w:w="2160"/>
            <w:tcBorders>
              <w:top w:val="single" w:sz="4" w:color="CCCCCC"/>
              <w:left w:val="single" w:sz="4" w:color="CCCCCC"/>
              <w:bottom w:val="single" w:sz="4" w:color="CCCCCC"/>
              <w:right w:val="single" w:sz="4" w:color="CCCCCC"/>
            </w:tcBorders>
          </w:tcPr>
          <w:p>
            <w:pPr>
              <w:jc w:val="left"/>
            </w:pPr>
            <w:r/>
            <w:r>
              <w:rPr>
                <w:b/>
                <w:sz w:val="20"/>
              </w:rPr>
              <w:t>PVGIS</w:t>
            </w:r>
          </w:p>
        </w:tc>
        <w:tc>
          <w:tcPr>
            <w:tcW w:type="dxa" w:w="7200"/>
            <w:tcBorders>
              <w:top w:val="single" w:sz="4" w:color="CCCCCC"/>
              <w:left w:val="single" w:sz="4" w:color="CCCCCC"/>
              <w:bottom w:val="single" w:sz="4" w:color="CCCCCC"/>
              <w:right w:val="single" w:sz="4" w:color="CCCCCC"/>
            </w:tcBorders>
          </w:tcPr>
          <w:p>
            <w:pPr>
              <w:jc w:val="center"/>
            </w:pPr>
            <w:r/>
            <w:r>
              <w:rPr>
                <w:sz w:val="20"/>
              </w:rPr>
              <w:t>Photovoltaic Geographical Information System (JRC, European Commission)</w:t>
            </w:r>
          </w:p>
        </w:tc>
      </w:tr>
      <w:tr>
        <w:tc>
          <w:tcPr>
            <w:tcW w:type="dxa" w:w="2160"/>
            <w:tcBorders>
              <w:top w:val="single" w:sz="4" w:color="CCCCCC"/>
              <w:left w:val="single" w:sz="4" w:color="CCCCCC"/>
              <w:bottom w:val="single" w:sz="4" w:color="CCCCCC"/>
              <w:right w:val="single" w:sz="4" w:color="CCCCCC"/>
            </w:tcBorders>
          </w:tcPr>
          <w:p>
            <w:pPr>
              <w:jc w:val="left"/>
            </w:pPr>
            <w:r/>
            <w:r>
              <w:rPr>
                <w:b/>
                <w:sz w:val="20"/>
              </w:rPr>
              <w:t>SCF</w:t>
            </w:r>
          </w:p>
        </w:tc>
        <w:tc>
          <w:tcPr>
            <w:tcW w:type="dxa" w:w="7200"/>
            <w:tcBorders>
              <w:top w:val="single" w:sz="4" w:color="CCCCCC"/>
              <w:left w:val="single" w:sz="4" w:color="CCCCCC"/>
              <w:bottom w:val="single" w:sz="4" w:color="CCCCCC"/>
              <w:right w:val="single" w:sz="4" w:color="CCCCCC"/>
            </w:tcBorders>
          </w:tcPr>
          <w:p>
            <w:pPr>
              <w:jc w:val="center"/>
            </w:pPr>
            <w:r/>
            <w:r>
              <w:rPr>
                <w:sz w:val="20"/>
              </w:rPr>
              <w:t>Self-Consumption Fraction</w:t>
            </w:r>
          </w:p>
        </w:tc>
      </w:tr>
      <w:tr>
        <w:tc>
          <w:tcPr>
            <w:tcW w:type="dxa" w:w="2160"/>
            <w:tcBorders>
              <w:top w:val="single" w:sz="4" w:color="CCCCCC"/>
              <w:left w:val="single" w:sz="4" w:color="CCCCCC"/>
              <w:bottom w:val="single" w:sz="8" w:color="000000"/>
              <w:right w:val="single" w:sz="4" w:color="CCCCCC"/>
            </w:tcBorders>
          </w:tcPr>
          <w:p>
            <w:pPr>
              <w:jc w:val="left"/>
            </w:pPr>
            <w:r/>
            <w:r>
              <w:rPr>
                <w:b/>
                <w:sz w:val="20"/>
              </w:rPr>
              <w:t>STL</w:t>
            </w:r>
          </w:p>
        </w:tc>
        <w:tc>
          <w:tcPr>
            <w:tcW w:type="dxa" w:w="7200"/>
            <w:tcBorders>
              <w:top w:val="single" w:sz="4" w:color="CCCCCC"/>
              <w:left w:val="single" w:sz="4" w:color="CCCCCC"/>
              <w:bottom w:val="single" w:sz="8" w:color="000000"/>
              <w:right w:val="single" w:sz="4" w:color="CCCCCC"/>
            </w:tcBorders>
          </w:tcPr>
          <w:p>
            <w:pPr>
              <w:jc w:val="center"/>
            </w:pPr>
            <w:r/>
            <w:r>
              <w:rPr>
                <w:sz w:val="20"/>
              </w:rPr>
              <w:t>Seasonal-Trend decomposition using Loess</w:t>
            </w:r>
          </w:p>
        </w:tc>
      </w:tr>
    </w:tbl>
    <w:sectPr w:rsidR="00FC693F" w:rsidRPr="0006063C" w:rsidSect="00034616">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