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29FF" w14:textId="69BC1E59" w:rsidR="00590EFC" w:rsidRDefault="00590EFC" w:rsidP="00590EFC">
      <w:pPr>
        <w:pStyle w:val="Title"/>
        <w:rPr>
          <w:rStyle w:val="Strong"/>
        </w:rPr>
      </w:pPr>
      <w:r>
        <w:rPr>
          <w:rStyle w:val="Strong"/>
        </w:rPr>
        <w:t>Supplemental Figures</w:t>
      </w:r>
    </w:p>
    <w:p w14:paraId="7337EB74" w14:textId="77777777" w:rsidR="00590EFC" w:rsidRDefault="00590EFC">
      <w:pPr>
        <w:rPr>
          <w:rStyle w:val="Stron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90EFC" w14:paraId="6C279CF9" w14:textId="77777777" w:rsidTr="00590EFC">
        <w:tc>
          <w:tcPr>
            <w:tcW w:w="9350" w:type="dxa"/>
          </w:tcPr>
          <w:p w14:paraId="4F222664" w14:textId="3176E50B" w:rsidR="00590EFC" w:rsidRDefault="00590EFC">
            <w:pPr>
              <w:rPr>
                <w:rStyle w:val="Strong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93DAEE3" wp14:editId="192ABA83">
                  <wp:extent cx="5943600" cy="3115310"/>
                  <wp:effectExtent l="0" t="0" r="0" b="0"/>
                  <wp:docPr id="19252326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232694" name="Picture 19252326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11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EFC" w14:paraId="7DD57C21" w14:textId="77777777" w:rsidTr="00590EFC">
        <w:tc>
          <w:tcPr>
            <w:tcW w:w="9350" w:type="dxa"/>
          </w:tcPr>
          <w:p w14:paraId="46BDE3B5" w14:textId="273C6E58" w:rsidR="00590EFC" w:rsidRPr="00590EFC" w:rsidRDefault="00590EFC" w:rsidP="00590EFC">
            <w:pPr>
              <w:pStyle w:val="NormalWeb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rFonts w:eastAsiaTheme="majorEastAsia"/>
              </w:rPr>
              <w:t>Figure S1. Predicted versus observed response plots for generalized linear mixed models used to quantify temporal changes in reef fish contributions to nature and people.</w:t>
            </w:r>
            <w:r>
              <w:t xml:space="preserve"> Plots compare observed and model-predicted values for NN and NP scores across regions and years based on Gaussian linear mixed-effects models including Year × Region interactions and random intercepts for Site. Predictions were generated at the population level by averaging across site-level random effects.</w:t>
            </w:r>
          </w:p>
        </w:tc>
      </w:tr>
    </w:tbl>
    <w:p w14:paraId="0BA603B0" w14:textId="56C07D1E" w:rsidR="00590EFC" w:rsidRDefault="00590EFC">
      <w:pPr>
        <w:rPr>
          <w:rStyle w:val="Strong"/>
        </w:rPr>
      </w:pPr>
      <w:r>
        <w:rPr>
          <w:rStyle w:val="Strong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1FFC" w14:paraId="090AE974" w14:textId="77777777" w:rsidTr="00F61FFC">
        <w:tc>
          <w:tcPr>
            <w:tcW w:w="9350" w:type="dxa"/>
          </w:tcPr>
          <w:p w14:paraId="0DAB8B47" w14:textId="7844A1C4" w:rsidR="00F61FFC" w:rsidRDefault="00F61FFC">
            <w:pPr>
              <w:rPr>
                <w:rStyle w:val="Strong"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7BFED775" wp14:editId="2F8E0E5E">
                  <wp:extent cx="5640593" cy="6508376"/>
                  <wp:effectExtent l="0" t="0" r="0" b="0"/>
                  <wp:docPr id="10748527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852732" name="Picture 10748527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637" cy="651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FFC" w14:paraId="6C6C9E0F" w14:textId="77777777" w:rsidTr="00F61FFC">
        <w:tc>
          <w:tcPr>
            <w:tcW w:w="9350" w:type="dxa"/>
          </w:tcPr>
          <w:p w14:paraId="02AAC5A3" w14:textId="614D8241" w:rsidR="00F61FFC" w:rsidRDefault="00F61FFC">
            <w:pPr>
              <w:rPr>
                <w:rStyle w:val="Strong"/>
              </w:rPr>
            </w:pPr>
            <w:r>
              <w:rPr>
                <w:rStyle w:val="Strong"/>
              </w:rPr>
              <w:t>Figure S2. Spatial distribution of study sites by region and protection status.</w:t>
            </w:r>
            <w:r>
              <w:br/>
              <w:t xml:space="preserve">Map of the Baja California study sites included in the analysis. Point </w:t>
            </w:r>
            <w:proofErr w:type="spellStart"/>
            <w:r>
              <w:t>colour</w:t>
            </w:r>
            <w:proofErr w:type="spellEnd"/>
            <w:r>
              <w:t xml:space="preserve"> indicates protection status: no protection, officially protected, community reserve, or combined official and community protection. Point shape indicates region along the latitudinal gradient: North, Middle, and South. Officially protected sites correspond to the </w:t>
            </w:r>
            <w:proofErr w:type="spellStart"/>
            <w:r>
              <w:rPr>
                <w:rStyle w:val="Emphasis"/>
              </w:rPr>
              <w:t>Reserva</w:t>
            </w:r>
            <w:proofErr w:type="spellEnd"/>
            <w:r>
              <w:rPr>
                <w:rStyle w:val="Emphasis"/>
              </w:rPr>
              <w:t xml:space="preserve"> de la Biosfera Islas del </w:t>
            </w:r>
            <w:proofErr w:type="spellStart"/>
            <w:r>
              <w:rPr>
                <w:rStyle w:val="Emphasis"/>
              </w:rPr>
              <w:t>Pacífico</w:t>
            </w:r>
            <w:proofErr w:type="spellEnd"/>
            <w:r>
              <w:rPr>
                <w:rStyle w:val="Emphasis"/>
              </w:rPr>
              <w:t xml:space="preserve"> de la Península de Baja California</w:t>
            </w:r>
            <w:r w:rsidRPr="00F61FFC">
              <w:t xml:space="preserve"> (Aguirre-Muñoz &amp; Méndez Sánchez, 2017)</w:t>
            </w:r>
            <w:r>
              <w:t>. Community reserves indicate locally managed no-take or community-based conservation areas. Site labels show the individual monitoring locations used in the study. North arrow and scale bar are provided for spatial reference.</w:t>
            </w:r>
          </w:p>
        </w:tc>
      </w:tr>
    </w:tbl>
    <w:p w14:paraId="7E67F82B" w14:textId="3E8A8E56" w:rsidR="00F61FFC" w:rsidRDefault="00F61FFC">
      <w:pPr>
        <w:rPr>
          <w:rStyle w:val="Strong"/>
        </w:rPr>
      </w:pPr>
    </w:p>
    <w:p w14:paraId="5F546309" w14:textId="77777777" w:rsidR="00F61FFC" w:rsidRDefault="00F61FFC">
      <w:pPr>
        <w:rPr>
          <w:rStyle w:val="Stron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90EFC" w14:paraId="4CFC9BC5" w14:textId="77777777" w:rsidTr="00590EFC">
        <w:tc>
          <w:tcPr>
            <w:tcW w:w="9350" w:type="dxa"/>
          </w:tcPr>
          <w:p w14:paraId="27323A8B" w14:textId="56338DBA" w:rsidR="00590EFC" w:rsidRDefault="00590EFC">
            <w:pPr>
              <w:rPr>
                <w:rStyle w:val="Strong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2D0FA81" wp14:editId="7626E9D9">
                  <wp:extent cx="5943600" cy="3566160"/>
                  <wp:effectExtent l="0" t="0" r="0" b="2540"/>
                  <wp:docPr id="2086003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00330" name="Picture 2086003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6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EFC" w14:paraId="5A3733C1" w14:textId="77777777" w:rsidTr="00590EFC">
        <w:tc>
          <w:tcPr>
            <w:tcW w:w="9350" w:type="dxa"/>
          </w:tcPr>
          <w:p w14:paraId="11F0B407" w14:textId="350E8579" w:rsidR="00590EFC" w:rsidRPr="00590EFC" w:rsidRDefault="00590EFC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Figure S</w:t>
            </w:r>
            <w:r w:rsidR="00F61FFC">
              <w:rPr>
                <w:rStyle w:val="Strong"/>
              </w:rPr>
              <w:t>3</w:t>
            </w:r>
            <w:r>
              <w:rPr>
                <w:rStyle w:val="Strong"/>
              </w:rPr>
              <w:t>. Temporal trends in biomass-weighted mean body size and biomass turnover across reef fish functional groups and regions.</w:t>
            </w:r>
            <w:r>
              <w:t xml:space="preserve"> Lines represent generalized linear mixed model (GLMM) predictions for North, Middle, and South regions, separated by exploitation category and functional group. Biomass-weighted mean body size was modelled using Gamma GLMMs with log link functions, while biomass turnover was modelled using Gaussian GLMMs on log-transformed turnover values. Shaded ribbons indicate 95 % confidence intervals around model predictions.</w:t>
            </w:r>
          </w:p>
        </w:tc>
      </w:tr>
    </w:tbl>
    <w:p w14:paraId="318CD9A4" w14:textId="77777777" w:rsidR="00590EFC" w:rsidRDefault="00590EFC">
      <w:pPr>
        <w:rPr>
          <w:rStyle w:val="Strong"/>
        </w:rPr>
      </w:pPr>
    </w:p>
    <w:p w14:paraId="511BC5B7" w14:textId="77777777" w:rsidR="00590EFC" w:rsidRDefault="00590E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1FFC" w14:paraId="42BEACB9" w14:textId="77777777" w:rsidTr="00F61FFC">
        <w:tc>
          <w:tcPr>
            <w:tcW w:w="9350" w:type="dxa"/>
          </w:tcPr>
          <w:p w14:paraId="77459053" w14:textId="024A800E" w:rsidR="00F61FFC" w:rsidRDefault="00F61FFC">
            <w:r>
              <w:rPr>
                <w:noProof/>
              </w:rPr>
              <w:lastRenderedPageBreak/>
              <w:drawing>
                <wp:inline distT="0" distB="0" distL="0" distR="0" wp14:anchorId="7F1F4A89" wp14:editId="662CE59A">
                  <wp:extent cx="5943600" cy="3169920"/>
                  <wp:effectExtent l="0" t="0" r="0" b="5080"/>
                  <wp:docPr id="2530672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67284" name="Picture 2530672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16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FFC" w14:paraId="007443D8" w14:textId="77777777" w:rsidTr="00F61FFC">
        <w:tc>
          <w:tcPr>
            <w:tcW w:w="9350" w:type="dxa"/>
          </w:tcPr>
          <w:p w14:paraId="27F516B1" w14:textId="54B94CEE" w:rsidR="00F61FFC" w:rsidRDefault="00F61FFC">
            <w:r>
              <w:rPr>
                <w:rStyle w:val="Strong"/>
              </w:rPr>
              <w:t>Figure S4. Temporal trends in absolute micronutrient supply across reef fish assemblages.</w:t>
            </w:r>
            <w:r>
              <w:t xml:space="preserve"> Predicted trajectories from generalized linear mixed models (GLMMs) showing temporal variation in total micronutrient supply (mg ha</w:t>
            </w:r>
            <w:r>
              <w:rPr>
                <w:rFonts w:ascii="Cambria Math" w:hAnsi="Cambria Math" w:cs="Cambria Math"/>
              </w:rPr>
              <w:t>⁻</w:t>
            </w:r>
            <w:r>
              <w:t>¹) for six micronutrients across regions and exploitation categories. Lines represent model predictions and shaded ribbons indicate 95 % confidence intervals. Models were fitted using Gamma GLMMs with log link functions including Year × Region × exploitation interactions and environmental covariates.</w:t>
            </w:r>
          </w:p>
        </w:tc>
      </w:tr>
    </w:tbl>
    <w:p w14:paraId="208AB1DD" w14:textId="0935849C" w:rsidR="00590EFC" w:rsidRDefault="00590EFC"/>
    <w:p w14:paraId="092BC7AC" w14:textId="6F97D48B" w:rsidR="00F61FFC" w:rsidRDefault="00F61FF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1FFC" w14:paraId="57EA1249" w14:textId="77777777" w:rsidTr="00F61FFC">
        <w:tc>
          <w:tcPr>
            <w:tcW w:w="9350" w:type="dxa"/>
          </w:tcPr>
          <w:p w14:paraId="22C76E95" w14:textId="4C7B7D41" w:rsidR="00F61FFC" w:rsidRDefault="00F61FFC">
            <w:r>
              <w:rPr>
                <w:noProof/>
              </w:rPr>
              <w:lastRenderedPageBreak/>
              <w:drawing>
                <wp:inline distT="0" distB="0" distL="0" distR="0" wp14:anchorId="38810BEB" wp14:editId="0144CCE5">
                  <wp:extent cx="5943600" cy="3179445"/>
                  <wp:effectExtent l="0" t="0" r="0" b="0"/>
                  <wp:docPr id="169487378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873789" name="Picture 16948737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17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FFC" w14:paraId="3E574466" w14:textId="77777777" w:rsidTr="00F61FFC">
        <w:tc>
          <w:tcPr>
            <w:tcW w:w="9350" w:type="dxa"/>
          </w:tcPr>
          <w:p w14:paraId="70DC1A42" w14:textId="16FAA337" w:rsidR="00F61FFC" w:rsidRDefault="00F61FFC" w:rsidP="00F61FFC">
            <w:pPr>
              <w:pStyle w:val="NormalWeb"/>
            </w:pPr>
            <w:r>
              <w:rPr>
                <w:rStyle w:val="Strong"/>
                <w:rFonts w:eastAsiaTheme="majorEastAsia"/>
              </w:rPr>
              <w:t>Figure S5</w:t>
            </w:r>
            <w:r w:rsidR="00774583">
              <w:rPr>
                <w:rStyle w:val="Strong"/>
                <w:rFonts w:eastAsiaTheme="majorEastAsia"/>
              </w:rPr>
              <w:t>.</w:t>
            </w:r>
            <w:r>
              <w:rPr>
                <w:rStyle w:val="Strong"/>
                <w:rFonts w:eastAsiaTheme="majorEastAsia"/>
              </w:rPr>
              <w:t xml:space="preserve"> </w:t>
            </w:r>
            <w:proofErr w:type="gramStart"/>
            <w:r>
              <w:rPr>
                <w:rStyle w:val="Strong"/>
                <w:rFonts w:eastAsiaTheme="majorEastAsia"/>
              </w:rPr>
              <w:t>Non-metric</w:t>
            </w:r>
            <w:proofErr w:type="gramEnd"/>
            <w:r>
              <w:rPr>
                <w:rStyle w:val="Strong"/>
                <w:rFonts w:eastAsiaTheme="majorEastAsia"/>
              </w:rPr>
              <w:t xml:space="preserve"> multidimensional scaling (NMDS) ordination of benthic community composition across Baja California reefs.</w:t>
            </w:r>
            <w:r>
              <w:br/>
            </w:r>
            <w:r w:rsidRPr="00F61FFC">
              <w:rPr>
                <w:b/>
                <w:bCs/>
              </w:rPr>
              <w:t>(A)</w:t>
            </w:r>
            <w:r>
              <w:t xml:space="preserve"> NMDS ordination based on Bray–</w:t>
            </w:r>
            <w:proofErr w:type="gramStart"/>
            <w:r>
              <w:t>Curtis</w:t>
            </w:r>
            <w:proofErr w:type="gramEnd"/>
            <w:r>
              <w:t xml:space="preserve"> dissimilarities of combined algal and invertebrate functional group composition across transects. Points represent individual transects colored by region (North, Middle, South). Dashed ellipses indicate the 75 % confidence interval around regional centroids. Arrows represent the ten functional groups with the strongest contributions to community differentiation, scaled by vector length. Green vectors indicate algal functional </w:t>
            </w:r>
            <w:proofErr w:type="gramStart"/>
            <w:r>
              <w:t>groups</w:t>
            </w:r>
            <w:proofErr w:type="gramEnd"/>
            <w:r>
              <w:t xml:space="preserve"> and purple vectors indicate invertebrate functional groups. NMDS stress = 0.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>
              <w:t xml:space="preserve">, indicating a moderate two-dimensional representation of community structure. </w:t>
            </w:r>
            <w:r w:rsidRPr="00F61FFC">
              <w:rPr>
                <w:b/>
                <w:bCs/>
              </w:rPr>
              <w:t>(B)</w:t>
            </w:r>
            <w:r>
              <w:t xml:space="preserve"> NMDS ordination with fitted environmental vectors derived from </w:t>
            </w:r>
            <w:proofErr w:type="spellStart"/>
            <w:r>
              <w:rPr>
                <w:rStyle w:val="HTMLCode"/>
                <w:rFonts w:eastAsiaTheme="majorEastAsia"/>
              </w:rPr>
              <w:t>envfit</w:t>
            </w:r>
            <w:proofErr w:type="spellEnd"/>
            <w:r>
              <w:t xml:space="preserve"> analyses (999 permutations). Arrows indicate the direction and relative strength of correlations between benthic community composition and environmental variables, including depth, sea surface temperature (SST), and chlorophyll-a concentration. Vector labels show the corresponding coefficient of determination (r²) and permutation-based significance values.</w:t>
            </w:r>
          </w:p>
          <w:p w14:paraId="46E84099" w14:textId="77777777" w:rsidR="00F61FFC" w:rsidRDefault="00F61FFC" w:rsidP="00F61FFC">
            <w:pPr>
              <w:pStyle w:val="NormalWeb"/>
            </w:pPr>
            <w:r>
              <w:t>PERMANOVA analyses indicated strong regional structuring of benthic community composition (R² = 0.415, p = 0.001) and additional temporal variation among years (R² = 0.172, p = 0.001). Beta-dispersion analyses further showed significant differences in community dispersion among both regions (F = 80.08, p &lt; 0.001) and years (F = 7.00, p &lt; 0.001).</w:t>
            </w:r>
          </w:p>
          <w:p w14:paraId="49CC5149" w14:textId="77777777" w:rsidR="00F61FFC" w:rsidRDefault="00F61FFC"/>
        </w:tc>
      </w:tr>
    </w:tbl>
    <w:p w14:paraId="2EC1C824" w14:textId="77777777" w:rsidR="00F61FFC" w:rsidRDefault="00F61FFC"/>
    <w:sectPr w:rsidR="00F61F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FC"/>
    <w:rsid w:val="00590EFC"/>
    <w:rsid w:val="007715E6"/>
    <w:rsid w:val="00774583"/>
    <w:rsid w:val="007E16E9"/>
    <w:rsid w:val="009170A2"/>
    <w:rsid w:val="00B14B5A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92866"/>
  <w15:chartTrackingRefBased/>
  <w15:docId w15:val="{76A4FAD6-530A-C74F-B6C3-52E19811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E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E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E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E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E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E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E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E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EF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90EFC"/>
    <w:rPr>
      <w:b/>
      <w:bCs/>
    </w:rPr>
  </w:style>
  <w:style w:type="table" w:styleId="TableGrid">
    <w:name w:val="Table Grid"/>
    <w:basedOn w:val="TableNormal"/>
    <w:uiPriority w:val="39"/>
    <w:rsid w:val="0059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9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F61FFC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61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5</Pages>
  <Words>553</Words>
  <Characters>3361</Characters>
  <Application>Microsoft Office Word</Application>
  <DocSecurity>0</DocSecurity>
  <Lines>48</Lines>
  <Paragraphs>10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Filz</dc:creator>
  <cp:keywords/>
  <dc:description/>
  <cp:lastModifiedBy>Paulina Filz</cp:lastModifiedBy>
  <cp:revision>6</cp:revision>
  <dcterms:created xsi:type="dcterms:W3CDTF">2026-05-20T10:15:00Z</dcterms:created>
  <dcterms:modified xsi:type="dcterms:W3CDTF">2026-06-02T12:00:00Z</dcterms:modified>
</cp:coreProperties>
</file>