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ECC2" w14:textId="77777777" w:rsidR="00F14024" w:rsidRPr="0055446E" w:rsidRDefault="00F14024" w:rsidP="00F14024">
      <w:pPr>
        <w:jc w:val="both"/>
        <w:rPr>
          <w:rFonts w:ascii="Times New Roman" w:hAnsi="Times New Roman" w:cs="Times New Roman"/>
          <w:b/>
          <w:bCs/>
          <w:lang w:val="en-AU"/>
        </w:rPr>
      </w:pPr>
      <w:r w:rsidRPr="0055446E">
        <w:rPr>
          <w:rFonts w:ascii="Times New Roman" w:hAnsi="Times New Roman" w:cs="Times New Roman"/>
          <w:b/>
          <w:bCs/>
          <w:lang w:val="en-AU"/>
        </w:rPr>
        <w:t>Table S1. Classification, definitions, outcomes and imaging</w:t>
      </w:r>
    </w:p>
    <w:tbl>
      <w:tblPr>
        <w:tblStyle w:val="TableGrid"/>
        <w:tblW w:w="22108" w:type="dxa"/>
        <w:tblLayout w:type="fixed"/>
        <w:tblLook w:val="04A0" w:firstRow="1" w:lastRow="0" w:firstColumn="1" w:lastColumn="0" w:noHBand="0" w:noVBand="1"/>
      </w:tblPr>
      <w:tblGrid>
        <w:gridCol w:w="4421"/>
        <w:gridCol w:w="4422"/>
        <w:gridCol w:w="4421"/>
        <w:gridCol w:w="4422"/>
        <w:gridCol w:w="4422"/>
      </w:tblGrid>
      <w:tr w:rsidR="00F14024" w:rsidRPr="0055446E" w14:paraId="4D3471BD" w14:textId="77777777" w:rsidTr="00E54AE3">
        <w:trPr>
          <w:trHeight w:val="1247"/>
        </w:trPr>
        <w:tc>
          <w:tcPr>
            <w:tcW w:w="4421" w:type="dxa"/>
            <w:vAlign w:val="center"/>
          </w:tcPr>
          <w:p w14:paraId="665889E5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4422" w:type="dxa"/>
            <w:vAlign w:val="center"/>
            <w:hideMark/>
          </w:tcPr>
          <w:p w14:paraId="6DAEF19A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Classification</w:t>
            </w:r>
          </w:p>
        </w:tc>
        <w:tc>
          <w:tcPr>
            <w:tcW w:w="4421" w:type="dxa"/>
            <w:vAlign w:val="center"/>
            <w:hideMark/>
          </w:tcPr>
          <w:p w14:paraId="6B7791DC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Retinal region and lesion metrics</w:t>
            </w:r>
          </w:p>
        </w:tc>
        <w:tc>
          <w:tcPr>
            <w:tcW w:w="4422" w:type="dxa"/>
            <w:vAlign w:val="center"/>
            <w:hideMark/>
          </w:tcPr>
          <w:p w14:paraId="65239AEF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 outcome / severity definition</w:t>
            </w:r>
          </w:p>
        </w:tc>
        <w:tc>
          <w:tcPr>
            <w:tcW w:w="4422" w:type="dxa"/>
            <w:vAlign w:val="center"/>
            <w:hideMark/>
          </w:tcPr>
          <w:p w14:paraId="21FB9FF6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Imaging modality </w:t>
            </w:r>
          </w:p>
        </w:tc>
      </w:tr>
      <w:tr w:rsidR="00F14024" w:rsidRPr="0055446E" w14:paraId="3E9E35F8" w14:textId="77777777" w:rsidTr="00E54AE3">
        <w:trPr>
          <w:trHeight w:val="2294"/>
        </w:trPr>
        <w:tc>
          <w:tcPr>
            <w:tcW w:w="4421" w:type="dxa"/>
            <w:vAlign w:val="center"/>
          </w:tcPr>
          <w:p w14:paraId="6FFC4389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AU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Cherian et al. †</w:t>
            </w:r>
          </w:p>
        </w:tc>
        <w:tc>
          <w:tcPr>
            <w:tcW w:w="4422" w:type="dxa"/>
            <w:vAlign w:val="center"/>
            <w:hideMark/>
          </w:tcPr>
          <w:p w14:paraId="3BB7E3D8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</w:t>
            </w:r>
          </w:p>
        </w:tc>
        <w:tc>
          <w:tcPr>
            <w:tcW w:w="4421" w:type="dxa"/>
            <w:vAlign w:val="center"/>
            <w:hideMark/>
          </w:tcPr>
          <w:p w14:paraId="18AC9FBA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For a given lesion type, PPL in a peripheral field if &gt;50% of the graded lesion is in the peripheral field vs ETDRS field; PPL present if ≥1 peripheral field in either one or both eyes shows predominance vs ETDRS grid</w:t>
            </w:r>
          </w:p>
        </w:tc>
        <w:tc>
          <w:tcPr>
            <w:tcW w:w="4422" w:type="dxa"/>
            <w:vAlign w:val="center"/>
            <w:hideMark/>
          </w:tcPr>
          <w:p w14:paraId="31785646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Presence of PPL (yes/no) based on peripheral vs ETDRS lesion predominance; determinants of PPL assessed (systemic comorbidities)</w:t>
            </w:r>
          </w:p>
        </w:tc>
        <w:tc>
          <w:tcPr>
            <w:tcW w:w="4422" w:type="dxa"/>
            <w:vAlign w:val="center"/>
            <w:hideMark/>
          </w:tcPr>
          <w:p w14:paraId="70927BA4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200° UWF colour imaging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 Plus)</w:t>
            </w:r>
          </w:p>
        </w:tc>
      </w:tr>
      <w:tr w:rsidR="00F14024" w:rsidRPr="0055446E" w14:paraId="3A95B371" w14:textId="77777777" w:rsidTr="00E54AE3">
        <w:tc>
          <w:tcPr>
            <w:tcW w:w="4421" w:type="dxa"/>
            <w:vAlign w:val="center"/>
          </w:tcPr>
          <w:p w14:paraId="56893A71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 et al. ‡</w:t>
            </w:r>
          </w:p>
        </w:tc>
        <w:tc>
          <w:tcPr>
            <w:tcW w:w="4422" w:type="dxa"/>
            <w:vAlign w:val="center"/>
            <w:hideMark/>
          </w:tcPr>
          <w:p w14:paraId="6993E899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ICDR </w:t>
            </w:r>
          </w:p>
        </w:tc>
        <w:tc>
          <w:tcPr>
            <w:tcW w:w="4421" w:type="dxa"/>
            <w:vAlign w:val="center"/>
            <w:hideMark/>
          </w:tcPr>
          <w:p w14:paraId="6A4F36D5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vs PCL classified using four quantitative methods (single-field and global; frequency- and surface-area-based, ≥0.1 mm² threshold) comparing peripheral fields with corresponding ETDRS fields</w:t>
            </w:r>
          </w:p>
        </w:tc>
        <w:tc>
          <w:tcPr>
            <w:tcW w:w="4422" w:type="dxa"/>
            <w:vAlign w:val="center"/>
            <w:hideMark/>
          </w:tcPr>
          <w:p w14:paraId="7BF76FE1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Cross-sectional comparison of lesion distribution across ethnic groups; analyses repeated in treatment-naïve eyes and eyes without PDR</w:t>
            </w:r>
          </w:p>
        </w:tc>
        <w:tc>
          <w:tcPr>
            <w:tcW w:w="4422" w:type="dxa"/>
            <w:vAlign w:val="center"/>
            <w:hideMark/>
          </w:tcPr>
          <w:p w14:paraId="5E8BF728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Non-mydriatic 200° UWF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pseudocolour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Daytona;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P200Tx)</w:t>
            </w:r>
          </w:p>
        </w:tc>
      </w:tr>
      <w:tr w:rsidR="00F14024" w:rsidRPr="0055446E" w14:paraId="7737DEA1" w14:textId="77777777" w:rsidTr="00E54AE3">
        <w:tc>
          <w:tcPr>
            <w:tcW w:w="4421" w:type="dxa"/>
            <w:vAlign w:val="center"/>
          </w:tcPr>
          <w:p w14:paraId="1C11BDD6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Verma et al. §</w:t>
            </w:r>
          </w:p>
        </w:tc>
        <w:tc>
          <w:tcPr>
            <w:tcW w:w="4422" w:type="dxa"/>
            <w:vAlign w:val="center"/>
            <w:hideMark/>
          </w:tcPr>
          <w:p w14:paraId="6FAC6EAA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</w:t>
            </w:r>
          </w:p>
        </w:tc>
        <w:tc>
          <w:tcPr>
            <w:tcW w:w="4421" w:type="dxa"/>
            <w:vAlign w:val="center"/>
            <w:hideMark/>
          </w:tcPr>
          <w:p w14:paraId="451E6B3D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if &gt;50% of lesion area in ≥1 peripheral field compared with corresponding ETDRS field</w:t>
            </w:r>
          </w:p>
        </w:tc>
        <w:tc>
          <w:tcPr>
            <w:tcW w:w="4422" w:type="dxa"/>
            <w:vAlign w:val="center"/>
            <w:hideMark/>
          </w:tcPr>
          <w:p w14:paraId="3B04EA30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Cross-sectional analysis of PPL distribution across DR severity</w:t>
            </w:r>
          </w:p>
        </w:tc>
        <w:tc>
          <w:tcPr>
            <w:tcW w:w="4422" w:type="dxa"/>
            <w:vAlign w:val="center"/>
            <w:hideMark/>
          </w:tcPr>
          <w:p w14:paraId="469903E9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Mydriatic 200° UWF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pseudocolour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 Plus)</w:t>
            </w:r>
          </w:p>
        </w:tc>
      </w:tr>
      <w:tr w:rsidR="00F14024" w:rsidRPr="0055446E" w14:paraId="17FC91A0" w14:textId="77777777" w:rsidTr="00E54AE3">
        <w:tc>
          <w:tcPr>
            <w:tcW w:w="4421" w:type="dxa"/>
            <w:vAlign w:val="center"/>
          </w:tcPr>
          <w:p w14:paraId="3564B04A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Silva et al., 2015¶</w:t>
            </w:r>
          </w:p>
        </w:tc>
        <w:tc>
          <w:tcPr>
            <w:tcW w:w="4422" w:type="dxa"/>
            <w:vAlign w:val="center"/>
            <w:hideMark/>
          </w:tcPr>
          <w:p w14:paraId="72CBCCA3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ETDRS </w:t>
            </w:r>
          </w:p>
        </w:tc>
        <w:tc>
          <w:tcPr>
            <w:tcW w:w="4421" w:type="dxa"/>
            <w:vAlign w:val="center"/>
            <w:hideMark/>
          </w:tcPr>
          <w:p w14:paraId="0F768D8B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as ≥ 50% of graded lesion located outside ETDRS 7-field</w:t>
            </w:r>
          </w:p>
        </w:tc>
        <w:tc>
          <w:tcPr>
            <w:tcW w:w="4422" w:type="dxa"/>
            <w:vAlign w:val="center"/>
            <w:hideMark/>
          </w:tcPr>
          <w:p w14:paraId="5220B894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≥ 2-step worsening on ETDRS and/or need for DR treatment</w:t>
            </w:r>
          </w:p>
        </w:tc>
        <w:tc>
          <w:tcPr>
            <w:tcW w:w="4422" w:type="dxa"/>
            <w:vAlign w:val="center"/>
            <w:hideMark/>
          </w:tcPr>
          <w:p w14:paraId="4C55F09D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UWF colour fundus photography ± FA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200Tx)</w:t>
            </w:r>
          </w:p>
        </w:tc>
      </w:tr>
      <w:tr w:rsidR="00F14024" w:rsidRPr="0055446E" w14:paraId="4C62AFAA" w14:textId="77777777" w:rsidTr="00E54AE3">
        <w:trPr>
          <w:trHeight w:val="1230"/>
        </w:trPr>
        <w:tc>
          <w:tcPr>
            <w:tcW w:w="4421" w:type="dxa"/>
            <w:vAlign w:val="center"/>
          </w:tcPr>
          <w:p w14:paraId="4F6B71C1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Nicholson et al. ‡‡</w:t>
            </w:r>
          </w:p>
        </w:tc>
        <w:tc>
          <w:tcPr>
            <w:tcW w:w="4422" w:type="dxa"/>
            <w:vAlign w:val="center"/>
            <w:hideMark/>
          </w:tcPr>
          <w:p w14:paraId="67F7CFA7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ETDRS </w:t>
            </w:r>
          </w:p>
        </w:tc>
        <w:tc>
          <w:tcPr>
            <w:tcW w:w="4421" w:type="dxa"/>
            <w:vAlign w:val="center"/>
            <w:hideMark/>
          </w:tcPr>
          <w:p w14:paraId="28E63201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UWF-FA–defined retinal non-perfusion quantified using concentric rings (~5–20 disc diameters from fovea); posterior pole (rings M–1) vs peripheral retina (rings 2–4)</w:t>
            </w:r>
          </w:p>
        </w:tc>
        <w:tc>
          <w:tcPr>
            <w:tcW w:w="4422" w:type="dxa"/>
            <w:vAlign w:val="center"/>
            <w:hideMark/>
          </w:tcPr>
          <w:p w14:paraId="22191F44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PDR vs severe NPDR; NVE vs NVD</w:t>
            </w:r>
          </w:p>
        </w:tc>
        <w:tc>
          <w:tcPr>
            <w:tcW w:w="4422" w:type="dxa"/>
            <w:vAlign w:val="center"/>
            <w:hideMark/>
          </w:tcPr>
          <w:p w14:paraId="38D13172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200° UWF-FA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P200Tx)</w:t>
            </w:r>
          </w:p>
        </w:tc>
      </w:tr>
      <w:tr w:rsidR="00F14024" w:rsidRPr="0055446E" w14:paraId="4DCBB5DD" w14:textId="77777777" w:rsidTr="00E54AE3">
        <w:tc>
          <w:tcPr>
            <w:tcW w:w="4421" w:type="dxa"/>
            <w:vAlign w:val="center"/>
          </w:tcPr>
          <w:p w14:paraId="00F9F104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Stino</w:t>
            </w:r>
            <w:proofErr w:type="spellEnd"/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al.††</w:t>
            </w:r>
          </w:p>
        </w:tc>
        <w:tc>
          <w:tcPr>
            <w:tcW w:w="4422" w:type="dxa"/>
            <w:vAlign w:val="center"/>
            <w:hideMark/>
          </w:tcPr>
          <w:p w14:paraId="0F9FDB48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 / ETDRS</w:t>
            </w:r>
          </w:p>
        </w:tc>
        <w:tc>
          <w:tcPr>
            <w:tcW w:w="4421" w:type="dxa"/>
            <w:vAlign w:val="center"/>
            <w:hideMark/>
          </w:tcPr>
          <w:p w14:paraId="02AC0ECF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Peripheral retinal involvement assessed quantitatively: wide-field OCT-A–derived non-perfusion indices (%) across predefined peripheral sectors; UWF colour used for lesion localisation, but no binary PPL classification applied</w:t>
            </w:r>
          </w:p>
        </w:tc>
        <w:tc>
          <w:tcPr>
            <w:tcW w:w="4422" w:type="dxa"/>
            <w:vAlign w:val="center"/>
            <w:hideMark/>
          </w:tcPr>
          <w:p w14:paraId="1DC0DC47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Cross-sectional DR severity (ICDR stage) at study visit; associations with peripheral non-perfusion metrics</w:t>
            </w:r>
          </w:p>
        </w:tc>
        <w:tc>
          <w:tcPr>
            <w:tcW w:w="4422" w:type="dxa"/>
            <w:vAlign w:val="center"/>
            <w:hideMark/>
          </w:tcPr>
          <w:p w14:paraId="0ACF4D0E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200° UWF colour (Zeiss Clarus 700); 65° WF-OCTA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PlexElite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prototype)</w:t>
            </w:r>
          </w:p>
        </w:tc>
      </w:tr>
      <w:tr w:rsidR="00F14024" w:rsidRPr="0055446E" w14:paraId="02E37EA3" w14:textId="77777777" w:rsidTr="00E54AE3">
        <w:tc>
          <w:tcPr>
            <w:tcW w:w="4421" w:type="dxa"/>
            <w:vAlign w:val="center"/>
          </w:tcPr>
          <w:p w14:paraId="1B0CC215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Silva et al., 2022¶¶</w:t>
            </w:r>
          </w:p>
        </w:tc>
        <w:tc>
          <w:tcPr>
            <w:tcW w:w="4422" w:type="dxa"/>
            <w:vAlign w:val="center"/>
            <w:hideMark/>
          </w:tcPr>
          <w:p w14:paraId="537E52E1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ETDRS / DRSS</w:t>
            </w:r>
          </w:p>
        </w:tc>
        <w:tc>
          <w:tcPr>
            <w:tcW w:w="4421" w:type="dxa"/>
            <w:vAlign w:val="center"/>
            <w:hideMark/>
          </w:tcPr>
          <w:p w14:paraId="303E64DF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FA-PPL: ≥50% of lesion area outside ETDRS 7-field on stereographically projected UWF-FA; FA-PNP: NPA and NPI quantified within concentric zones (posterior pole, mid-periphery, far periphery)</w:t>
            </w:r>
          </w:p>
        </w:tc>
        <w:tc>
          <w:tcPr>
            <w:tcW w:w="4422" w:type="dxa"/>
            <w:vAlign w:val="center"/>
            <w:hideMark/>
          </w:tcPr>
          <w:p w14:paraId="64B07E66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Primary outcome: ≥2-step DRSS worsening and/or initiation of DR treatment during 4-year follow-up (PRP, anti-VEGF, vitrectomy)</w:t>
            </w:r>
          </w:p>
        </w:tc>
        <w:tc>
          <w:tcPr>
            <w:tcW w:w="4422" w:type="dxa"/>
            <w:vAlign w:val="center"/>
            <w:hideMark/>
          </w:tcPr>
          <w:p w14:paraId="61EE0284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200° UWF-FA and UWF colour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P200Tx)</w:t>
            </w:r>
          </w:p>
        </w:tc>
      </w:tr>
      <w:tr w:rsidR="00F14024" w:rsidRPr="0055446E" w14:paraId="2B947559" w14:textId="77777777" w:rsidTr="00E54AE3">
        <w:tc>
          <w:tcPr>
            <w:tcW w:w="4421" w:type="dxa"/>
            <w:vAlign w:val="center"/>
          </w:tcPr>
          <w:p w14:paraId="6C7DF047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Marcus et al., 2022*</w:t>
            </w:r>
          </w:p>
        </w:tc>
        <w:tc>
          <w:tcPr>
            <w:tcW w:w="4422" w:type="dxa"/>
            <w:vAlign w:val="center"/>
            <w:hideMark/>
          </w:tcPr>
          <w:p w14:paraId="3677D56C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ETDRS / DRSS</w:t>
            </w:r>
          </w:p>
        </w:tc>
        <w:tc>
          <w:tcPr>
            <w:tcW w:w="4421" w:type="dxa"/>
            <w:vAlign w:val="center"/>
            <w:hideMark/>
          </w:tcPr>
          <w:p w14:paraId="2E4363EE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as DR lesions with greater extent outside vs inside the ETDRS 7-field region on UWF imaging (assessed separately on UWF-colour and UWF-FA)</w:t>
            </w:r>
          </w:p>
        </w:tc>
        <w:tc>
          <w:tcPr>
            <w:tcW w:w="4422" w:type="dxa"/>
            <w:vAlign w:val="center"/>
            <w:hideMark/>
          </w:tcPr>
          <w:p w14:paraId="6A5D772D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Primary outcome: ≥2-step worsening on DRSS and/or receipt of DR treatment during follow-up (up to 4 years)</w:t>
            </w:r>
          </w:p>
        </w:tc>
        <w:tc>
          <w:tcPr>
            <w:tcW w:w="4422" w:type="dxa"/>
            <w:vAlign w:val="center"/>
            <w:hideMark/>
          </w:tcPr>
          <w:p w14:paraId="1EB1F1C3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200° UWF colour and UWF-FA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P200Tx)</w:t>
            </w:r>
          </w:p>
        </w:tc>
      </w:tr>
      <w:tr w:rsidR="00F14024" w:rsidRPr="0055446E" w14:paraId="15F45303" w14:textId="77777777" w:rsidTr="00E54AE3">
        <w:tc>
          <w:tcPr>
            <w:tcW w:w="4421" w:type="dxa"/>
            <w:vAlign w:val="center"/>
          </w:tcPr>
          <w:p w14:paraId="796690F3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Zhuang et al., 2023†††</w:t>
            </w:r>
          </w:p>
        </w:tc>
        <w:tc>
          <w:tcPr>
            <w:tcW w:w="4422" w:type="dxa"/>
            <w:vAlign w:val="center"/>
            <w:hideMark/>
          </w:tcPr>
          <w:p w14:paraId="6ED3AE44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</w:t>
            </w:r>
          </w:p>
        </w:tc>
        <w:tc>
          <w:tcPr>
            <w:tcW w:w="4421" w:type="dxa"/>
            <w:vAlign w:val="center"/>
            <w:hideMark/>
          </w:tcPr>
          <w:p w14:paraId="49D1476F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using single-field method: presence of ≥1 peripheral UWF field (fields 3–7) with greater lesion burden than its adjacent ETDRS 7-field</w:t>
            </w:r>
          </w:p>
        </w:tc>
        <w:tc>
          <w:tcPr>
            <w:tcW w:w="4422" w:type="dxa"/>
            <w:vAlign w:val="center"/>
            <w:hideMark/>
          </w:tcPr>
          <w:p w14:paraId="7CAE5A57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Cross-sectional comparison of OCTA metrics and flicker ERG parameters between eyes with vs without PPL</w:t>
            </w:r>
          </w:p>
        </w:tc>
        <w:tc>
          <w:tcPr>
            <w:tcW w:w="4422" w:type="dxa"/>
            <w:vAlign w:val="center"/>
            <w:hideMark/>
          </w:tcPr>
          <w:p w14:paraId="47CCC6D2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UWF colour imaging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Daytona); OCT-A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AngioVue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); flicker ERG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RETeval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14024" w:rsidRPr="0055446E" w14:paraId="0A5A4265" w14:textId="77777777" w:rsidTr="00E54AE3">
        <w:tc>
          <w:tcPr>
            <w:tcW w:w="4421" w:type="dxa"/>
            <w:vAlign w:val="center"/>
          </w:tcPr>
          <w:p w14:paraId="59216312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Manafi et al., 2024§§§</w:t>
            </w:r>
          </w:p>
        </w:tc>
        <w:tc>
          <w:tcPr>
            <w:tcW w:w="4422" w:type="dxa"/>
            <w:vAlign w:val="center"/>
            <w:hideMark/>
          </w:tcPr>
          <w:p w14:paraId="70E2803A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</w:t>
            </w:r>
          </w:p>
        </w:tc>
        <w:tc>
          <w:tcPr>
            <w:tcW w:w="4421" w:type="dxa"/>
            <w:vAlign w:val="center"/>
            <w:hideMark/>
          </w:tcPr>
          <w:p w14:paraId="3C5E3758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as any peripheral ETDRS extended field (fields 3–7) showing greater lesion severity or extent compared with its corresponding central ETDRS field</w:t>
            </w:r>
          </w:p>
        </w:tc>
        <w:tc>
          <w:tcPr>
            <w:tcW w:w="4422" w:type="dxa"/>
            <w:vAlign w:val="center"/>
            <w:hideMark/>
          </w:tcPr>
          <w:p w14:paraId="057DF1A1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N/A (cross-sectional analysis only)</w:t>
            </w:r>
          </w:p>
        </w:tc>
        <w:tc>
          <w:tcPr>
            <w:tcW w:w="4422" w:type="dxa"/>
            <w:vAlign w:val="center"/>
            <w:hideMark/>
          </w:tcPr>
          <w:p w14:paraId="4BAB6BFA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200° UWF colour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 Plus); OCT-A 6×6 mm (Cirrus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AngioPlex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14024" w:rsidRPr="0055446E" w14:paraId="166E8650" w14:textId="77777777" w:rsidTr="00E54AE3">
        <w:tc>
          <w:tcPr>
            <w:tcW w:w="4421" w:type="dxa"/>
            <w:vAlign w:val="center"/>
          </w:tcPr>
          <w:p w14:paraId="43B1D7BC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Hafner et al.</w:t>
            </w: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§§</w:t>
            </w:r>
          </w:p>
        </w:tc>
        <w:tc>
          <w:tcPr>
            <w:tcW w:w="4422" w:type="dxa"/>
            <w:vAlign w:val="center"/>
            <w:hideMark/>
          </w:tcPr>
          <w:p w14:paraId="18AE263C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ICDR</w:t>
            </w:r>
          </w:p>
        </w:tc>
        <w:tc>
          <w:tcPr>
            <w:tcW w:w="4421" w:type="dxa"/>
            <w:vAlign w:val="center"/>
            <w:hideMark/>
          </w:tcPr>
          <w:p w14:paraId="6BFD8497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Peripheral lesions defined as retinal haemorrhages and/or microaneurysms located outside the 45° fundus photograph template when compared with 200° UWF imaging</w:t>
            </w:r>
          </w:p>
        </w:tc>
        <w:tc>
          <w:tcPr>
            <w:tcW w:w="4422" w:type="dxa"/>
            <w:vAlign w:val="center"/>
            <w:hideMark/>
          </w:tcPr>
          <w:p w14:paraId="77D488EB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PL on UWF imaging</w:t>
            </w:r>
          </w:p>
        </w:tc>
        <w:tc>
          <w:tcPr>
            <w:tcW w:w="4422" w:type="dxa"/>
            <w:vAlign w:val="center"/>
            <w:hideMark/>
          </w:tcPr>
          <w:p w14:paraId="2F958726" w14:textId="77777777" w:rsidR="00F14024" w:rsidRPr="0055446E" w:rsidRDefault="00F14024" w:rsidP="00E54AE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45° colour fundus photography (DRI Triton); 200° UWF-colour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Daytona); OCT (Heidelberg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Spectralis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); OCT-A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RTVue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XR Avanti); retinal oximetry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Oxymap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14024" w:rsidRPr="0055446E" w14:paraId="27132CB0" w14:textId="77777777" w:rsidTr="00E54AE3">
        <w:tc>
          <w:tcPr>
            <w:tcW w:w="4421" w:type="dxa"/>
            <w:vAlign w:val="center"/>
          </w:tcPr>
          <w:p w14:paraId="292365CF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Ashraf et al</w:t>
            </w:r>
          </w:p>
        </w:tc>
        <w:tc>
          <w:tcPr>
            <w:tcW w:w="4422" w:type="dxa"/>
            <w:vAlign w:val="center"/>
          </w:tcPr>
          <w:p w14:paraId="4E057942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ETDRS</w:t>
            </w:r>
          </w:p>
        </w:tc>
        <w:tc>
          <w:tcPr>
            <w:tcW w:w="4421" w:type="dxa"/>
            <w:vAlign w:val="center"/>
          </w:tcPr>
          <w:p w14:paraId="4309C89F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PPL defined as &gt;50% of DR lesions outside the ETDRS seven-field area on stereographically projected 200° UWF colour images; MA and IRMA counts graded across posterior pole, midperiphery and far periphery</w:t>
            </w:r>
          </w:p>
        </w:tc>
        <w:tc>
          <w:tcPr>
            <w:tcW w:w="4422" w:type="dxa"/>
            <w:vAlign w:val="center"/>
          </w:tcPr>
          <w:p w14:paraId="696247F6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Cross-sectional comparison of central OCT-A vessel density across DR severity strata, stratified by PPL presence; no longitudinal outcome</w:t>
            </w:r>
          </w:p>
        </w:tc>
        <w:tc>
          <w:tcPr>
            <w:tcW w:w="4422" w:type="dxa"/>
            <w:vAlign w:val="center"/>
          </w:tcPr>
          <w:p w14:paraId="7A6F9E27" w14:textId="77777777" w:rsidR="00F14024" w:rsidRPr="0055446E" w:rsidRDefault="00F14024" w:rsidP="00E54AE3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Mydriatic 200° UWF colour imaging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Optos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Daytona); 3 × 3 mm macular OCT-A (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RTVue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XR Avanti,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Optovue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) with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AngioVue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analysis and PAR-OCTA projection artefact removal</w:t>
            </w:r>
          </w:p>
        </w:tc>
      </w:tr>
      <w:tr w:rsidR="00F14024" w:rsidRPr="0055446E" w14:paraId="06514614" w14:textId="77777777" w:rsidTr="00E54AE3">
        <w:tc>
          <w:tcPr>
            <w:tcW w:w="22108" w:type="dxa"/>
            <w:gridSpan w:val="5"/>
            <w:vAlign w:val="center"/>
          </w:tcPr>
          <w:p w14:paraId="25A632C8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Abbreviations:</w:t>
            </w: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DR, diabetic retinopathy; NPDR, non-proliferative diabetic retinopathy; PDR, proliferative diabetic retinopathy; DRSS, Diabetic Retinopathy Severity Scale; ICDR, International Clinical Diabetic Retinopathy Disease Severity Scale; ETDRS, Early Treatment Diabetic Retinopathy Study; PPL, predominantly peripheral lesions; PPDR, primarily peripheral diabetic retinopathy; PL, peripheral lesions; PNP, peripheral non-perfusion; NPA, non-perfusion area; NPI, non-perfusion index; MA, microaneurysm; IRMA, intraretinal microvascular abnormalities; NVD, neovascularisation of the disc; NVE, neovascularisation elsewhere; PRP,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panretinal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photocoagulation; UWF, ultra-widefield; FA, fluorescein angiography; OCT, optical coherence tomography; OCT-A, optical coherence tomography angiography; SCP, superficial capillary plexus; ICP, intermediate capillary plexus; DCP, deep capillary plexus; FAZ, foveal avascular zone; PAR-OCTA, projection artefact removal OCT-A; NR, not reported; T1DM, type 1 diabetes mellitus; T2DM, type 2 diabetes mellitus.</w:t>
            </w:r>
          </w:p>
          <w:p w14:paraId="73F6EA23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1257E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† Cherian et al. reported baseline characteristics per participant. PPL was assessed based on whether either eye met the PPL criterion (&gt;= 1 peripheral field with predominance).</w:t>
            </w:r>
          </w:p>
          <w:p w14:paraId="0F883874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§ Verma et al. included H/Ma, cotton wool spots, IRMA, neovascularisation (disc/elsewhere), and fibrovascular proliferation for PPL determination. Hard exudates were excluded, and vitreous haemorrhage or laser scars alone (without the listed lesions) were not considered in the analysis.</w:t>
            </w:r>
          </w:p>
          <w:p w14:paraId="77EA8045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†† </w:t>
            </w:r>
            <w:proofErr w:type="spellStart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Stino</w:t>
            </w:r>
            <w:proofErr w:type="spellEnd"/>
            <w:r w:rsidRPr="0055446E">
              <w:rPr>
                <w:rFonts w:ascii="Times New Roman" w:hAnsi="Times New Roman" w:cs="Times New Roman"/>
                <w:sz w:val="20"/>
                <w:szCs w:val="20"/>
              </w:rPr>
              <w:t xml:space="preserve"> et al. quantified peripheral retinal non-perfusion using wide-field OCT-A indices across predefined peripheral sectors. Predominantly peripheral lesions (PPL) were not classified as a binary exposure (e.g., ≥ 50% rule); analyses were cross-sectional and eye-level.</w:t>
            </w:r>
          </w:p>
          <w:p w14:paraId="7A47D7DD" w14:textId="77777777" w:rsidR="00F14024" w:rsidRPr="007277D9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7D9">
              <w:rPr>
                <w:rFonts w:ascii="Times New Roman" w:hAnsi="Times New Roman" w:cs="Times New Roman"/>
                <w:sz w:val="20"/>
                <w:szCs w:val="20"/>
              </w:rPr>
              <w:t>¶¶ Silva et al. 2022 (Protocol AA) analysed data at the eye level (508 eyes with NPDR and gradable UWF-FA nonperfusion at baseline). All included eyes had non-proliferative diabetic retinopathy at baseline; eyes with proliferative DR were excluded. Predominantly peripheral lesions and retinal non-perfusion metrics were derived from UWF-fluorescein angiography, not OCT-A. This is a companion paper to Marcus et al. 2022 from the same Protocol AA cohort and does not represent an independent dataset.</w:t>
            </w:r>
          </w:p>
          <w:p w14:paraId="313142C8" w14:textId="77777777" w:rsidR="00F14024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7D9">
              <w:rPr>
                <w:rFonts w:ascii="Times New Roman" w:hAnsi="Times New Roman" w:cs="Times New Roman"/>
                <w:sz w:val="20"/>
                <w:szCs w:val="20"/>
              </w:rPr>
              <w:t>* Marcus et al. 2022 (Protocol AA) analysed data at the eye level (544 eyes with NPDR and gradable PPL status at baseline). PPL was assessed separately on UWF-colour and UWF-FA images. This is a companion paper to Silva et al. 2022 from the same Protocol AA cohort and does not represent an independent dataset.</w:t>
            </w:r>
          </w:p>
          <w:p w14:paraId="49DBB21F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§§§ Manafi et al. assessed lesion distribution at the eye level by comparing peripheral ETDRS extended fields (3-7) with corresponding central ETDRS fields. Lesion area was not quantified, and no longitudinal outcome was assessed.</w:t>
            </w:r>
          </w:p>
          <w:p w14:paraId="0C4D2356" w14:textId="77777777" w:rsidR="00F14024" w:rsidRPr="0055446E" w:rsidRDefault="00F14024" w:rsidP="00E54AE3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446E">
              <w:rPr>
                <w:rFonts w:ascii="Times New Roman" w:hAnsi="Times New Roman" w:cs="Times New Roman"/>
                <w:sz w:val="20"/>
                <w:szCs w:val="20"/>
              </w:rPr>
              <w:t>§§ Peripheral lesions were defined as haemorrhages and/or microaneurysms located anterior to the 45-degree fundus photograph template on ultra-widefield imaging; eye-level analyses were performed.</w:t>
            </w:r>
          </w:p>
        </w:tc>
      </w:tr>
    </w:tbl>
    <w:p w14:paraId="76FA2AB4" w14:textId="77777777" w:rsidR="00F14024" w:rsidRPr="0055446E" w:rsidRDefault="00F14024" w:rsidP="00F14024">
      <w:pPr>
        <w:rPr>
          <w:rFonts w:ascii="Times New Roman" w:hAnsi="Times New Roman" w:cs="Times New Roman"/>
        </w:rPr>
      </w:pPr>
    </w:p>
    <w:p w14:paraId="7645397E" w14:textId="77777777" w:rsidR="00F14024" w:rsidRPr="0055446E" w:rsidRDefault="00F14024" w:rsidP="00F14024">
      <w:pPr>
        <w:jc w:val="both"/>
        <w:rPr>
          <w:rFonts w:ascii="Times New Roman" w:hAnsi="Times New Roman" w:cs="Times New Roman"/>
        </w:rPr>
      </w:pPr>
    </w:p>
    <w:p w14:paraId="54AAE541" w14:textId="77777777" w:rsidR="008B07A6" w:rsidRDefault="008B07A6"/>
    <w:sectPr w:rsidR="008B07A6" w:rsidSect="00F1402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24"/>
    <w:rsid w:val="00066677"/>
    <w:rsid w:val="003A4E89"/>
    <w:rsid w:val="00556784"/>
    <w:rsid w:val="008B07A6"/>
    <w:rsid w:val="00987B63"/>
    <w:rsid w:val="00B80868"/>
    <w:rsid w:val="00D31E7D"/>
    <w:rsid w:val="00F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CC6E"/>
  <w15:chartTrackingRefBased/>
  <w15:docId w15:val="{CEF55E39-156A-4DA2-A74D-42A87C4C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024"/>
    <w:pPr>
      <w:spacing w:line="279" w:lineRule="auto"/>
    </w:pPr>
    <w:rPr>
      <w:rFonts w:eastAsiaTheme="minorEastAsia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0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0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0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0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0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0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0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0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0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4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0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4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02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4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024"/>
    <w:pPr>
      <w:spacing w:line="278" w:lineRule="auto"/>
      <w:ind w:left="72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4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0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4024"/>
    <w:pPr>
      <w:spacing w:after="0" w:line="240" w:lineRule="auto"/>
    </w:pPr>
    <w:rPr>
      <w:szCs w:val="30"/>
      <w:lang w:val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2026-06-03T06:06:00Z</dcterms:created>
  <dcterms:modified xsi:type="dcterms:W3CDTF">2026-06-03T06:06:00Z</dcterms:modified>
</cp:coreProperties>
</file>