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33D3" w14:textId="77777777" w:rsidR="007A1C94" w:rsidRDefault="007A1C94" w:rsidP="007A1C94">
      <w:pPr>
        <w:ind w:left="142" w:right="-188"/>
        <w:rPr>
          <w:rFonts w:eastAsia="Times New Roman"/>
        </w:rPr>
      </w:pPr>
    </w:p>
    <w:p w14:paraId="2447E0EC" w14:textId="77777777" w:rsidR="007A1C94" w:rsidRDefault="007A1C94" w:rsidP="007A1C94">
      <w:pPr>
        <w:ind w:left="142" w:right="-188"/>
        <w:rPr>
          <w:rFonts w:eastAsia="Times New Roman"/>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80" w:firstRow="0" w:lastRow="0" w:firstColumn="1" w:lastColumn="0" w:noHBand="1" w:noVBand="1"/>
      </w:tblPr>
      <w:tblGrid>
        <w:gridCol w:w="9015"/>
      </w:tblGrid>
      <w:tr w:rsidR="007A1C94" w14:paraId="4EC5696A" w14:textId="77777777" w:rsidTr="00176649">
        <w:trPr>
          <w:trHeight w:val="300"/>
        </w:trPr>
        <w:tc>
          <w:tcPr>
            <w:tcW w:w="9015" w:type="dxa"/>
            <w:tcBorders>
              <w:top w:val="none" w:sz="12" w:space="0" w:color="000000" w:themeColor="text1"/>
              <w:left w:val="none" w:sz="12" w:space="0" w:color="000000" w:themeColor="text1"/>
              <w:bottom w:val="single" w:sz="12" w:space="0" w:color="000000" w:themeColor="text1"/>
              <w:right w:val="none" w:sz="12" w:space="0" w:color="000000" w:themeColor="text1"/>
            </w:tcBorders>
          </w:tcPr>
          <w:p w14:paraId="748C8B35" w14:textId="77777777" w:rsidR="007A1C94" w:rsidRDefault="007A1C94" w:rsidP="00176649">
            <w:pPr>
              <w:shd w:val="clear" w:color="auto" w:fill="FFFFFF" w:themeFill="background1"/>
              <w:spacing w:after="160"/>
              <w:ind w:left="142" w:right="-188"/>
            </w:pPr>
            <w:r w:rsidRPr="47688AD0">
              <w:rPr>
                <w:rFonts w:eastAsia="Times New Roman"/>
                <w:b/>
                <w:bCs/>
              </w:rPr>
              <w:t>Table 2. Description of key concepts related to Predictive Processing</w:t>
            </w:r>
          </w:p>
        </w:tc>
      </w:tr>
      <w:tr w:rsidR="007A1C94" w14:paraId="255337E3" w14:textId="77777777" w:rsidTr="00176649">
        <w:trPr>
          <w:trHeight w:val="1560"/>
        </w:trPr>
        <w:tc>
          <w:tcPr>
            <w:tcW w:w="9015" w:type="dxa"/>
            <w:tcBorders>
              <w:top w:val="single" w:sz="12" w:space="0" w:color="000000" w:themeColor="text1"/>
              <w:left w:val="none" w:sz="12" w:space="0" w:color="000000" w:themeColor="text1"/>
              <w:bottom w:val="none" w:sz="12" w:space="0" w:color="000000" w:themeColor="text1"/>
              <w:right w:val="none" w:sz="12" w:space="0" w:color="000000" w:themeColor="text1"/>
            </w:tcBorders>
          </w:tcPr>
          <w:p w14:paraId="0669D669" w14:textId="77777777" w:rsidR="007A1C94" w:rsidRDefault="007A1C94" w:rsidP="00176649">
            <w:pPr>
              <w:shd w:val="clear" w:color="auto" w:fill="FFFFFF" w:themeFill="background1"/>
              <w:spacing w:after="160"/>
              <w:ind w:left="142" w:right="-188"/>
              <w:rPr>
                <w:rFonts w:eastAsia="Times New Roman"/>
                <w:i/>
                <w:iCs/>
              </w:rPr>
            </w:pPr>
            <w:r w:rsidRPr="47688AD0">
              <w:rPr>
                <w:rFonts w:eastAsia="Times New Roman"/>
                <w:i/>
                <w:iCs/>
              </w:rPr>
              <w:t>Sensorimotor predictions and movement:</w:t>
            </w:r>
            <w:r w:rsidRPr="47688AD0">
              <w:rPr>
                <w:rFonts w:eastAsia="Times New Roman"/>
              </w:rPr>
              <w:t xml:space="preserve"> Predictive processing accounts propose that movement arises from precise sensorimotor predictions. Here, the brain generates predictions about the sensory consequences of movement; when these predictions are precise, the resulting prediction errors are resolved not by updating beliefs, but instead by generating the motor commands required to align sensory input with the predicted state</w:t>
            </w:r>
          </w:p>
        </w:tc>
      </w:tr>
      <w:tr w:rsidR="007A1C94" w14:paraId="35216CBC" w14:textId="77777777" w:rsidTr="00176649">
        <w:trPr>
          <w:trHeight w:val="300"/>
        </w:trPr>
        <w:tc>
          <w:tcPr>
            <w:tcW w:w="9015" w:type="dxa"/>
            <w:tcBorders>
              <w:top w:val="none" w:sz="12" w:space="0" w:color="000000" w:themeColor="text1"/>
            </w:tcBorders>
          </w:tcPr>
          <w:p w14:paraId="0493CCB8" w14:textId="77777777" w:rsidR="007A1C94" w:rsidRDefault="007A1C94" w:rsidP="00176649">
            <w:pPr>
              <w:shd w:val="clear" w:color="auto" w:fill="FFFFFF" w:themeFill="background1"/>
              <w:spacing w:after="160"/>
              <w:ind w:left="142" w:right="-188"/>
              <w:rPr>
                <w:rFonts w:eastAsia="Times New Roman"/>
              </w:rPr>
            </w:pPr>
            <w:r w:rsidRPr="47688AD0">
              <w:rPr>
                <w:rFonts w:eastAsia="Times New Roman"/>
                <w:i/>
                <w:iCs/>
              </w:rPr>
              <w:t>Precision weighting:</w:t>
            </w:r>
            <w:r w:rsidRPr="47688AD0">
              <w:rPr>
                <w:rFonts w:eastAsia="Times New Roman"/>
                <w:color w:val="FF0000"/>
              </w:rPr>
              <w:t xml:space="preserve"> </w:t>
            </w:r>
            <w:r w:rsidRPr="47688AD0">
              <w:rPr>
                <w:rFonts w:eastAsia="Times New Roman"/>
              </w:rPr>
              <w:t xml:space="preserve">Perception reflects a balance between top-down predictions and bottom-up sensory input, with the resulting percept determined by the relative </w:t>
            </w:r>
            <w:r w:rsidRPr="47688AD0">
              <w:rPr>
                <w:rFonts w:eastAsia="Times New Roman"/>
                <w:i/>
                <w:iCs/>
              </w:rPr>
              <w:t>precision</w:t>
            </w:r>
            <w:r w:rsidRPr="47688AD0">
              <w:rPr>
                <w:rFonts w:eastAsia="Times New Roman"/>
              </w:rPr>
              <w:t xml:space="preserve"> (i.e. confidence) afforded to each, as well as the degree to which prediction errors (the discrepancy between predicted and actual sensory input) are weighted. </w:t>
            </w:r>
          </w:p>
        </w:tc>
      </w:tr>
      <w:tr w:rsidR="007A1C94" w14:paraId="080AC810" w14:textId="77777777" w:rsidTr="00176649">
        <w:trPr>
          <w:trHeight w:val="300"/>
        </w:trPr>
        <w:tc>
          <w:tcPr>
            <w:tcW w:w="9015" w:type="dxa"/>
          </w:tcPr>
          <w:p w14:paraId="5E55437C" w14:textId="77777777" w:rsidR="007A1C94" w:rsidRDefault="007A1C94" w:rsidP="00176649">
            <w:pPr>
              <w:shd w:val="clear" w:color="auto" w:fill="FFFFFF" w:themeFill="background1"/>
              <w:spacing w:after="160"/>
              <w:ind w:left="142" w:right="-188"/>
            </w:pPr>
            <w:r w:rsidRPr="47688AD0">
              <w:rPr>
                <w:rFonts w:eastAsia="Times New Roman"/>
                <w:i/>
                <w:iCs/>
              </w:rPr>
              <w:t>Precision weighted towards predictions:</w:t>
            </w:r>
            <w:r w:rsidRPr="47688AD0">
              <w:rPr>
                <w:rFonts w:eastAsia="Times New Roman"/>
              </w:rPr>
              <w:t xml:space="preserve">  When predictions are highly precise (e.g. when processing stable and predictable environments), this can increase efficiency, in part by suppressing expected or noisy sensory signals to prevent system overload. However, assigning high precision to predictions can also dominate perception, even in the presence of contradictory sensory information, accounting for classic perceptual illusions (e.g. Müller-Lyer, Rubber hand</w:t>
            </w:r>
            <w:r w:rsidRPr="47688AD0">
              <w:rPr>
                <w:rFonts w:eastAsia="Times New Roman"/>
                <w:color w:val="000000" w:themeColor="text1"/>
              </w:rPr>
              <w:fldChar w:fldCharType="begin" w:fldLock="1"/>
            </w:r>
            <w:r>
              <w:rPr>
                <w:rFonts w:eastAsia="Times New Roman"/>
                <w:color w:val="000000" w:themeColor="text1"/>
              </w:rPr>
              <w:instrText>ADDIN CSL_CITATION {"citationItems":[{"id":"ITEM-1","itemData":{"DOI":"10.1007/s13164-021-00588-9","ISSN":"1878-5166","abstract":"A number of perceptual (exteroceptive and proprioceptive) illusions present problems for predictive processing accounts. In this chapter we’ll review explanations of the Müller-Lyer Illusion (MLI), the Rubber Hand Illusion (RHI) and the Alien Hand Illusion (AHI) based on the idea of Prediction Error Minimization (PEM), and show why they fail. In spite of the relatively open communicative processes which, on many accounts, are posited between hierarchical levels of the cognitive system in order to facilitate the minimization of prediction errors, perceptual illusions seemingly allow prediction errors to rule. Even if, at the top, we have reliable and secure knowledge that the lines in the MLI are equal, or that the rubber hand in the RHI is not our hand, the system seems unable to correct for sensory errors that form the illusion. We argue that the standard PEM explanation based on a short-circuiting principle doesn’t work. This is the idea that where there are general statistical regularities in the environment there is a kind of short circuiting such that relevant priors are relegated to lower-level processing so that information from higher levels is not exchanged (Ogilvie and Carruthers, Review of Philosophy and Psychology 7:721–742, 2016), or is not as precise as it should be (Hohwy, The Predictive Mind, Oxford University Press, Oxford, 2013). Such solutions (without convincing explanation) violate the idea of open communication and/or they over-discount the reliable and secure knowledge that is in the system. We propose an alternative, 4E (embodied, embedded, extended, enactive) solution. We argue that PEM fails to take into account the ‘structural resistance’ introduced by material and cultural factors in the broader cognitive system.","author":[{"dropping-particle":"","family":"Gallagher","given":"Shaun","non-dropping-particle":"","parse-names":false,"suffix":""},{"dropping-particle":"","family":"Hutto","given":"Daniel","non-dropping-particle":"","parse-names":false,"suffix":""},{"dropping-particle":"","family":"Hipólito","given":"Inês","non-dropping-particle":"","parse-names":false,"suffix":""}],"container-title":"Review of Philosophy and Psychology","id":"ITEM-1","issue":"4","issued":{"date-parts":[["2022"]]},"page":"999-1017","title":"Predictive Processing and Some Disillusions about Illusions","type":"article-journal","volume":"13"},"uris":["http://www.mendeley.com/documents/?uuid=d24b8908-3395-40e8-86f8-b22b2bb5ea66"]}],"mendeley":{"formattedCitation":"(126)","plainTextFormattedCitation":"(126)","previouslyFormattedCitation":"(126)"},"properties":{"noteIndex":0},"schema":"https://github.com/citation-style-language/schema/raw/master/csl-citation.json"}</w:instrText>
            </w:r>
            <w:r w:rsidRPr="47688AD0">
              <w:rPr>
                <w:rFonts w:eastAsia="Times New Roman"/>
                <w:color w:val="000000" w:themeColor="text1"/>
              </w:rPr>
              <w:fldChar w:fldCharType="separate"/>
            </w:r>
            <w:r w:rsidRPr="005E1ACE">
              <w:rPr>
                <w:rFonts w:eastAsia="Times New Roman"/>
                <w:noProof/>
              </w:rPr>
              <w:t>(126)</w:t>
            </w:r>
            <w:r w:rsidRPr="47688AD0">
              <w:rPr>
                <w:rFonts w:eastAsia="Times New Roman"/>
                <w:color w:val="000000" w:themeColor="text1"/>
              </w:rPr>
              <w:fldChar w:fldCharType="end"/>
            </w:r>
            <w:r w:rsidRPr="47688AD0">
              <w:rPr>
                <w:rFonts w:eastAsia="Times New Roman"/>
              </w:rPr>
              <w:t>), as well as Parkinson’s-related hallucinations</w:t>
            </w:r>
            <w:r w:rsidRPr="47688AD0">
              <w:rPr>
                <w:rFonts w:eastAsia="Times New Roman"/>
                <w:color w:val="000000" w:themeColor="text1"/>
              </w:rPr>
              <w:fldChar w:fldCharType="begin" w:fldLock="1"/>
            </w:r>
            <w:r>
              <w:rPr>
                <w:rFonts w:eastAsia="Times New Roman"/>
                <w:color w:val="000000" w:themeColor="text1"/>
              </w:rPr>
              <w:instrText>ADDIN CSL_CITATION {"citationItems":[{"id":"ITEM-1","itemData":{"DOI":"https://doi.org/10.1016/j.bpsc.2017.04.007","ISSN":"2451-9022","abstract":"Background Models of hallucinations emphasize imbalance between sensory input and top-down influences over perception, as false perceptual inference can arise when top-down predictions are afforded too much precision (certainty) relative to sensory evidence. Visual hallucinations in Parkinson’s disease (PD) are associated with lower-level visual and attentional impairments, accompanied by overactivity in higher-order association brain networks. PD therefore provides an attractive framework to explore contributions of bottom-up versus top-down disturbances in hallucinations. Methods We characterized sensory processing during perceptual decision making in patients with PD with (n = 20) and without (n = 25) visual hallucinations and control subjects (n = 12), by fitting a hierarchical drift diffusion model to an attentional task. The hierarchical drift diffusion model uses Bayesian estimates to decompose task performance into parameters reflecting drift rates of evidence accumulation, decision thresholds, and nondecision time. Results We observed slower drift rates in patients with hallucinations, which were less sensitive to changes in task demand. In contrast, wider decision boundaries and shorter nondecision times relative to control subjects were found in patients with PD regardless of hallucinator status. Inefficient and less flexible sensory evidence accumulation emerges as a unique feature of PD hallucinators. Conclusions We integrate these results with evidence accumulation and predictive coding models of hallucinations, suggesting that in PD sensory evidence is less informative and may therefore be down-weighted, resulting in overreliance on top-down influences. Considering impaired drift rates as an approximation of reduced sensory precision, our findings provide a novel computational framework to specify impairments in sensory processing that contribute to development of visual hallucinations.","author":[{"dropping-particle":"","family":"O’Callaghan","given":"Claire","non-dropping-particle":"","parse-names":false,"suffix":""},{"dropping-particle":"","family":"Hall","given":"Julie M","non-dropping-particle":"","parse-names":false,"suffix":""},{"dropping-particle":"","family":"Tomassini","given":"Alessandro","non-dropping-particle":"","parse-names":false,"suffix":""},{"dropping-particle":"","family":"Muller","given":"Alana J","non-dropping-particle":"","parse-names":false,"suffix":""},{"dropping-particle":"","family":"Walpola","given":"Ishan C","non-dropping-particle":"","parse-names":false,"suffix":""},{"dropping-particle":"","family":"Moustafa","given":"Ahmed A","non-dropping-particle":"","parse-names":false,"suffix":""},{"dropping-particle":"","family":"Shine","given":"James M","non-dropping-particle":"","parse-names":false,"suffix":""},{"dropping-particle":"","family":"Lewis","given":"Simon J G","non-dropping-particle":"","parse-names":false,"suffix":""}],"container-title":"Biological Psychiatry: Cognitive Neuroscience and Neuroimaging","id":"ITEM-1","issue":"8","issued":{"date-parts":[["2017"]]},"page":"680-688","title":"Visual Hallucinations Are Characterized by Impaired Sensory Evidence Accumulation: Insights From Hierarchical Drift Diffusion Modeling in Parkinson’s Disease","type":"article-journal","volume":"2"},"uris":["http://www.mendeley.com/documents/?uuid=b9c935b7-52dd-4910-80e7-0c27f448d30a"]}],"mendeley":{"formattedCitation":"(127)","plainTextFormattedCitation":"(127)","previouslyFormattedCitation":"(127)"},"properties":{"noteIndex":0},"schema":"https://github.com/citation-style-language/schema/raw/master/csl-citation.json"}</w:instrText>
            </w:r>
            <w:r w:rsidRPr="47688AD0">
              <w:rPr>
                <w:rFonts w:eastAsia="Times New Roman"/>
                <w:color w:val="000000" w:themeColor="text1"/>
              </w:rPr>
              <w:fldChar w:fldCharType="separate"/>
            </w:r>
            <w:r w:rsidRPr="005E1ACE">
              <w:rPr>
                <w:rFonts w:eastAsia="Times New Roman"/>
                <w:noProof/>
              </w:rPr>
              <w:t>(127)</w:t>
            </w:r>
            <w:r w:rsidRPr="47688AD0">
              <w:rPr>
                <w:rFonts w:eastAsia="Times New Roman"/>
                <w:color w:val="000000" w:themeColor="text1"/>
              </w:rPr>
              <w:fldChar w:fldCharType="end"/>
            </w:r>
            <w:r w:rsidRPr="47688AD0">
              <w:rPr>
                <w:rFonts w:eastAsia="Times New Roman"/>
              </w:rPr>
              <w:t xml:space="preserve"> and delusions</w:t>
            </w:r>
            <w:r w:rsidRPr="47688AD0">
              <w:rPr>
                <w:rFonts w:eastAsia="Times New Roman"/>
                <w:color w:val="000000" w:themeColor="text1"/>
              </w:rPr>
              <w:fldChar w:fldCharType="begin" w:fldLock="1"/>
            </w:r>
            <w:r>
              <w:rPr>
                <w:rFonts w:eastAsia="Times New Roman"/>
                <w:color w:val="000000" w:themeColor="text1"/>
              </w:rPr>
              <w:instrText>ADDIN CSL_CITATION {"citationItems":[{"id":"ITEM-1","itemData":{"DOI":"10.1080/13546805.2023.2229080","ISSN":"1354-6805","author":[{"dropping-particle":"","family":"Foley","given":"Jennifer A","non-dropping-particle":"","parse-names":false,"suffix":""},{"dropping-particle":"","family":"Chen","given":"Cliff","non-dropping-particle":"","parse-names":false,"suffix":""},{"dropping-particle":"","family":"Paget","given":"Andrew","non-dropping-particle":"","parse-names":false,"suffix":""},{"dropping-particle":"","family":"Cipolotti","given":"Lisa","non-dropping-particle":"","parse-names":false,"suffix":""}],"container-title":"Cognitive Neuropsychiatry","id":"ITEM-1","issue":"4","issued":{"date-parts":[["2023","7","4"]]},"note":"doi: 10.1080/13546805.2023.2229080","page":"269-284","publisher":"Routledge","title":"A Bayesian predictive processing account of Othello syndrome in Parkinson’s disease","type":"article-journal","volume":"28"},"uris":["http://www.mendeley.com/documents/?uuid=fbf59cd1-cf71-491c-81ce-bc848baab569"]}],"mendeley":{"formattedCitation":"(128)","plainTextFormattedCitation":"(128)","previouslyFormattedCitation":"(128)"},"properties":{"noteIndex":0},"schema":"https://github.com/citation-style-language/schema/raw/master/csl-citation.json"}</w:instrText>
            </w:r>
            <w:r w:rsidRPr="47688AD0">
              <w:rPr>
                <w:rFonts w:eastAsia="Times New Roman"/>
                <w:color w:val="000000" w:themeColor="text1"/>
              </w:rPr>
              <w:fldChar w:fldCharType="separate"/>
            </w:r>
            <w:r w:rsidRPr="005E1ACE">
              <w:rPr>
                <w:rFonts w:eastAsia="Times New Roman"/>
                <w:noProof/>
              </w:rPr>
              <w:t>(128)</w:t>
            </w:r>
            <w:r w:rsidRPr="47688AD0">
              <w:rPr>
                <w:rFonts w:eastAsia="Times New Roman"/>
                <w:color w:val="000000" w:themeColor="text1"/>
              </w:rPr>
              <w:fldChar w:fldCharType="end"/>
            </w:r>
            <w:r w:rsidRPr="47688AD0">
              <w:rPr>
                <w:rFonts w:eastAsia="Times New Roman"/>
              </w:rPr>
              <w:t>.</w:t>
            </w:r>
          </w:p>
        </w:tc>
      </w:tr>
      <w:tr w:rsidR="007A1C94" w14:paraId="2BB981EF" w14:textId="77777777" w:rsidTr="00176649">
        <w:trPr>
          <w:trHeight w:val="300"/>
        </w:trPr>
        <w:tc>
          <w:tcPr>
            <w:tcW w:w="9015" w:type="dxa"/>
            <w:tcBorders>
              <w:bottom w:val="single" w:sz="12" w:space="0" w:color="000000" w:themeColor="text1"/>
            </w:tcBorders>
          </w:tcPr>
          <w:p w14:paraId="20A9C363" w14:textId="77777777" w:rsidR="007A1C94" w:rsidRDefault="007A1C94" w:rsidP="00176649">
            <w:pPr>
              <w:shd w:val="clear" w:color="auto" w:fill="FFFFFF" w:themeFill="background1"/>
              <w:spacing w:after="160"/>
              <w:ind w:left="142" w:right="-188"/>
              <w:rPr>
                <w:rFonts w:eastAsia="Times New Roman"/>
              </w:rPr>
            </w:pPr>
            <w:r w:rsidRPr="47688AD0">
              <w:rPr>
                <w:rFonts w:eastAsia="Times New Roman"/>
                <w:i/>
                <w:iCs/>
              </w:rPr>
              <w:t>Precision weighted towards sensory input:</w:t>
            </w:r>
            <w:r w:rsidRPr="47688AD0">
              <w:rPr>
                <w:rFonts w:eastAsia="Times New Roman"/>
              </w:rPr>
              <w:t xml:space="preserve"> When predictions are imprecise and sensory input is afforded high precision, perception is driven primarily by incoming sensory evidenc</w:t>
            </w:r>
            <w:r>
              <w:rPr>
                <w:rFonts w:eastAsia="Times New Roman"/>
              </w:rPr>
              <w:t>e</w:t>
            </w:r>
            <w:r>
              <w:rPr>
                <w:rFonts w:eastAsia="Times New Roman"/>
              </w:rPr>
              <w:fldChar w:fldCharType="begin" w:fldLock="1"/>
            </w:r>
            <w:r>
              <w:rPr>
                <w:rFonts w:eastAsia="Times New Roman"/>
              </w:rPr>
              <w:instrText>ADDIN CSL_CITATION {"citationItems":[{"id":"ITEM-1","itemData":{"DOI":"https://doi.org/10.1016/j.tics.2025.10.007","ISSN":"1364-6613","abstract":"In recent years, scientific interest in sensory processing sensitivity (SPS), a personality trait reflecting increased sensitivity, reactivity, and deeper processing of stimuli, has grown exponentially. Building on this momentum, we synthesise recent SPS literature to discuss several central themes, including SPS assessment, relations to other personality traits and diverse positive and negative outcomes. We propose a novel account of SPS grounded in predictive processing, that bridges cognitive, neural, and computational domains. Specifically, we posit that brains of high-SPS individuals consistently assign high precision to incoming sensory signals. This account offers a unified explanation for the phenotypic consequences of heightened sensory sensitivity. We review behavioural and neural evidence that indirectly supports this account, and delineate important avenues for future research.","author":[{"dropping-particle":"","family":"Greven","given":"Corina U","non-dropping-particle":"","parse-names":false,"suffix":""},{"dropping-particle":"","family":"Trupp","given":"MacKenzie D","non-dropping-particle":"","parse-names":false,"suffix":""},{"dropping-particle":"","family":"Homberg","given":"Judith R","non-dropping-particle":"","parse-names":false,"suffix":""},{"dropping-particle":"","family":"Slagter","given":"Heleen A","non-dropping-particle":"","parse-names":false,"suffix":""}],"container-title":"Trends in Cognitive Sciences","id":"ITEM-1","issued":{"date-parts":[["2025"]]},"title":"Sensory processing sensitivity: theory, evidence, and directions","type":"article-journal"},"uris":["http://www.mendeley.com/documents/?uuid=27adca51-7292-49ef-a9a9-1d605a3b8df7"]},{"id":"ITEM-2","itemData":{"DOI":"https://doi.org/10.1016/j.cobeha.2025.101509","ISSN":"2352-1546","abstract":"This review presents an approach to motor control inspired by the Equilibrium Point Hypothesis. The core idea is that, to realise a motor plan, one need only anticipate the proprioceptive consequences of that plan. Movement can then be executed through spinal and brainstem reflex arcs that correct for any deviations from these proprioceptive predictions. Seen in this light, motor commands are proprioceptive predictions. From a control-theoretic perspective, this implies that reflexes can be cast as closed feedback loops, the set points of which are determined by proprioceptive predictions. In what follows, we consider the key elements — in terms of active inference — that generate proprioceptive predictions. These include prior beliefs about motor trajectories, their temporal (autocorrelation) structure, and the confidence with which their sensory consequences can be predicted. For each element, we briefly review the neurobiology of the structures that might support the underlying computations. In short, we will see how corticospinal, cerebellar, and extrapyramidal systems might contribute to the prediction and realisation of a motor plan.","author":[{"dropping-particle":"","family":"Parr","given":"Thomas","non-dropping-particle":"","parse-names":false,"suffix":""},{"dropping-particle":"","family":"Ramstead","given":"Maxwell J D","non-dropping-particle":"","parse-names":false,"suffix":""},{"dropping-particle":"","family":"Friston","given":"Karl","non-dropping-particle":"","parse-names":false,"suffix":""}],"container-title":"Current Opinion in Behavioral Sciences","id":"ITEM-2","issued":{"date-parts":[["2025"]]},"page":"101509","title":"Priors and proprioceptive predictions","type":"article-journal","volume":"63"},"uris":["http://www.mendeley.com/documents/?uuid=ea5220f4-a137-4775-911c-37bfbeca403e"]},{"id":"ITEM-3","itemData":{"ISSN":"1662-5188","author":[{"dropping-particle":"","family":"Parr","given":"Thomas","non-dropping-particle":"","parse-names":false,"suffix":""},{"dropping-particle":"","family":"Friston","given":"Karl J","non-dropping-particle":"","parse-names":false,"suffix":""}],"container-title":"Frontiers in computational neuroscience","id":"ITEM-3","issued":{"date-parts":[["2018"]]},"page":"90","publisher":"Frontiers Media SA","title":"The anatomy of inference: generative models and brain structure","type":"article-journal","volume":"12"},"uris":["http://www.mendeley.com/documents/?uuid=b4e9ac9b-c8b1-4a60-aa5a-ddffe487148d"]}],"mendeley":{"formattedCitation":"(46,70,129)","plainTextFormattedCitation":"(46,70,129)","previouslyFormattedCitation":"(46,70,129)"},"properties":{"noteIndex":0},"schema":"https://github.com/citation-style-language/schema/raw/master/csl-citation.json"}</w:instrText>
            </w:r>
            <w:r>
              <w:rPr>
                <w:rFonts w:eastAsia="Times New Roman"/>
              </w:rPr>
              <w:fldChar w:fldCharType="separate"/>
            </w:r>
            <w:r w:rsidRPr="005E1ACE">
              <w:rPr>
                <w:rFonts w:eastAsia="Times New Roman"/>
                <w:noProof/>
              </w:rPr>
              <w:t>(46,70,129)</w:t>
            </w:r>
            <w:r>
              <w:rPr>
                <w:rFonts w:eastAsia="Times New Roman"/>
              </w:rPr>
              <w:fldChar w:fldCharType="end"/>
            </w:r>
            <w:r w:rsidRPr="47688AD0">
              <w:t xml:space="preserve">. This often </w:t>
            </w:r>
            <w:r w:rsidRPr="47688AD0">
              <w:rPr>
                <w:rFonts w:eastAsia="Times New Roman"/>
              </w:rPr>
              <w:t>permits crucial updating of predictions in unpredictable environments. However, it also increases reactivity to noise and weakens the influence of (potentially useful) prior knowledge, thereby potentially reducing perceptual stability</w:t>
            </w:r>
            <w:r>
              <w:rPr>
                <w:rFonts w:eastAsia="Times New Roman"/>
              </w:rPr>
              <w:fldChar w:fldCharType="begin" w:fldLock="1"/>
            </w:r>
            <w:r>
              <w:rPr>
                <w:rFonts w:eastAsia="Times New Roman"/>
              </w:rPr>
              <w:instrText>ADDIN CSL_CITATION {"citationItems":[{"id":"ITEM-1","itemData":{"DOI":"https://doi.org/10.1016/j.neubiorev.2024.105984","ISSN":"0149-7634","abstract":"Most of our movement consists of sequences of discrete actions at regular intervals—including speech, walking, playing music, or even chewing. Despite this, few models of the motor system address how the brain determines the interval at which to trigger actions. This paper offers a theoretical analysis of the problem of timing movements. We consider a scenario in which we must align an alternating movement with a regular external (auditory) stimulus. We assume that our brains employ generative world models that include internal clocks of various speeds. These allow us to associate a temporally regular sensory input with an internal clock, and actions with parts of that clock cycle. We treat this as process of inferring which clock best explains sensory input. This offers a way in which temporally discrete choices might emerge from a continuous process. This is not straightforward, particularly if each of those choices unfolds during a time that has a (possibly unknown) duration. We develop a route for translation to neurology, in the context of Parkinson’s disease—a disorder that characteristically slows down movements. The effects are often elicited in clinic by alternating movements. We find that it is possible to reproduce behavioural and electrophysiological features associated with parkinsonism by disrupting specific parameters—that determine the priors for inferences made by the brain. We observe three core features of Parkinson’s disease: amplitude decrement, festination, and breakdown of repetitive movements. Our simulations provide a mechanistic interpretation of how pathology and therapeutics might influence behaviour and neural activity.","author":[{"dropping-particle":"","family":"Parr","given":"Thomas","non-dropping-particle":"","parse-names":false,"suffix":""},{"dropping-particle":"","family":"Oswal","given":"Ashwini","non-dropping-particle":"","parse-names":false,"suffix":""},{"dropping-particle":"","family":"Manohar","given":"Sanjay G","non-dropping-particle":"","parse-names":false,"suffix":""}],"container-title":"Neuroscience &amp; Biobehavioral Reviews","id":"ITEM-1","issued":{"date-parts":[["2025"]]},"page":"105984","title":"Inferring when to move","type":"article-journal","volume":"169"},"uris":["http://www.mendeley.com/documents/?uuid=52c4f474-0de1-44d5-bf4a-da5d6527318a"]}],"mendeley":{"formattedCitation":"(53)","plainTextFormattedCitation":"(53)","previouslyFormattedCitation":"(53)"},"properties":{"noteIndex":0},"schema":"https://github.com/citation-style-language/schema/raw/master/csl-citation.json"}</w:instrText>
            </w:r>
            <w:r>
              <w:rPr>
                <w:rFonts w:eastAsia="Times New Roman"/>
              </w:rPr>
              <w:fldChar w:fldCharType="separate"/>
            </w:r>
            <w:r w:rsidRPr="00B45CCB">
              <w:rPr>
                <w:rFonts w:eastAsia="Times New Roman"/>
                <w:noProof/>
              </w:rPr>
              <w:t>(53)</w:t>
            </w:r>
            <w:r>
              <w:rPr>
                <w:rFonts w:eastAsia="Times New Roman"/>
              </w:rPr>
              <w:fldChar w:fldCharType="end"/>
            </w:r>
            <w:r w:rsidRPr="47688AD0">
              <w:rPr>
                <w:rFonts w:eastAsia="Times New Roman"/>
              </w:rPr>
              <w:t xml:space="preserve">.  </w:t>
            </w:r>
          </w:p>
        </w:tc>
      </w:tr>
    </w:tbl>
    <w:p w14:paraId="06BA86EB" w14:textId="77777777" w:rsidR="007A1C94" w:rsidRDefault="007A1C94" w:rsidP="007A1C94">
      <w:pPr>
        <w:shd w:val="clear" w:color="auto" w:fill="FFFFFF" w:themeFill="background1"/>
        <w:spacing w:after="160"/>
        <w:ind w:left="142" w:right="-188"/>
        <w:rPr>
          <w:rFonts w:eastAsia="Times New Roman"/>
          <w:b/>
          <w:bCs/>
        </w:rPr>
      </w:pPr>
    </w:p>
    <w:p w14:paraId="3C3F5EA2" w14:textId="77777777" w:rsidR="00C96A9F" w:rsidRDefault="00C96A9F"/>
    <w:sectPr w:rsidR="00C96A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94"/>
    <w:rsid w:val="00467A30"/>
    <w:rsid w:val="007A1C94"/>
    <w:rsid w:val="008D7FAB"/>
    <w:rsid w:val="00A1021E"/>
    <w:rsid w:val="00C96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A1D5"/>
  <w15:chartTrackingRefBased/>
  <w15:docId w15:val="{746097F9-2254-4C5C-866C-CB1A0204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C94"/>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7A1C94"/>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eastAsia="en-US"/>
    </w:rPr>
  </w:style>
  <w:style w:type="paragraph" w:styleId="Heading2">
    <w:name w:val="heading 2"/>
    <w:basedOn w:val="Normal"/>
    <w:next w:val="Normal"/>
    <w:link w:val="Heading2Char"/>
    <w:uiPriority w:val="9"/>
    <w:semiHidden/>
    <w:unhideWhenUsed/>
    <w:qFormat/>
    <w:rsid w:val="007A1C94"/>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eastAsia="en-US"/>
    </w:rPr>
  </w:style>
  <w:style w:type="paragraph" w:styleId="Heading3">
    <w:name w:val="heading 3"/>
    <w:basedOn w:val="Normal"/>
    <w:next w:val="Normal"/>
    <w:link w:val="Heading3Char"/>
    <w:uiPriority w:val="9"/>
    <w:semiHidden/>
    <w:unhideWhenUsed/>
    <w:qFormat/>
    <w:rsid w:val="007A1C94"/>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lang w:eastAsia="en-US"/>
    </w:rPr>
  </w:style>
  <w:style w:type="paragraph" w:styleId="Heading4">
    <w:name w:val="heading 4"/>
    <w:basedOn w:val="Normal"/>
    <w:next w:val="Normal"/>
    <w:link w:val="Heading4Char"/>
    <w:uiPriority w:val="9"/>
    <w:semiHidden/>
    <w:unhideWhenUsed/>
    <w:qFormat/>
    <w:rsid w:val="007A1C94"/>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lang w:eastAsia="en-US"/>
    </w:rPr>
  </w:style>
  <w:style w:type="paragraph" w:styleId="Heading5">
    <w:name w:val="heading 5"/>
    <w:basedOn w:val="Normal"/>
    <w:next w:val="Normal"/>
    <w:link w:val="Heading5Char"/>
    <w:uiPriority w:val="9"/>
    <w:semiHidden/>
    <w:unhideWhenUsed/>
    <w:qFormat/>
    <w:rsid w:val="007A1C94"/>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lang w:eastAsia="en-US"/>
    </w:rPr>
  </w:style>
  <w:style w:type="paragraph" w:styleId="Heading6">
    <w:name w:val="heading 6"/>
    <w:basedOn w:val="Normal"/>
    <w:next w:val="Normal"/>
    <w:link w:val="Heading6Char"/>
    <w:uiPriority w:val="9"/>
    <w:semiHidden/>
    <w:unhideWhenUsed/>
    <w:qFormat/>
    <w:rsid w:val="007A1C94"/>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7A1C94"/>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7A1C94"/>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7A1C94"/>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C9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A1C9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A1C9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A1C9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A1C9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A1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C94"/>
    <w:rPr>
      <w:rFonts w:eastAsiaTheme="majorEastAsia" w:cstheme="majorBidi"/>
      <w:color w:val="272727" w:themeColor="text1" w:themeTint="D8"/>
    </w:rPr>
  </w:style>
  <w:style w:type="paragraph" w:styleId="Title">
    <w:name w:val="Title"/>
    <w:basedOn w:val="Normal"/>
    <w:next w:val="Normal"/>
    <w:link w:val="TitleChar"/>
    <w:uiPriority w:val="10"/>
    <w:qFormat/>
    <w:rsid w:val="007A1C94"/>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7A1C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C94"/>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7A1C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C94"/>
    <w:pPr>
      <w:spacing w:before="160" w:after="160" w:line="259" w:lineRule="auto"/>
      <w:jc w:val="center"/>
    </w:pPr>
    <w:rPr>
      <w:rFonts w:ascii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7A1C94"/>
    <w:rPr>
      <w:i/>
      <w:iCs/>
      <w:color w:val="404040" w:themeColor="text1" w:themeTint="BF"/>
    </w:rPr>
  </w:style>
  <w:style w:type="paragraph" w:styleId="ListParagraph">
    <w:name w:val="List Paragraph"/>
    <w:basedOn w:val="Normal"/>
    <w:uiPriority w:val="34"/>
    <w:qFormat/>
    <w:rsid w:val="007A1C94"/>
    <w:pPr>
      <w:spacing w:after="160" w:line="259" w:lineRule="auto"/>
      <w:ind w:left="720"/>
      <w:contextualSpacing/>
    </w:pPr>
    <w:rPr>
      <w:rFonts w:asciiTheme="minorHAnsi" w:hAnsiTheme="minorHAnsi" w:cstheme="minorBidi"/>
      <w:sz w:val="22"/>
      <w:szCs w:val="22"/>
      <w:lang w:eastAsia="en-US"/>
    </w:rPr>
  </w:style>
  <w:style w:type="character" w:styleId="IntenseEmphasis">
    <w:name w:val="Intense Emphasis"/>
    <w:basedOn w:val="DefaultParagraphFont"/>
    <w:uiPriority w:val="21"/>
    <w:qFormat/>
    <w:rsid w:val="007A1C94"/>
    <w:rPr>
      <w:i/>
      <w:iCs/>
      <w:color w:val="2E74B5" w:themeColor="accent1" w:themeShade="BF"/>
    </w:rPr>
  </w:style>
  <w:style w:type="paragraph" w:styleId="IntenseQuote">
    <w:name w:val="Intense Quote"/>
    <w:basedOn w:val="Normal"/>
    <w:next w:val="Normal"/>
    <w:link w:val="IntenseQuoteChar"/>
    <w:uiPriority w:val="30"/>
    <w:qFormat/>
    <w:rsid w:val="007A1C94"/>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cstheme="minorBidi"/>
      <w:i/>
      <w:iCs/>
      <w:color w:val="2E74B5" w:themeColor="accent1" w:themeShade="BF"/>
      <w:sz w:val="22"/>
      <w:szCs w:val="22"/>
      <w:lang w:eastAsia="en-US"/>
    </w:rPr>
  </w:style>
  <w:style w:type="character" w:customStyle="1" w:styleId="IntenseQuoteChar">
    <w:name w:val="Intense Quote Char"/>
    <w:basedOn w:val="DefaultParagraphFont"/>
    <w:link w:val="IntenseQuote"/>
    <w:uiPriority w:val="30"/>
    <w:rsid w:val="007A1C94"/>
    <w:rPr>
      <w:i/>
      <w:iCs/>
      <w:color w:val="2E74B5" w:themeColor="accent1" w:themeShade="BF"/>
    </w:rPr>
  </w:style>
  <w:style w:type="character" w:styleId="IntenseReference">
    <w:name w:val="Intense Reference"/>
    <w:basedOn w:val="DefaultParagraphFont"/>
    <w:uiPriority w:val="32"/>
    <w:qFormat/>
    <w:rsid w:val="007A1C94"/>
    <w:rPr>
      <w:b/>
      <w:bCs/>
      <w:smallCaps/>
      <w:color w:val="2E74B5" w:themeColor="accent1" w:themeShade="BF"/>
      <w:spacing w:val="5"/>
    </w:rPr>
  </w:style>
  <w:style w:type="table" w:styleId="TableGrid">
    <w:name w:val="Table Grid"/>
    <w:basedOn w:val="TableNormal"/>
    <w:uiPriority w:val="59"/>
    <w:rsid w:val="007A1C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2553</Words>
  <Characters>14556</Characters>
  <Application>Microsoft Office Word</Application>
  <DocSecurity>0</DocSecurity>
  <Lines>121</Lines>
  <Paragraphs>34</Paragraphs>
  <ScaleCrop>false</ScaleCrop>
  <Company>University of Exeter</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Will</dc:creator>
  <cp:keywords/>
  <dc:description/>
  <cp:lastModifiedBy>Young, Will</cp:lastModifiedBy>
  <cp:revision>1</cp:revision>
  <dcterms:created xsi:type="dcterms:W3CDTF">2026-05-20T10:17:00Z</dcterms:created>
  <dcterms:modified xsi:type="dcterms:W3CDTF">2026-05-20T10:18:00Z</dcterms:modified>
</cp:coreProperties>
</file>