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F3E49" w14:textId="77777777" w:rsidR="009C0170" w:rsidRDefault="009C0170" w:rsidP="009C0170">
      <w:pPr>
        <w:ind w:left="142" w:right="-188"/>
      </w:pPr>
    </w:p>
    <w:p w14:paraId="4C7545B8" w14:textId="77777777" w:rsidR="009C0170" w:rsidRDefault="009C0170" w:rsidP="009C0170">
      <w:pPr>
        <w:ind w:left="142" w:right="-188"/>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9015"/>
      </w:tblGrid>
      <w:tr w:rsidR="009C0170" w14:paraId="32BF309B" w14:textId="77777777" w:rsidTr="00176649">
        <w:trPr>
          <w:trHeight w:val="300"/>
        </w:trPr>
        <w:tc>
          <w:tcPr>
            <w:tcW w:w="9015" w:type="dxa"/>
            <w:tcBorders>
              <w:bottom w:val="single" w:sz="12" w:space="0" w:color="000000" w:themeColor="text1"/>
            </w:tcBorders>
          </w:tcPr>
          <w:p w14:paraId="4A007D75" w14:textId="77777777" w:rsidR="009C0170" w:rsidRDefault="009C0170" w:rsidP="00176649">
            <w:pPr>
              <w:ind w:left="142" w:right="-188"/>
              <w:rPr>
                <w:b/>
                <w:bCs/>
              </w:rPr>
            </w:pPr>
            <w:r w:rsidRPr="47688AD0">
              <w:rPr>
                <w:b/>
                <w:bCs/>
              </w:rPr>
              <w:t>Table 3. Freezing sub-types according to a Predictive Processing framework</w:t>
            </w:r>
          </w:p>
          <w:p w14:paraId="0FD9D4A3" w14:textId="77777777" w:rsidR="009C0170" w:rsidRDefault="009C0170" w:rsidP="00176649">
            <w:pPr>
              <w:ind w:left="142" w:right="-188"/>
              <w:rPr>
                <w:b/>
                <w:bCs/>
              </w:rPr>
            </w:pPr>
          </w:p>
        </w:tc>
      </w:tr>
      <w:tr w:rsidR="009C0170" w14:paraId="1EC9CD77" w14:textId="77777777" w:rsidTr="00176649">
        <w:trPr>
          <w:trHeight w:val="3660"/>
        </w:trPr>
        <w:tc>
          <w:tcPr>
            <w:tcW w:w="9015" w:type="dxa"/>
            <w:tcBorders>
              <w:top w:val="single" w:sz="12" w:space="0" w:color="000000" w:themeColor="text1"/>
            </w:tcBorders>
          </w:tcPr>
          <w:p w14:paraId="6BB87768" w14:textId="77777777" w:rsidR="009C0170" w:rsidRDefault="009C0170" w:rsidP="00176649">
            <w:pPr>
              <w:ind w:left="142" w:right="-188"/>
              <w:rPr>
                <w:rFonts w:eastAsia="Times New Roman"/>
              </w:rPr>
            </w:pPr>
            <w:r w:rsidRPr="47688AD0">
              <w:rPr>
                <w:i/>
                <w:iCs/>
              </w:rPr>
              <w:t>Festination:</w:t>
            </w:r>
            <w:r w:rsidRPr="47688AD0">
              <w:t xml:space="preserve"> Festination is a progressive quickening of steps leading to motor arrest</w:t>
            </w:r>
            <w:r>
              <w:fldChar w:fldCharType="begin" w:fldLock="1"/>
            </w:r>
            <w:r>
              <w:instrText>ADDIN CSL_CITATION {"citationItems":[{"id":"ITEM-1","itemData":{"DOI":"https://doi.org/10.1002/mds.20998","ISSN":"0885-3185","abstract":"Abstract Festination and freezing of gait (FOG) are poorly understood gait disorders that cause disability and falls in people with Parkinson disease (PD). In PD, basal ganglia malfunction leads to motor set deficits (hypokinesia), while altered motor cue production leads to a sequence effect, whereby movements becomes progressively smaller as in festination. We suggest both factors may contribute to FOG. Disturbance of set maintenance by the basal ganglia in PD has previously been examined in gait, but limited systematic evaluation of the sequence effect exists. In this study, we investigated the step-to-step amplitude relationship in 10 PD subjects with clinical evidence of festination and FOG. Four conditions were examined: off levodopa, off with attentional strategies, off with visual cues, and on levodopa. Participants demonstrated a sequence effect (F = 6.24; P = 0.001), which was reversed only by use of visual cues. In contrast, medication, attentional strategies, and visual cues all improved hypokinesia. Variability was marked both within and between participants in all conditions. The variability of FOG is suggested to relate to a combination of factors, including the sequence effect and its variability, as well as the severity of hypokinesia and its response to medications. ? 2006 Movement Disorder Society","author":[{"dropping-particle":"","family":"Iansek","given":"Robert","non-dropping-particle":"","parse-names":false,"suffix":""},{"dropping-particle":"","family":"Huxham","given":"Frances","non-dropping-particle":"","parse-names":false,"suffix":""},{"dropping-particle":"","family":"McGinley","given":"Jennifer","non-dropping-particle":"","parse-names":false,"suffix":""}],"container-title":"Movement Disorders","id":"ITEM-1","issue":"9","issued":{"date-parts":[["2006","9","1"]]},"page":"1419-1424","publisher":"John Wiley &amp; Sons, Ltd","title":"The sequence effect and gait festination in Parkinson disease: Contributors to freezing of gait?","type":"article-journal","volume":"21"},"uris":["http://www.mendeley.com/documents/?uuid=ea401b88-3547-46e2-9a9d-eeaf621fa41c"]}],"mendeley":{"formattedCitation":"(130)","plainTextFormattedCitation":"(130)","previouslyFormattedCitation":"(130)"},"properties":{"noteIndex":0},"schema":"https://github.com/citation-style-language/schema/raw/master/csl-citation.json"}</w:instrText>
            </w:r>
            <w:r>
              <w:fldChar w:fldCharType="separate"/>
            </w:r>
            <w:r w:rsidRPr="005E1ACE">
              <w:rPr>
                <w:noProof/>
              </w:rPr>
              <w:t>(130)</w:t>
            </w:r>
            <w:r>
              <w:fldChar w:fldCharType="end"/>
            </w:r>
            <w:r w:rsidRPr="47688AD0">
              <w:t xml:space="preserve">. Here, according to a Predictive Processing framework, the brain attempts to minimise accumulation of prediction error by progressively increasing the frequency of corrective motor commands leading to a rapid succession of steps. This perception of accumulating error is consistent with the theme of Rhythm Changers (Figure 2, part C). Festination, however, also carries the unique characteristic of a concurrent forward propulsion of the centre of mass. </w:t>
            </w:r>
            <w:r w:rsidRPr="47688AD0">
              <w:rPr>
                <w:rFonts w:eastAsia="Times New Roman"/>
              </w:rPr>
              <w:t xml:space="preserve">From a Predictive Processing perspective, this can be rationalised as the system maintaining a strong high-level prediction for forward progression (i.e. “I should keep moving forward”) that is not constrained by sensory input from the quickening steps. This can be characterised as a mismatch between overly precise high-level </w:t>
            </w:r>
            <w:r w:rsidRPr="47688AD0">
              <w:t xml:space="preserve">predictions </w:t>
            </w:r>
            <w:r w:rsidRPr="47688AD0">
              <w:rPr>
                <w:rFonts w:eastAsia="Times New Roman"/>
              </w:rPr>
              <w:t>— preserved due to their generation in cortical networks that are less vulnerable to dopamine depletion—and imprecise bottom-up sensory feedback and prediction errors.</w:t>
            </w:r>
          </w:p>
        </w:tc>
      </w:tr>
      <w:tr w:rsidR="009C0170" w14:paraId="101476FF" w14:textId="77777777" w:rsidTr="00176649">
        <w:trPr>
          <w:trHeight w:val="1980"/>
        </w:trPr>
        <w:tc>
          <w:tcPr>
            <w:tcW w:w="9015" w:type="dxa"/>
          </w:tcPr>
          <w:p w14:paraId="3EDC0B4C" w14:textId="77777777" w:rsidR="009C0170" w:rsidRDefault="009C0170" w:rsidP="00176649">
            <w:pPr>
              <w:ind w:left="142" w:right="-188"/>
            </w:pPr>
            <w:r w:rsidRPr="47688AD0">
              <w:rPr>
                <w:rFonts w:eastAsia="Times New Roman"/>
                <w:i/>
                <w:iCs/>
              </w:rPr>
              <w:t>Turning:</w:t>
            </w:r>
            <w:r w:rsidRPr="47688AD0">
              <w:rPr>
                <w:rFonts w:eastAsia="Times New Roman"/>
              </w:rPr>
              <w:t xml:space="preserve"> Extending the above rationale (i.e. the concept of overly precise predictions being coupled with imprecise sensory input) to FOG-provoking turning actions, we might expect to periodically observe over-rotation of body segments in conjunction with progressively smaller and quicker steps. However, regarding axial rotations, observations in the literature indicate the opposite, with people with Parkinson’s and FOG adopting a more </w:t>
            </w:r>
            <w:r w:rsidRPr="47688AD0">
              <w:rPr>
                <w:rFonts w:eastAsia="Times New Roman"/>
                <w:i/>
                <w:iCs/>
              </w:rPr>
              <w:t>en bloc</w:t>
            </w:r>
            <w:r w:rsidRPr="47688AD0">
              <w:rPr>
                <w:rFonts w:eastAsia="Times New Roman"/>
              </w:rPr>
              <w:t xml:space="preserve"> movement strategy</w:t>
            </w:r>
            <w:r w:rsidRPr="47688AD0">
              <w:rPr>
                <w:rFonts w:eastAsia="Times New Roman"/>
              </w:rPr>
              <w:fldChar w:fldCharType="begin" w:fldLock="1"/>
            </w:r>
            <w:r>
              <w:rPr>
                <w:rFonts w:eastAsia="Times New Roman"/>
              </w:rPr>
              <w:instrText>ADDIN CSL_CITATION {"citationItems":[{"id":"ITEM-1","itemData":{"DOI":"https://doi.org/10.1002/mds.25285","ISSN":"0885-3185","abstract":"Turning is the most important trigger for freezing of gait (FOG). The aim of this study was to investigate the relationship between impaired head-pelvis rotation during turning and FOG. Head, trunk, and pelvic rotation were measured at onset and throughout a 180-degree turn in 13 freezers and 14 nonfreezers (OFF medication). We also studied 14 controls at preferred and slow speed to investigate the influence of turn velocity on axial rotation. Location and duration of FOG episodes were defined during the turn. At turning onset, head rotation preceded thorax and pelvic rotation in all groups, but this craniocaudal sequence disappeared when FOG occurred. Maximum head-pelvis separation was significantly greater in controls, compared to freezers and nonfreezers (35.4 versus 25.7 and 27.3 degrees; P &lt; 0.01), but this finding was speed dependent. Timing of maximum head-pelvis separation was delayed in freezers, compared to nonfreezers and controls, irrespective of turn velocity. This delay was correlated with increased neck rigidity (R = 0.62; P = 0.02) and worsened during FOG trials. FOG occurred more often at the end of the turn, when difference in rotation velocity between head and pelvis was greatest. Even after controlling for speed and disease severity, turning in freezers was characterized by delayed head rotation and a closer coupling between head and pelvis, especially in turns where FOG occurred. These changes may be attributed to delayed preparation for the change in walking direction and, as such, contribute to FOG. ? 2013 Movement Disorder Society","author":[{"dropping-particle":"","family":"Spildooren","given":"Joke","non-dropping-particle":"","parse-names":false,"suffix":""},{"dropping-particle":"","family":"Vercruysse","given":"Sarah","non-dropping-particle":"","parse-names":false,"suffix":""},{"dropping-particle":"","family":"Heremans","given":"Elke","non-dropping-particle":"","parse-names":false,"suffix":""},{"dropping-particle":"","family":"Galna","given":"Brook","non-dropping-particle":"","parse-names":false,"suffix":""},{"dropping-particle":"","family":"Vandenbossche","given":"Jochen","non-dropping-particle":"","parse-names":false,"suffix":""},{"dropping-particle":"","family":"Desloovere","given":"Kaat","non-dropping-particle":"","parse-names":false,"suffix":""},{"dropping-particle":"","family":"Vandenberghe","given":"Wim","non-dropping-particle":"","parse-names":false,"suffix":""},{"dropping-particle":"","family":"Nieuwboer","given":"Alice","non-dropping-particle":"","parse-names":false,"suffix":""}],"container-title":"Movement Disorders","id":"ITEM-1","issue":"5","issued":{"date-parts":[["2013","5","1"]]},"page":"619-625","publisher":"John Wiley &amp; Sons, Ltd","title":"Head-pelvis coupling is increased during turning in patients with Parkinson's disease and freezing of gait","type":"article-journal","volume":"28"},"uris":["http://www.mendeley.com/documents/?uuid=b8e5c6fa-9196-46b0-ad83-354c92aeb4a0"]}],"mendeley":{"formattedCitation":"(131)","plainTextFormattedCitation":"(131)","previouslyFormattedCitation":"(131)"},"properties":{"noteIndex":0},"schema":"https://github.com/citation-style-language/schema/raw/master/csl-citation.json"}</w:instrText>
            </w:r>
            <w:r w:rsidRPr="47688AD0">
              <w:rPr>
                <w:rFonts w:eastAsia="Times New Roman"/>
              </w:rPr>
              <w:fldChar w:fldCharType="separate"/>
            </w:r>
            <w:r w:rsidRPr="005E1ACE">
              <w:rPr>
                <w:rFonts w:eastAsia="Times New Roman"/>
                <w:noProof/>
              </w:rPr>
              <w:t>(131)</w:t>
            </w:r>
            <w:r w:rsidRPr="47688AD0">
              <w:rPr>
                <w:rFonts w:eastAsia="Times New Roman"/>
              </w:rPr>
              <w:fldChar w:fldCharType="end"/>
            </w:r>
            <w:r w:rsidRPr="47688AD0">
              <w:rPr>
                <w:rFonts w:eastAsia="Times New Roman"/>
              </w:rPr>
              <w:t xml:space="preserve"> combined with reduced movement variability</w:t>
            </w:r>
            <w:r w:rsidRPr="47688AD0">
              <w:rPr>
                <w:rFonts w:eastAsia="Times New Roman"/>
              </w:rPr>
              <w:fldChar w:fldCharType="begin" w:fldLock="1"/>
            </w:r>
            <w:r>
              <w:rPr>
                <w:rFonts w:eastAsia="Times New Roman"/>
              </w:rPr>
              <w:instrText>ADDIN CSL_CITATION {"citationItems":[{"id":"ITEM-1","itemData":{"DOI":"10.21203/rs.3.rs-6456602/v1","abstract":"&amp;lt;title&amp;gt;Abstract&amp;lt;/title&amp;gt; &amp;lt;p&amp;gt;People with Parkinson’s Disease (PD) and Freezing of Gait (FOG) reportedly turn using an ‘en-bloc’ strategy, where the head and pelvis rotate together, unlike the head-leading movement seen in healthy adults. However, previous research relies on discrete maximum separation angles in 180° walking turns, despite recommendations to use 360° on-the-spot turns to better induce FOG. Current reports in people with Parkinson’s also fail to capture the time-varying coordination of body segments as the turn unfolds. Our study aimed to investigate head-pelvis coordination across strides during 360° on-the-spot turns in people with PD and FOG (PD + FOG), PD without FOG (PD-FOG), and healthy controls (HC). Twelve PD + FOG, 14 PD-FOG (tested ON medication), and 17 HC completed the turns during which head and pelvis angles in the transverse plane were calculated across strides in the first, middle and final sections of the turn. Head-pelvis angular difference did not differ between groups. However, PD + FOG showed increased coordination variability compared to HC (4.93°, p = 0.005) and PD-FOG (3.47°, p = 0.047); an observation that was no longer apparent after adjusting for MDS-UPDRS motor scores (p = 0.249) and MiniBEST (p = 0.051). PD + FOG also took more steps than PD-FOG (3.94, p = 0.008) and HC (6.47, p &amp;lt; 0.001), even after adjusting for covariates (MDS-UPDRS: p = 0.037; MiniBEST: p = 0.003). These findings suggest that people with PD do not necessarily exhibit more en-bloc turning compared to healthy controls. While head-pelvis coordination variability is higher in people with PD + FOG, this does not seem to be linked to FOG pathology &amp;lt;italic&amp;gt;per se&amp;lt;/italic&amp;gt;, but rather balance deficits associated with disease severity. Increased step count seems to be related to FOG, which could be interpreted as a factors that might provoke FOG, but also serve as a compensatory strategy to promote postural stability.&amp;lt;/p&amp;gt;","author":[{"dropping-particle":"","family":"Leveridge","given":"Phaedra","non-dropping-particle":"","parse-names":false,"suffix":""},{"dropping-particle":"","family":"Russo","given":"Yuri","non-dropping-particle":"","parse-names":false,"suffix":""},{"dropping-particle":"","family":"Williams","given":"Genevieve","non-dropping-particle":"","parse-names":false,"suffix":""},{"dropping-particle":"","family":"Ye","given":"Jiaxi","non-dropping-particle":"","parse-names":false,"suffix":""},{"dropping-particle":"","family":"Wang","given":"Zijing","non-dropping-particle":"","parse-names":false,"suffix":""},{"dropping-particle":"","family":"Lamb","given":"Sarah","non-dropping-particle":"","parse-names":false,"suffix":""},{"dropping-particle":"","family":"Young","given":"William","non-dropping-particle":"","parse-names":false,"suffix":""}],"container-title":"Research Square","id":"ITEM-1","issued":{"date-parts":[["2025"]]},"title":"Beyond En-Bloc Turning: Head-Pelvis Coordination Variability in 360° turns in people with Parkinson’s","type":"article-journal"},"uris":["http://www.mendeley.com/documents/?uuid=7c9f24b3-11bc-4cad-b83b-b480dbc6c2f2"]}],"mendeley":{"formattedCitation":"(132)","plainTextFormattedCitation":"(132)","previouslyFormattedCitation":"(132)"},"properties":{"noteIndex":0},"schema":"https://github.com/citation-style-language/schema/raw/master/csl-citation.json"}</w:instrText>
            </w:r>
            <w:r w:rsidRPr="47688AD0">
              <w:rPr>
                <w:rFonts w:eastAsia="Times New Roman"/>
              </w:rPr>
              <w:fldChar w:fldCharType="separate"/>
            </w:r>
            <w:r w:rsidRPr="005E1ACE">
              <w:rPr>
                <w:rFonts w:eastAsia="Times New Roman"/>
                <w:noProof/>
              </w:rPr>
              <w:t>(132)</w:t>
            </w:r>
            <w:r w:rsidRPr="47688AD0">
              <w:rPr>
                <w:rFonts w:eastAsia="Times New Roman"/>
              </w:rPr>
              <w:fldChar w:fldCharType="end"/>
            </w:r>
            <w:r w:rsidRPr="47688AD0">
              <w:rPr>
                <w:rFonts w:eastAsia="Times New Roman"/>
              </w:rPr>
              <w:t>. The reason for this apparent contrast between festination and turning actions may lie in the distinction between neural architectures responsible for regulating each respective action. Compared to the control of forward walking, turning relies to a greater extent on vestibular, visual and axial proprioceptive inputs that appear to retain higher precision in people with Parkinson’s relative to distal limb proprioception</w:t>
            </w:r>
            <w:r w:rsidRPr="47688AD0">
              <w:rPr>
                <w:rFonts w:eastAsia="Times New Roman"/>
              </w:rPr>
              <w:fldChar w:fldCharType="begin" w:fldLock="1"/>
            </w:r>
            <w:r>
              <w:rPr>
                <w:rFonts w:eastAsia="Times New Roman"/>
              </w:rPr>
              <w:instrText>ADDIN CSL_CITATION {"citationItems":[{"id":"ITEM-1","itemData":{"DOI":"10.3200/35-09-002","ISSN":"0022-2895","author":[{"dropping-particle":"","family":"Konczak","given":"Jürgen","non-dropping-particle":"","parse-names":false,"suffix":""},{"dropping-particle":"","family":"Corcos","given":"Daniel M","non-dropping-particle":"","parse-names":false,"suffix":""},{"dropping-particle":"","family":"Horak","given":"Fay","non-dropping-particle":"","parse-names":false,"suffix":""},{"dropping-particle":"","family":"Poizner","given":"Howard","non-dropping-particle":"","parse-names":false,"suffix":""},{"dropping-particle":"","family":"Shapiro","given":"Mark","non-dropping-particle":"","parse-names":false,"suffix":""},{"dropping-particle":"","family":"Tuite","given":"Paul","non-dropping-particle":"","parse-names":false,"suffix":""},{"dropping-particle":"","family":"Volkmann","given":"Jens","non-dropping-particle":"","parse-names":false,"suffix":""},{"dropping-particle":"","family":"Maschke","given":"Matthias","non-dropping-particle":"","parse-names":false,"suffix":""}],"container-title":"Journal of Motor Behavior","id":"ITEM-1","issue":"6","issued":{"date-parts":[["2009","1","1"]]},"note":"doi: 10.3200/35-09-002","page":"543-552","publisher":"Routledge","title":"Proprioception and Motor Control in Parkinson's Disease","type":"article-journal","volume":"41"},"uris":["http://www.mendeley.com/documents/?uuid=6f370f79-957c-48b8-86fb-e68bbfdcc4e2"]}],"mendeley":{"formattedCitation":"(133)","plainTextFormattedCitation":"(133)","previouslyFormattedCitation":"(133)"},"properties":{"noteIndex":0},"schema":"https://github.com/citation-style-language/schema/raw/master/csl-citation.json"}</w:instrText>
            </w:r>
            <w:r w:rsidRPr="47688AD0">
              <w:rPr>
                <w:rFonts w:eastAsia="Times New Roman"/>
              </w:rPr>
              <w:fldChar w:fldCharType="separate"/>
            </w:r>
            <w:r w:rsidRPr="005E1ACE">
              <w:rPr>
                <w:rFonts w:eastAsia="Times New Roman"/>
                <w:noProof/>
              </w:rPr>
              <w:t>(133)</w:t>
            </w:r>
            <w:r w:rsidRPr="47688AD0">
              <w:rPr>
                <w:rFonts w:eastAsia="Times New Roman"/>
              </w:rPr>
              <w:fldChar w:fldCharType="end"/>
            </w:r>
            <w:r w:rsidRPr="47688AD0">
              <w:rPr>
                <w:rFonts w:eastAsia="Times New Roman"/>
              </w:rPr>
              <w:t>, thereby generating critical prediction errors if segmental rotation becomes excessive. Furthermore, unlike the continuous cyclical task of forward walking, turning on the spot might be characterised as a sequence of discrete actions, with each step requiring a planned reorientation of each segment. Unless turning actions break down to a point where knee-trembling is evident</w:t>
            </w:r>
            <w:r w:rsidRPr="47688AD0">
              <w:rPr>
                <w:rFonts w:eastAsia="Times New Roman"/>
              </w:rPr>
              <w:fldChar w:fldCharType="begin" w:fldLock="1"/>
            </w:r>
            <w:r>
              <w:rPr>
                <w:rFonts w:eastAsia="Times New Roman"/>
              </w:rPr>
              <w:instrText>ADDIN CSL_CITATION {"citationItems":[{"id":"ITEM-1","itemData":{"ISSN":"0014-4886","author":[{"dropping-particle":"V","family":"Jacobs","given":"Jesse","non-dropping-particle":"","parse-names":false,"suffix":""},{"dropping-particle":"","family":"Nutt","given":"John G","non-dropping-particle":"","parse-names":false,"suffix":""},{"dropping-particle":"","family":"Carlson-Kuhta","given":"Patricia","non-dropping-particle":"","parse-names":false,"suffix":""},{"dropping-particle":"","family":"Stephens","given":"Marilee","non-dropping-particle":"","parse-names":false,"suffix":""},{"dropping-particle":"","family":"Horak","given":"Fay B","non-dropping-particle":"","parse-names":false,"suffix":""}],"container-title":"Experimental neurology","id":"ITEM-1","issue":"2","issued":{"date-parts":[["2009"]]},"page":"334-341","publisher":"Elsevier","title":"Knee trembling during freezing of gait represents multiple anticipatory postural adjustments","type":"article-journal","volume":"215"},"uris":["http://www.mendeley.com/documents/?uuid=57637c53-d897-4544-a3fc-1c2571c03730"]}],"mendeley":{"formattedCitation":"(134)","plainTextFormattedCitation":"(134)","previouslyFormattedCitation":"(134)"},"properties":{"noteIndex":0},"schema":"https://github.com/citation-style-language/schema/raw/master/csl-citation.json"}</w:instrText>
            </w:r>
            <w:r w:rsidRPr="47688AD0">
              <w:rPr>
                <w:rFonts w:eastAsia="Times New Roman"/>
              </w:rPr>
              <w:fldChar w:fldCharType="separate"/>
            </w:r>
            <w:r w:rsidRPr="005E1ACE">
              <w:rPr>
                <w:rFonts w:eastAsia="Times New Roman"/>
                <w:noProof/>
              </w:rPr>
              <w:t>(134)</w:t>
            </w:r>
            <w:r w:rsidRPr="47688AD0">
              <w:rPr>
                <w:rFonts w:eastAsia="Times New Roman"/>
              </w:rPr>
              <w:fldChar w:fldCharType="end"/>
            </w:r>
            <w:r w:rsidRPr="47688AD0">
              <w:rPr>
                <w:rFonts w:eastAsia="Times New Roman"/>
              </w:rPr>
              <w:t>, this relative segmentation of each step made within the turn could also serve to constrain the progressive accumulation of ‘runaway’ errors as observed in rhythmic repetitive tasks such as forward gait as well as upper-limb tapping tasks</w:t>
            </w:r>
            <w:r w:rsidRPr="47688AD0">
              <w:rPr>
                <w:rFonts w:eastAsia="Times New Roman"/>
              </w:rPr>
              <w:fldChar w:fldCharType="begin" w:fldLock="1"/>
            </w:r>
            <w:r>
              <w:rPr>
                <w:rFonts w:eastAsia="Times New Roman"/>
              </w:rPr>
              <w:instrText>ADDIN CSL_CITATION {"citationItems":[{"id":"ITEM-1","itemData":{"DOI":"https://doi.org/10.1111/j.1460-9568.2009.06681.x","ISSN":"0953-816X","abstract":"Abstract Freezing of gait (FOG) in patients with Parkinson?s disease (PD) is a common problem of unknown origin, which possibly reflects a general motor control deficit. We investigated the relationship between the frequency of freezing episodes during gait and during a bimanual task in control and subjects with PD with and without FOG. Group differences in spatiotemporal characteristics were also examined as well as the effects of visual cueing. Twenty patients with PD in the off-phase of the medication cycle and five age-matched controls performed a repetitive drawing task in an anti-phase pattern on a digitizer tablet. The task was offered at two different speeds (comfortable and maximal) and two different amplitudes (small and large) with and without visual cueing. The results showed that freezing episodes in the upper limbs occurred in only 10.4% of patient trials and that their occurrence was correlated with FOG scores (Spearman?s rho?=?0.64). Overall, few spatiotemporal differences were found between freezers, non-freezers and controls, except for an overshooting of the target amplitude in controls. Effects of visual cueing were largely similar in all groups, except for the variability of relative phase, which decreased in non-freezers and controls, and was unaffected in freezers. Despite the fact that general motor differences between subgroups were small, freezing episodes were manifest during a bimanual repetitive upper limb task and were correlated to FOG. Further study into upper limb movement breakdown is warranted to understand the parallel deficits that lead up to FOG.","author":[{"dropping-particle":"","family":"Nieuwboer","given":"Alice","non-dropping-particle":"","parse-names":false,"suffix":""},{"dropping-particle":"","family":"Vercruysse","given":"Sarah","non-dropping-particle":"","parse-names":false,"suffix":""},{"dropping-particle":"","family":"Feys","given":"Peter","non-dropping-particle":"","parse-names":false,"suffix":""},{"dropping-particle":"","family":"Levin","given":"Oron","non-dropping-particle":"","parse-names":false,"suffix":""},{"dropping-particle":"","family":"Spildooren","given":"Joke","non-dropping-particle":"","parse-names":false,"suffix":""},{"dropping-particle":"","family":"Swinnen","given":"Stephan","non-dropping-particle":"","parse-names":false,"suffix":""}],"container-title":"European Journal of Neuroscience","id":"ITEM-1","issue":"7","issued":{"date-parts":[["2009","4","1"]]},"page":"1422-1430","publisher":"John Wiley &amp; Sons, Ltd","title":"Upper limb movement interruptions are correlated to freezing of gait in Parkinson’s disease","type":"article-journal","volume":"29"},"uris":["http://www.mendeley.com/documents/?uuid=813670c3-d891-49fe-b185-30fa4183ebca"]}],"mendeley":{"formattedCitation":"(135)","plainTextFormattedCitation":"(135)","previouslyFormattedCitation":"(135)"},"properties":{"noteIndex":0},"schema":"https://github.com/citation-style-language/schema/raw/master/csl-citation.json"}</w:instrText>
            </w:r>
            <w:r w:rsidRPr="47688AD0">
              <w:rPr>
                <w:rFonts w:eastAsia="Times New Roman"/>
              </w:rPr>
              <w:fldChar w:fldCharType="separate"/>
            </w:r>
            <w:r w:rsidRPr="005E1ACE">
              <w:rPr>
                <w:rFonts w:eastAsia="Times New Roman"/>
                <w:noProof/>
              </w:rPr>
              <w:t>(135)</w:t>
            </w:r>
            <w:r w:rsidRPr="47688AD0">
              <w:rPr>
                <w:rFonts w:eastAsia="Times New Roman"/>
              </w:rPr>
              <w:fldChar w:fldCharType="end"/>
            </w:r>
            <w:r w:rsidRPr="47688AD0">
              <w:rPr>
                <w:rFonts w:eastAsia="Times New Roman"/>
              </w:rPr>
              <w:t>.</w:t>
            </w:r>
          </w:p>
          <w:p w14:paraId="1AAA3DE0" w14:textId="77777777" w:rsidR="009C0170" w:rsidRDefault="009C0170" w:rsidP="00176649">
            <w:pPr>
              <w:ind w:left="142" w:right="-188"/>
              <w:rPr>
                <w:rFonts w:eastAsia="Times New Roman"/>
              </w:rPr>
            </w:pPr>
          </w:p>
        </w:tc>
      </w:tr>
      <w:tr w:rsidR="009C0170" w14:paraId="7171E9AB" w14:textId="77777777" w:rsidTr="00176649">
        <w:trPr>
          <w:trHeight w:val="2565"/>
        </w:trPr>
        <w:tc>
          <w:tcPr>
            <w:tcW w:w="9015" w:type="dxa"/>
          </w:tcPr>
          <w:p w14:paraId="7C25C616" w14:textId="77777777" w:rsidR="009C0170" w:rsidRDefault="009C0170" w:rsidP="00176649">
            <w:pPr>
              <w:ind w:left="142" w:right="-188"/>
              <w:rPr>
                <w:rFonts w:eastAsia="Times New Roman"/>
              </w:rPr>
            </w:pPr>
            <w:r w:rsidRPr="47688AD0">
              <w:rPr>
                <w:rFonts w:eastAsia="Times New Roman"/>
                <w:i/>
                <w:iCs/>
              </w:rPr>
              <w:t xml:space="preserve">Destination freezes: </w:t>
            </w:r>
            <w:r w:rsidRPr="47688AD0">
              <w:rPr>
                <w:rFonts w:eastAsia="Times New Roman"/>
              </w:rPr>
              <w:t>Navigating complex and changing environments require a walker to update high level sensorimotor predictions so that motor output can be adapted accordingly. As above, breakdown in the updating of sensorimotor predictions impairs action selection and associated adaptability of motor performance</w:t>
            </w:r>
            <w:r w:rsidRPr="47688AD0">
              <w:rPr>
                <w:rFonts w:eastAsia="Times New Roman"/>
              </w:rPr>
              <w:fldChar w:fldCharType="begin" w:fldLock="1"/>
            </w:r>
            <w:r>
              <w:rPr>
                <w:rFonts w:eastAsia="Times New Roman"/>
              </w:rPr>
              <w:instrText>ADDIN CSL_CITATION {"citationItems":[{"id":"ITEM-1","itemData":{"DOI":"https://doi.org/10.1016/j.neubiorev.2024.105984","ISSN":"0149-7634","abstract":"Most of our movement consists of sequences of discrete actions at regular intervals—including speech, walking, playing music, or even chewing. Despite this, few models of the motor system address how the brain determines the interval at which to trigger actions. This paper offers a theoretical analysis of the problem of timing movements. We consider a scenario in which we must align an alternating movement with a regular external (auditory) stimulus. We assume that our brains employ generative world models that include internal clocks of various speeds. These allow us to associate a temporally regular sensory input with an internal clock, and actions with parts of that clock cycle. We treat this as process of inferring which clock best explains sensory input. This offers a way in which temporally discrete choices might emerge from a continuous process. This is not straightforward, particularly if each of those choices unfolds during a time that has a (possibly unknown) duration. We develop a route for translation to neurology, in the context of Parkinson’s disease—a disorder that characteristically slows down movements. The effects are often elicited in clinic by alternating movements. We find that it is possible to reproduce behavioural and electrophysiological features associated with parkinsonism by disrupting specific parameters—that determine the priors for inferences made by the brain. We observe three core features of Parkinson’s disease: amplitude decrement, festination, and breakdown of repetitive movements. Our simulations provide a mechanistic interpretation of how pathology and therapeutics might influence behaviour and neural activity.","author":[{"dropping-particle":"","family":"Parr","given":"Thomas","non-dropping-particle":"","parse-names":false,"suffix":""},{"dropping-particle":"","family":"Oswal","given":"Ashwini","non-dropping-particle":"","parse-names":false,"suffix":""},{"dropping-particle":"","family":"Manohar","given":"Sanjay G","non-dropping-particle":"","parse-names":false,"suffix":""}],"container-title":"Neuroscience &amp; Biobehavioral Reviews","id":"ITEM-1","issued":{"date-parts":[["2025"]]},"page":"105984","title":"Inferring when to move","type":"article-journal","volume":"169"},"uris":["http://www.mendeley.com/documents/?uuid=52c4f474-0de1-44d5-bf4a-da5d6527318a"]}],"mendeley":{"formattedCitation":"(53)","plainTextFormattedCitation":"(53)","previouslyFormattedCitation":"(53)"},"properties":{"noteIndex":0},"schema":"https://github.com/citation-style-language/schema/raw/master/csl-citation.json"}</w:instrText>
            </w:r>
            <w:r w:rsidRPr="47688AD0">
              <w:rPr>
                <w:rFonts w:eastAsia="Times New Roman"/>
              </w:rPr>
              <w:fldChar w:fldCharType="separate"/>
            </w:r>
            <w:r w:rsidRPr="00B45CCB">
              <w:rPr>
                <w:rFonts w:eastAsia="Times New Roman"/>
                <w:noProof/>
              </w:rPr>
              <w:t>(53)</w:t>
            </w:r>
            <w:r w:rsidRPr="47688AD0">
              <w:rPr>
                <w:rFonts w:eastAsia="Times New Roman"/>
              </w:rPr>
              <w:fldChar w:fldCharType="end"/>
            </w:r>
            <w:r w:rsidRPr="47688AD0">
              <w:rPr>
                <w:rFonts w:eastAsia="Times New Roman"/>
              </w:rPr>
              <w:t>. As a given motor task progresses (e.g. the distance to a doorway reduces) the need for sensory-driven revisions to internal models increases, creating a need for rapid re-evaluation of different potential motor plans. Problems with this policy selection could lead to transient periods where motor output is withheld, resulting in motor arrest/FOG</w:t>
            </w:r>
            <w:r w:rsidRPr="47688AD0">
              <w:rPr>
                <w:rFonts w:eastAsia="Times New Roman"/>
              </w:rPr>
              <w:fldChar w:fldCharType="begin" w:fldLock="1"/>
            </w:r>
            <w:r>
              <w:rPr>
                <w:rFonts w:eastAsia="Times New Roman"/>
              </w:rPr>
              <w:instrText>ADDIN CSL_CITATION {"citationItems":[{"id":"ITEM-1","itemData":{"DOI":"10.7554/eLife.53262","ISSN":"2050-084X","abstract":"This paper describes a framework for modelling dopamine function in the mammalian brain. It proposes that both learning and action planning involve processes minimizing prediction errors encoded by dopaminergic neurons. In this framework, dopaminergic neurons projecting to different parts of the striatum encode errors in predictions made by the corresponding systems within the basal ganglia. The dopaminergic neurons encode differences between rewards and expectations in the goal-directed system, and differences between the chosen and habitual actions in the habit system. These prediction errors trigger learning about rewards and habit formation, respectively. Additionally, dopaminergic neurons in the goal-directed system play a key role in action planning: They compute the difference between a desired reward and the reward expected from the current motor plan, and they facilitate action planning until this difference diminishes. Presented models account for dopaminergic responses during movements, effects of dopamine depletion on behaviour, and make several experimental predictions.","author":[{"dropping-particle":"","family":"Bogacz","given":"Rafal","non-dropping-particle":"","parse-names":false,"suffix":""}],"container-title":"eLife","editor":[{"dropping-particle":"","family":"Kahnt","given":"Thorsten","non-dropping-particle":"","parse-names":false,"suffix":""},{"dropping-particle":"","family":"Wassum","given":"Kate M","non-dropping-particle":"","parse-names":false,"suffix":""}],"id":"ITEM-1","issued":{"date-parts":[["2020"]]},"page":"e53262","publisher":"eLife Sciences Publications, Ltd","title":"Dopamine role in learning and action inference","type":"article-journal","volume":"9"},"uris":["http://www.mendeley.com/documents/?uuid=c092ee3b-d68f-4cea-81c9-4b166288454e"]}],"mendeley":{"formattedCitation":"(136)","plainTextFormattedCitation":"(136)","previouslyFormattedCitation":"(136)"},"properties":{"noteIndex":0},"schema":"https://github.com/citation-style-language/schema/raw/master/csl-citation.json"}</w:instrText>
            </w:r>
            <w:r w:rsidRPr="47688AD0">
              <w:rPr>
                <w:rFonts w:eastAsia="Times New Roman"/>
              </w:rPr>
              <w:fldChar w:fldCharType="separate"/>
            </w:r>
            <w:r w:rsidRPr="005E1ACE">
              <w:rPr>
                <w:rFonts w:eastAsia="Times New Roman"/>
                <w:noProof/>
              </w:rPr>
              <w:t>(136)</w:t>
            </w:r>
            <w:r w:rsidRPr="47688AD0">
              <w:rPr>
                <w:rFonts w:eastAsia="Times New Roman"/>
              </w:rPr>
              <w:fldChar w:fldCharType="end"/>
            </w:r>
            <w:r w:rsidRPr="47688AD0">
              <w:rPr>
                <w:rFonts w:eastAsia="Times New Roman"/>
              </w:rPr>
              <w:t>.</w:t>
            </w:r>
          </w:p>
          <w:p w14:paraId="502D35B3" w14:textId="77777777" w:rsidR="009C0170" w:rsidRDefault="009C0170" w:rsidP="00176649">
            <w:pPr>
              <w:ind w:left="142" w:right="-188"/>
              <w:rPr>
                <w:rFonts w:eastAsia="Times New Roman"/>
              </w:rPr>
            </w:pPr>
          </w:p>
        </w:tc>
      </w:tr>
      <w:tr w:rsidR="009C0170" w14:paraId="4C8A8552" w14:textId="77777777" w:rsidTr="00176649">
        <w:trPr>
          <w:trHeight w:val="300"/>
        </w:trPr>
        <w:tc>
          <w:tcPr>
            <w:tcW w:w="9015" w:type="dxa"/>
            <w:tcBorders>
              <w:bottom w:val="single" w:sz="12" w:space="0" w:color="000000" w:themeColor="text1"/>
            </w:tcBorders>
          </w:tcPr>
          <w:p w14:paraId="3A1E3690" w14:textId="77777777" w:rsidR="009C0170" w:rsidRDefault="009C0170" w:rsidP="00176649">
            <w:pPr>
              <w:ind w:left="142" w:right="-188"/>
              <w:rPr>
                <w:rFonts w:eastAsia="Times New Roman"/>
              </w:rPr>
            </w:pPr>
            <w:r w:rsidRPr="47688AD0">
              <w:rPr>
                <w:i/>
                <w:iCs/>
              </w:rPr>
              <w:t xml:space="preserve">Start hesitations: </w:t>
            </w:r>
            <w:r w:rsidRPr="47688AD0">
              <w:t>People living with Parkinson’s and FOG often experience a temporary, involuntary inability to initiate gait</w:t>
            </w:r>
            <w:r>
              <w:fldChar w:fldCharType="begin" w:fldLock="1"/>
            </w:r>
            <w:r>
              <w:instrText>ADDIN CSL_CITATION {"citationItems":[{"id":"ITEM-1","itemData":{"author":[{"dropping-particle":"","family":"Schaafsma","given":"J D","non-dropping-particle":"","parse-names":false,"suffix":""},{"dropping-particle":"","family":"Balash","given":"Y","non-dropping-particle":"","parse-names":false,"suffix":""},{"dropping-particle":"","family":"Gurevich","given":"T","non-dropping-particle":"","parse-names":false,"suffix":""},{"dropping-particle":"","family":"Bartels","given":"A L","non-dropping-particle":"","parse-names":false,"suffix":""},{"dropping-particle":"","family":"Hausdorff","given":"J M","non-dropping-particle":"","parse-names":false,"suffix":""},{"dropping-particle":"","family":"Giladi","given":"N","non-dropping-particle":"","parse-names":false,"suffix":""}],"container-title":"European journal of neurology","id":"ITEM-1","issue":"4","issued":{"date-parts":[["2003"]]},"page":"391-398","title":"Characterization of freezing of gait subtypes and the response of each to levodopa in Parkinson's disease","type":"article-journal","volume":"10"},"uris":["http://www.mendeley.com/documents/?uuid=905c84c1-74df-445b-b8bc-22672f640b84"]}],"mendeley":{"formattedCitation":"(137)","plainTextFormattedCitation":"(137)","previouslyFormattedCitation":"(137)"},"properties":{"noteIndex":0},"schema":"https://github.com/citation-style-language/schema/raw/master/csl-citation.json"}</w:instrText>
            </w:r>
            <w:r>
              <w:fldChar w:fldCharType="separate"/>
            </w:r>
            <w:r w:rsidRPr="005E1ACE">
              <w:rPr>
                <w:noProof/>
              </w:rPr>
              <w:t>(137)</w:t>
            </w:r>
            <w:r>
              <w:fldChar w:fldCharType="end"/>
            </w:r>
            <w:r w:rsidRPr="47688AD0">
              <w:t>. During gait initiation, anticipatory postural adjustments (APAs) are often hypometric in people with FOG pathology</w:t>
            </w:r>
            <w:r>
              <w:fldChar w:fldCharType="begin" w:fldLock="1"/>
            </w:r>
            <w:r>
              <w:instrText>ADDIN CSL_CITATION {"citationItems":[{"id":"ITEM-1","itemData":{"author":[{"dropping-particle":"","family":"Schlenstedt","given":"C","non-dropping-particle":"","parse-names":false,"suffix":""},{"dropping-particle":"","family":"Mancini","given":"M","non-dropping-particle":"","parse-names":false,"suffix":""},{"dropping-particle":"","family":"Nutt","given":"J","non-dropping-particle":"","parse-names":false,"suffix":""},{"dropping-particle":"","family":"Hiller","given":"A P","non-dropping-particle":"","parse-names":false,"suffix":""},{"dropping-particle":"","family":"Maetzler","given":"W","non-dropping-particle":"","parse-names":false,"suffix":""},{"dropping-particle":"","family":"Deuschl","given":"G","non-dropping-particle":"","parse-names":false,"suffix":""},{"dropping-particle":"","family":"Horak","given":"F","non-dropping-particle":"","parse-names":false,"suffix":""}],"container-title":"Frontiers in Aging Neuroscience","id":"ITEM-1","issued":{"date-parts":[["2018"]]},"page":"10","title":"Are hypometric anticipatory postural adjustments contributing to freezing of gait in Parkinson's disease?","type":"article-journal","volume":"15"},"uris":["http://www.mendeley.com/documents/?uuid=b9d3cd2e-2624-407a-9904-fd069b965bd0"]},{"id":"ITEM-2","itemData":{"ISSN":"0885-3185","author":[{"dropping-particle":"","family":"Burleigh‐Jacobs","given":"Anne","non-dropping-particle":"","parse-names":false,"suffix":""},{"dropping-particle":"","family":"Horak","given":"Fay B","non-dropping-particle":"","parse-names":false,"suffix":""},{"dropping-particle":"","family":"Nutt","given":"John G","non-dropping-particle":"","parse-names":false,"suffix":""},{"dropping-particle":"","family":"Obeso","given":"Jose A","non-dropping-particle":"","parse-names":false,"suffix":""}],"container-title":"Movement disorders","id":"ITEM-2","issue":"2","issued":{"date-parts":[["1997"]]},"page":"206-215","publisher":"Wiley Online Library","title":"Step initiation in Parkinson's disease: influence of levodopa and external sensory triggers","type":"article-journal","volume":"12"},"uris":["http://www.mendeley.com/documents/?uuid=6c2dc047-9706-4916-bb93-2925d0c8afab"]},{"id":"ITEM-3","itemData":{"author":[{"dropping-particle":"","family":"Maslivec","given":"Amy","non-dropping-particle":"","parse-names":false,"suffix":""},{"dropping-particle":"","family":"Fielding","given":"Anna","non-dropping-particle":"","parse-names":false,"suffix":""},{"dropping-particle":"","family":"Wilson","given":"Mark","non-dropping-particle":"","parse-names":false,"suffix":""},{"dropping-particle":"","family":"Norris","given":"Meriel","non-dropping-particle":"","parse-names":false,"suffix":""},{"dropping-particle":"","family":"Young","given":"William","non-dropping-particle":"","parse-names":false,"suffix":""}],"id":"ITEM-3","issued":{"date-parts":[["2020"]]},"title":"‘Recoupling’the attentional and motor control of preparatory postural adjustments to overcome Freezing of Gait in Parkinson’s","type":"article-journal"},"uris":["http://www.mendeley.com/documents/?uuid=96f2b38b-0dcb-4f30-bfcd-87342bb7ce05"]}],"mendeley":{"formattedCitation":"(30,138,139)","plainTextFormattedCitation":"(30,138,139)","previouslyFormattedCitation":"(30,138,139)"},"properties":{"noteIndex":0},"schema":"https://github.com/citation-style-language/schema/raw/master/csl-citation.json"}</w:instrText>
            </w:r>
            <w:r>
              <w:fldChar w:fldCharType="separate"/>
            </w:r>
            <w:r w:rsidRPr="005E1ACE">
              <w:rPr>
                <w:noProof/>
              </w:rPr>
              <w:t>(30,138,139)</w:t>
            </w:r>
            <w:r>
              <w:fldChar w:fldCharType="end"/>
            </w:r>
            <w:r w:rsidRPr="47688AD0">
              <w:t>, potentially contributing to instability and increased incidence of failed attempts to step</w:t>
            </w:r>
            <w:r>
              <w:fldChar w:fldCharType="begin" w:fldLock="1"/>
            </w:r>
            <w:r>
              <w:instrText>ADDIN CSL_CITATION {"citationItems":[{"id":"ITEM-1","itemData":{"author":[{"dropping-particle":"","family":"Maslivec","given":"Amy","non-dropping-particle":"","parse-names":false,"suffix":""},{"dropping-particle":"","family":"Fielding","given":"Anna","non-dropping-particle":"","parse-names":false,"suffix":""},{"dropping-particle":"","family":"Wilson","given":"Mark","non-dropping-particle":"","parse-names":false,"suffix":""},{"dropping-particle":"","family":"Norris","given":"Meriel","non-dropping-particle":"","parse-names":false,"suffix":""},{"dropping-particle":"","family":"Young","given":"William","non-dropping-particle":"","parse-names":false,"suffix":""}],"id":"ITEM-1","issued":{"date-parts":[["2020"]]},"title":"‘Recoupling’the attentional and motor control of preparatory postural adjustments to overcome Freezing of Gait in Parkinson’s","type":"article-journal"},"uris":["http://www.mendeley.com/documents/?uuid=96f2b38b-0dcb-4f30-bfcd-87342bb7ce05"]}],"mendeley":{"formattedCitation":"(30)","plainTextFormattedCitation":"(30)","previouslyFormattedCitation":"(30)"},"properties":{"noteIndex":0},"schema":"https://github.com/citation-style-language/schema/raw/master/csl-citation.json"}</w:instrText>
            </w:r>
            <w:r>
              <w:fldChar w:fldCharType="separate"/>
            </w:r>
            <w:r w:rsidRPr="009C228F">
              <w:rPr>
                <w:noProof/>
              </w:rPr>
              <w:t>(30)</w:t>
            </w:r>
            <w:r>
              <w:fldChar w:fldCharType="end"/>
            </w:r>
            <w:r w:rsidRPr="47688AD0">
              <w:t xml:space="preserve">. </w:t>
            </w:r>
            <w:r w:rsidRPr="47688AD0">
              <w:rPr>
                <w:rFonts w:eastAsia="Times New Roman"/>
              </w:rPr>
              <w:lastRenderedPageBreak/>
              <w:t>This impaired modulation can be interpreted as failure to generate sufficient precision in sensorimotor predictions and periodically down-weight sensory signals to permit the execution of predicted movement. The role of dopamine in influencing these processes is evidenced through the partial restoration of APAs following Levodopa intake</w:t>
            </w:r>
            <w:r w:rsidRPr="47688AD0">
              <w:rPr>
                <w:rFonts w:eastAsia="Times New Roman"/>
              </w:rPr>
              <w:fldChar w:fldCharType="begin" w:fldLock="1"/>
            </w:r>
            <w:r>
              <w:rPr>
                <w:rFonts w:eastAsia="Times New Roman"/>
              </w:rPr>
              <w:instrText>ADDIN CSL_CITATION {"citationItems":[{"id":"ITEM-1","itemData":{"author":[{"dropping-particle":"","family":"Schlenstedt","given":"C","non-dropping-particle":"","parse-names":false,"suffix":""},{"dropping-particle":"","family":"Mancini","given":"M","non-dropping-particle":"","parse-names":false,"suffix":""},{"dropping-particle":"","family":"Nutt","given":"J","non-dropping-particle":"","parse-names":false,"suffix":""},{"dropping-particle":"","family":"Hiller","given":"A P","non-dropping-particle":"","parse-names":false,"suffix":""},{"dropping-particle":"","family":"Maetzler","given":"W","non-dropping-particle":"","parse-names":false,"suffix":""},{"dropping-particle":"","family":"Deuschl","given":"G","non-dropping-particle":"","parse-names":false,"suffix":""},{"dropping-particle":"","family":"Horak","given":"F","non-dropping-particle":"","parse-names":false,"suffix":""}],"container-title":"Frontiers in Aging Neuroscience","id":"ITEM-1","issued":{"date-parts":[["2018"]]},"page":"10","title":"Are hypometric anticipatory postural adjustments contributing to freezing of gait in Parkinson's disease?","type":"article-journal","volume":"15"},"uris":["http://www.mendeley.com/documents/?uuid=b9d3cd2e-2624-407a-9904-fd069b965bd0"]}],"mendeley":{"formattedCitation":"(138)","plainTextFormattedCitation":"(138)","previouslyFormattedCitation":"(138)"},"properties":{"noteIndex":0},"schema":"https://github.com/citation-style-language/schema/raw/master/csl-citation.json"}</w:instrText>
            </w:r>
            <w:r w:rsidRPr="47688AD0">
              <w:rPr>
                <w:rFonts w:eastAsia="Times New Roman"/>
              </w:rPr>
              <w:fldChar w:fldCharType="separate"/>
            </w:r>
            <w:r w:rsidRPr="005E1ACE">
              <w:rPr>
                <w:rFonts w:eastAsia="Times New Roman"/>
                <w:noProof/>
              </w:rPr>
              <w:t>(138)</w:t>
            </w:r>
            <w:r w:rsidRPr="47688AD0">
              <w:rPr>
                <w:rFonts w:eastAsia="Times New Roman"/>
              </w:rPr>
              <w:fldChar w:fldCharType="end"/>
            </w:r>
            <w:r w:rsidRPr="47688AD0">
              <w:rPr>
                <w:rFonts w:eastAsia="Times New Roman"/>
              </w:rPr>
              <w:t>. R</w:t>
            </w:r>
            <w:r w:rsidRPr="47688AD0">
              <w:t>esearchers developing step-initiation training based on conscious replacement of defective APAs have observed people intuitively adopting rhythmic preparatory actions including repetitive weight shifting and ancillary movements, including the upper limbs, head and trunk</w:t>
            </w:r>
            <w:r>
              <w:fldChar w:fldCharType="begin" w:fldLock="1"/>
            </w:r>
            <w:r>
              <w:instrText>ADDIN CSL_CITATION {"citationItems":[{"id":"ITEM-1","itemData":{"author":[{"dropping-particle":"","family":"Maslivec","given":"Amy","non-dropping-particle":"","parse-names":false,"suffix":""},{"dropping-particle":"","family":"Fielding","given":"Anna","non-dropping-particle":"","parse-names":false,"suffix":""},{"dropping-particle":"","family":"Wilson","given":"Mark","non-dropping-particle":"","parse-names":false,"suffix":""},{"dropping-particle":"","family":"Norris","given":"Meriel","non-dropping-particle":"","parse-names":false,"suffix":""},{"dropping-particle":"","family":"Young","given":"William","non-dropping-particle":"","parse-names":false,"suffix":""}],"id":"ITEM-1","issued":{"date-parts":[["2020"]]},"title":"‘Recoupling’the attentional and motor control of preparatory postural adjustments to overcome Freezing of Gait in Parkinson’s","type":"article-journal"},"uris":["http://www.mendeley.com/documents/?uuid=96f2b38b-0dcb-4f30-bfcd-87342bb7ce05"]},{"id":"ITEM-2","itemData":{"DOI":"10.2340/jrm.v57.42491","ISSN":"1651-2081 (Electronic)","PMID":"40376751","abstract":"OBJECTIVE: To assess the efficacy of anticipatory postural adjustments training  on the ability to successfully step from freezing of gait, and to evaluate the contribution of attentional processes to potential benefits using an additional attentional-control training intervention. DESIGN: Crossover-design. SUBJECTS/PATIENTS: Nineteen people with Parkinson's and freezing (females: 10; age:75.5 ± 7.5 years) tested while ON medication. METHODS: Participants navigated a cluttered virtual domestic environment with freeze-provoking tasks. Assessments occurred in the laboratory at baseline, post-anticipatory postural adjustments training, and post-attentional-control training, with randomized training order. All training was video-based. Video annotation was used to identify freezing events. Participants' immediately recollected thoughts they had during the tasks were analysed with content analysis. Perceived safety and effectiveness of the strategies were reported in follow-up calls held 4 weeks post-assessment. RESULTS: Successful step initiations increased from 57% at baseline to 77% post-anticipatory postural adjustments training (p = 0.034). Participants rated the interventions as safe and effective, reporting increased balance confidence (70% to 90%), and reduced fear (p = 0.01), after the anticipatory postural training. Attentional-control training alone was perceived as less effective compared with more goal-directed anticipatory postural adjustments training. CONCLUSION: Video-based anticipatory postural adjustments training significantly improved step initiation from freezing when used during challenging tasks and in complex environments. Anticipatory postural adjustments training shows promise as an effective \"rescue strategy\" that could be learned remotely/at home.","author":[{"dropping-particle":"","family":"Russo","given":"Yuri","non-dropping-particle":"","parse-names":false,"suffix":""},{"dropping-particle":"","family":"Wang","given":"Zijing","non-dropping-particle":"","parse-names":false,"suffix":""},{"dropping-particle":"","family":"Ye","given":"Jiaxi","non-dropping-particle":"","parse-names":false,"suffix":""},{"dropping-particle":"","family":"Leveridge","given":"Phaedra","non-dropping-particle":"","parse-names":false,"suffix":""},{"dropping-particle":"","family":"Nieuwboer","given":"Alice","non-dropping-particle":"","parse-names":false,"suffix":""},{"dropping-particle":"","family":"Wilson","given":"Mark","non-dropping-particle":"","parse-names":false,"suffix":""},{"dropping-particle":"","family":"Norris","given":"Meriel","non-dropping-particle":"","parse-names":false,"suffix":""},{"dropping-particle":"","family":"Kal","given":"Elmar","non-dropping-particle":"","parse-names":false,"suffix":""},{"dropping-particle":"","family":"Lamb","given":"Sarah E","non-dropping-particle":"","parse-names":false,"suffix":""},{"dropping-particle":"","family":"Young","given":"William R","non-dropping-particle":"","parse-names":false,"suffix":""}],"container-title":"Journal of rehabilitation medicine","id":"ITEM-2","issued":{"date-parts":[["2025","5"]]},"language":"eng","page":"jrm42491","publisher-place":"Sweden","title":"Efficacy of a single session of anticipatory postural adjustments training to  support people with Parkinson's overcoming freezing of gait: a multi-methods approach.","type":"article-journal","volume":"57"},"uris":["http://www.mendeley.com/documents/?uuid=e8f66d91-fd44-4d26-88a1-ce4acd674935"]},{"id":"ITEM-3","itemData":{"DOI":"10.3233/JPD-213125","ISSN":"1877-7171","abstract":"Freezing of gait (FOG) can severely compromise daily functioning in people with Parkinson?s disease. Inability to initiate a step from FOG is likely underpinned, at least in part, by a deficient preparatory weight-shift. Conscious attempts to weight-shift in preparation to step can improve success of initiating forward steps following FOG. However, FOG often occurs during turning, where weight-shifting is more complex and risk of falling is higher. We explored the effectiveness of a dance-based (?cha-cha?) weight-shifting strategy to re-initiate stepping following FOG during turning. Results suggest that this simple movement strategy can enhance turning steps following FOG, without compromising safety.","author":[{"dropping-particle":"","family":"Kal","given":" Elmar C","non-dropping-particle":"","parse-names":false,"suffix":""},{"dropping-particle":"","family":"Ellmers","given":" Toby J","non-dropping-particle":"","parse-names":false,"suffix":""},{"dropping-particle":"","family":"Fielding","given":" Anna E","non-dropping-particle":"","parse-names":false,"suffix":""},{"dropping-particle":"","family":"Hardeman","given":" Lotte","non-dropping-particle":"","parse-names":false,"suffix":""},{"dropping-particle":"","family":"Coito","given":" Juliana","non-dropping-particle":"","parse-names":false,"suffix":""},{"dropping-particle":"","family":"Joyce","given":" Lauren","non-dropping-particle":"","parse-names":false,"suffix":""},{"dropping-particle":"","family":"Young","given":" William R","non-dropping-particle":"","parse-names":false,"suffix":""}],"container-title":"Journal of Parkinson’s Disease","id":"ITEM-3","issue":"4","issued":{"date-parts":[["2022","3","2"]]},"note":"doi: 10.3233/JPD-213125","page":"1353-1358","publisher":"SAGE Publications","title":"Weighting for the Beat: Using a Dance Cue to Facilitate Turning in People with Parkinson’s Disease and Freezing of Gait","type":"article-journal","volume":"12"},"uris":["http://www.mendeley.com/documents/?uuid=40392476-a088-4630-9f45-56a49fcf2288"]}],"mendeley":{"formattedCitation":"(30,122,124)","plainTextFormattedCitation":"(30,122,124)","previouslyFormattedCitation":"(30,122,124)"},"properties":{"noteIndex":0},"schema":"https://github.com/citation-style-language/schema/raw/master/csl-citation.json"}</w:instrText>
            </w:r>
            <w:r>
              <w:fldChar w:fldCharType="separate"/>
            </w:r>
            <w:r w:rsidRPr="005E1ACE">
              <w:rPr>
                <w:noProof/>
              </w:rPr>
              <w:t>(30,122,124)</w:t>
            </w:r>
            <w:r>
              <w:fldChar w:fldCharType="end"/>
            </w:r>
            <w:r w:rsidRPr="47688AD0">
              <w:t>. Much like a golfer shuffling prior to taking a shot, we argue that these preparatory actions can be interpreted as an attempt to minimise uncertainty by acting on the world to sample sensory evidence about body position/movement and environmental constraints</w:t>
            </w:r>
            <w:r>
              <w:fldChar w:fldCharType="begin" w:fldLock="1"/>
            </w:r>
            <w:r>
              <w:instrText>ADDIN CSL_CITATION {"citationItems":[{"id":"ITEM-1","itemData":{"DOI":"https://doi.org/10.1016/j.neuroscience.2010.08.030","ISSN":"0306-4522","abstract":"Humans and other species are unable to stand perfectly still; their bodies continuously sway during stance even during concentrated efforts to avoid such movement. Traditionally, this phenomenon has been viewed as an inability of the central nervous system (CNS) to maintain perfect equilibrium because of its reliance on feedback from sensory signals to control corrective ground-reaction forces. Using a novel method to minimize movements of the body during stance without subject awareness, we have made the unique discovery that ground-reaction forces are generated independent of body sway, as evidenced by observations of increased centre of pressure variability when postural sway is minimized experimentally. Contrary to traditional views, our results suggest that postural sway may be used by the CNS as an exploratory mechanism to ensure that continuous dynamic inputs are provided by multiple sensory systems. This novel paradigm has the potential to significantly shift long-standing views on balance, and questions the theoretical basis behind conventional treatment strategies for balance deficits associated with age and disease.","author":[{"dropping-particle":"","family":"Carpenter","given":"M G","non-dropping-particle":"","parse-names":false,"suffix":""},{"dropping-particle":"","family":"Murnaghan","given":"C D","non-dropping-particle":"","parse-names":false,"suffix":""},{"dropping-particle":"","family":"Inglis","given":"J T","non-dropping-particle":"","parse-names":false,"suffix":""}],"container-title":"Neuroscience","id":"ITEM-1","issue":"1","issued":{"date-parts":[["2010"]]},"page":"196-204","title":"Shifting the balance: evidence of an exploratory role for postural sway","type":"article-journal","volume":"171"},"uris":["http://www.mendeley.com/documents/?uuid=27b63336-2f93-4a16-b914-98cc21fc6e91"]}],"mendeley":{"formattedCitation":"(140)","plainTextFormattedCitation":"(140)","previouslyFormattedCitation":"(140)"},"properties":{"noteIndex":0},"schema":"https://github.com/citation-style-language/schema/raw/master/csl-citation.json"}</w:instrText>
            </w:r>
            <w:r>
              <w:fldChar w:fldCharType="separate"/>
            </w:r>
            <w:r w:rsidRPr="005E1ACE">
              <w:rPr>
                <w:noProof/>
              </w:rPr>
              <w:t>(140)</w:t>
            </w:r>
            <w:r>
              <w:fldChar w:fldCharType="end"/>
            </w:r>
            <w:r w:rsidRPr="47688AD0">
              <w:t>. This input is then used to increase the precision of sensorimotor predictions</w:t>
            </w:r>
            <w:r w:rsidRPr="47688AD0">
              <w:rPr>
                <w:rFonts w:eastAsia="Times New Roman"/>
              </w:rPr>
              <w:t>. The rhythmic preparatory actions described here therefore represent a form of self-generative temporal scaffolding (Figure 2, part B) serving to stabilise gait-related top-down predictions</w:t>
            </w:r>
            <w:r w:rsidRPr="47688AD0">
              <w:rPr>
                <w:rFonts w:eastAsia="Times New Roman"/>
              </w:rPr>
              <w:fldChar w:fldCharType="begin" w:fldLock="1"/>
            </w:r>
            <w:r>
              <w:rPr>
                <w:rFonts w:eastAsia="Times New Roman"/>
              </w:rPr>
              <w:instrText>ADDIN CSL_CITATION {"citationItems":[{"id":"ITEM-1","itemData":{"DOI":"10.1007/s00422-019-00805-w","ISSN":"1432-0770","abstract":"Active inference is an approach to understanding behaviour that rests upon the idea that the brain uses an internal generative model to predict incoming sensory data. The fit between this model and data may be improved in two ways. The brain could optimise probabilistic beliefs about the variables in the generative model (i.e. perceptual inference). Alternatively, by acting on the world, it could change the sensory data, such that they are more consistent with the model. This implies a common objective function (variational free energy) for action and perception that scores the fit between an internal model and the world. We compare two free energy functionals for active inference in the framework of Markov decision processes. One of these is a functional of beliefs (i.e. probability distributions) about states and policies, but a function of observations, while the second is a functional of beliefs about all three. In the former (expected free energy), prior beliefs about outcomes are not part of the generative model (because they are absorbed into the prior over policies). Conversely, in the second (generalised free energy), priors over outcomes become an explicit component of the generative model. When using the free energy function, which is blind to future observations, we equip the generative model with a prior over policies that ensure preferred (i.e. priors over) outcomes are realised. In other words, if we expect to encounter a particular kind of outcome, this lends plausibility to those policies for which this outcome is a consequence. In addition, this formulation ensures that selected policies minimise uncertainty about future outcomes by minimising the free energy expected in the future. When using the free energy functional—that effectively treats future observations as hidden states—we show that policies are inferred or selected that realise prior preferences by minimising the free energy of future expectations. Interestingly, the form of posterior beliefs about policies (and associated belief updating) turns out to be identical under both formulations, but the quantities used to compute them are not.","author":[{"dropping-particle":"","family":"Parr","given":"Thomas","non-dropping-particle":"","parse-names":false,"suffix":""},{"dropping-particle":"","family":"Friston","given":"Karl J","non-dropping-particle":"","parse-names":false,"suffix":""}],"container-title":"Biological Cybernetics","id":"ITEM-1","issue":"5","issued":{"date-parts":[["2019"]]},"page":"495-513","title":"Generalised free energy and active inference","type":"article-journal","volume":"113"},"uris":["http://www.mendeley.com/documents/?uuid=94fe3095-9c2a-4e4f-8a2d-d06a5c050246"]}],"mendeley":{"formattedCitation":"(141)","plainTextFormattedCitation":"(141)","previouslyFormattedCitation":"(141)"},"properties":{"noteIndex":0},"schema":"https://github.com/citation-style-language/schema/raw/master/csl-citation.json"}</w:instrText>
            </w:r>
            <w:r w:rsidRPr="47688AD0">
              <w:rPr>
                <w:rFonts w:eastAsia="Times New Roman"/>
              </w:rPr>
              <w:fldChar w:fldCharType="separate"/>
            </w:r>
            <w:r w:rsidRPr="005E1ACE">
              <w:rPr>
                <w:rFonts w:eastAsia="Times New Roman"/>
                <w:noProof/>
              </w:rPr>
              <w:t>(141)</w:t>
            </w:r>
            <w:r w:rsidRPr="47688AD0">
              <w:rPr>
                <w:rFonts w:eastAsia="Times New Roman"/>
              </w:rPr>
              <w:fldChar w:fldCharType="end"/>
            </w:r>
            <w:r w:rsidRPr="47688AD0">
              <w:rPr>
                <w:rFonts w:eastAsia="Times New Roman"/>
              </w:rPr>
              <w:t xml:space="preserve"> and facilitate the selection of an action plan under conditions of impaired precision control that we collectively characterise as Rhythm Changers (Figure 2, part C).</w:t>
            </w:r>
          </w:p>
          <w:p w14:paraId="34200C74" w14:textId="77777777" w:rsidR="009C0170" w:rsidRDefault="009C0170" w:rsidP="00176649">
            <w:pPr>
              <w:ind w:left="142" w:right="-188"/>
              <w:rPr>
                <w:rFonts w:eastAsia="Times New Roman"/>
              </w:rPr>
            </w:pPr>
          </w:p>
        </w:tc>
      </w:tr>
    </w:tbl>
    <w:p w14:paraId="79298A0E" w14:textId="77777777" w:rsidR="009C0170" w:rsidRPr="00451F11" w:rsidRDefault="009C0170" w:rsidP="009C0170">
      <w:pPr>
        <w:ind w:right="-188"/>
        <w:rPr>
          <w:rFonts w:eastAsia="Times New Roman"/>
        </w:rPr>
      </w:pPr>
    </w:p>
    <w:p w14:paraId="0A9D0757" w14:textId="77777777" w:rsidR="00C96A9F" w:rsidRDefault="00C96A9F"/>
    <w:sectPr w:rsidR="00C96A9F" w:rsidSect="009C01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170"/>
    <w:rsid w:val="00467A30"/>
    <w:rsid w:val="008D7FAB"/>
    <w:rsid w:val="009C0170"/>
    <w:rsid w:val="00A1021E"/>
    <w:rsid w:val="00C96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63FD8"/>
  <w15:chartTrackingRefBased/>
  <w15:docId w15:val="{7918044D-1E6C-4625-8F79-18108893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170"/>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9C0170"/>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lang w:eastAsia="en-US"/>
    </w:rPr>
  </w:style>
  <w:style w:type="paragraph" w:styleId="Heading2">
    <w:name w:val="heading 2"/>
    <w:basedOn w:val="Normal"/>
    <w:next w:val="Normal"/>
    <w:link w:val="Heading2Char"/>
    <w:uiPriority w:val="9"/>
    <w:semiHidden/>
    <w:unhideWhenUsed/>
    <w:qFormat/>
    <w:rsid w:val="009C0170"/>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lang w:eastAsia="en-US"/>
    </w:rPr>
  </w:style>
  <w:style w:type="paragraph" w:styleId="Heading3">
    <w:name w:val="heading 3"/>
    <w:basedOn w:val="Normal"/>
    <w:next w:val="Normal"/>
    <w:link w:val="Heading3Char"/>
    <w:uiPriority w:val="9"/>
    <w:semiHidden/>
    <w:unhideWhenUsed/>
    <w:qFormat/>
    <w:rsid w:val="009C0170"/>
    <w:pPr>
      <w:keepNext/>
      <w:keepLines/>
      <w:spacing w:before="160" w:after="80" w:line="259" w:lineRule="auto"/>
      <w:outlineLvl w:val="2"/>
    </w:pPr>
    <w:rPr>
      <w:rFonts w:asciiTheme="minorHAnsi" w:eastAsiaTheme="majorEastAsia" w:hAnsiTheme="minorHAnsi" w:cstheme="majorBidi"/>
      <w:color w:val="2E74B5" w:themeColor="accent1" w:themeShade="BF"/>
      <w:sz w:val="28"/>
      <w:szCs w:val="28"/>
      <w:lang w:eastAsia="en-US"/>
    </w:rPr>
  </w:style>
  <w:style w:type="paragraph" w:styleId="Heading4">
    <w:name w:val="heading 4"/>
    <w:basedOn w:val="Normal"/>
    <w:next w:val="Normal"/>
    <w:link w:val="Heading4Char"/>
    <w:uiPriority w:val="9"/>
    <w:semiHidden/>
    <w:unhideWhenUsed/>
    <w:qFormat/>
    <w:rsid w:val="009C0170"/>
    <w:pPr>
      <w:keepNext/>
      <w:keepLines/>
      <w:spacing w:before="80" w:after="40" w:line="259" w:lineRule="auto"/>
      <w:outlineLvl w:val="3"/>
    </w:pPr>
    <w:rPr>
      <w:rFonts w:asciiTheme="minorHAnsi" w:eastAsiaTheme="majorEastAsia" w:hAnsiTheme="minorHAnsi" w:cstheme="majorBidi"/>
      <w:i/>
      <w:iCs/>
      <w:color w:val="2E74B5" w:themeColor="accent1" w:themeShade="BF"/>
      <w:sz w:val="22"/>
      <w:szCs w:val="22"/>
      <w:lang w:eastAsia="en-US"/>
    </w:rPr>
  </w:style>
  <w:style w:type="paragraph" w:styleId="Heading5">
    <w:name w:val="heading 5"/>
    <w:basedOn w:val="Normal"/>
    <w:next w:val="Normal"/>
    <w:link w:val="Heading5Char"/>
    <w:uiPriority w:val="9"/>
    <w:semiHidden/>
    <w:unhideWhenUsed/>
    <w:qFormat/>
    <w:rsid w:val="009C0170"/>
    <w:pPr>
      <w:keepNext/>
      <w:keepLines/>
      <w:spacing w:before="80" w:after="40" w:line="259" w:lineRule="auto"/>
      <w:outlineLvl w:val="4"/>
    </w:pPr>
    <w:rPr>
      <w:rFonts w:asciiTheme="minorHAnsi" w:eastAsiaTheme="majorEastAsia" w:hAnsiTheme="minorHAnsi" w:cstheme="majorBidi"/>
      <w:color w:val="2E74B5" w:themeColor="accent1" w:themeShade="BF"/>
      <w:sz w:val="22"/>
      <w:szCs w:val="22"/>
      <w:lang w:eastAsia="en-US"/>
    </w:rPr>
  </w:style>
  <w:style w:type="paragraph" w:styleId="Heading6">
    <w:name w:val="heading 6"/>
    <w:basedOn w:val="Normal"/>
    <w:next w:val="Normal"/>
    <w:link w:val="Heading6Char"/>
    <w:uiPriority w:val="9"/>
    <w:semiHidden/>
    <w:unhideWhenUsed/>
    <w:qFormat/>
    <w:rsid w:val="009C0170"/>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9C0170"/>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9C0170"/>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9C0170"/>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17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C017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C017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C017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C017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C01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1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1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170"/>
    <w:rPr>
      <w:rFonts w:eastAsiaTheme="majorEastAsia" w:cstheme="majorBidi"/>
      <w:color w:val="272727" w:themeColor="text1" w:themeTint="D8"/>
    </w:rPr>
  </w:style>
  <w:style w:type="paragraph" w:styleId="Title">
    <w:name w:val="Title"/>
    <w:basedOn w:val="Normal"/>
    <w:next w:val="Normal"/>
    <w:link w:val="TitleChar"/>
    <w:uiPriority w:val="10"/>
    <w:qFormat/>
    <w:rsid w:val="009C0170"/>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9C01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170"/>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9C01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170"/>
    <w:pPr>
      <w:spacing w:before="160" w:after="160" w:line="259" w:lineRule="auto"/>
      <w:jc w:val="center"/>
    </w:pPr>
    <w:rPr>
      <w:rFonts w:ascii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9C0170"/>
    <w:rPr>
      <w:i/>
      <w:iCs/>
      <w:color w:val="404040" w:themeColor="text1" w:themeTint="BF"/>
    </w:rPr>
  </w:style>
  <w:style w:type="paragraph" w:styleId="ListParagraph">
    <w:name w:val="List Paragraph"/>
    <w:basedOn w:val="Normal"/>
    <w:uiPriority w:val="34"/>
    <w:qFormat/>
    <w:rsid w:val="009C0170"/>
    <w:pPr>
      <w:spacing w:after="160" w:line="259" w:lineRule="auto"/>
      <w:ind w:left="720"/>
      <w:contextualSpacing/>
    </w:pPr>
    <w:rPr>
      <w:rFonts w:asciiTheme="minorHAnsi" w:hAnsiTheme="minorHAnsi" w:cstheme="minorBidi"/>
      <w:sz w:val="22"/>
      <w:szCs w:val="22"/>
      <w:lang w:eastAsia="en-US"/>
    </w:rPr>
  </w:style>
  <w:style w:type="character" w:styleId="IntenseEmphasis">
    <w:name w:val="Intense Emphasis"/>
    <w:basedOn w:val="DefaultParagraphFont"/>
    <w:uiPriority w:val="21"/>
    <w:qFormat/>
    <w:rsid w:val="009C0170"/>
    <w:rPr>
      <w:i/>
      <w:iCs/>
      <w:color w:val="2E74B5" w:themeColor="accent1" w:themeShade="BF"/>
    </w:rPr>
  </w:style>
  <w:style w:type="paragraph" w:styleId="IntenseQuote">
    <w:name w:val="Intense Quote"/>
    <w:basedOn w:val="Normal"/>
    <w:next w:val="Normal"/>
    <w:link w:val="IntenseQuoteChar"/>
    <w:uiPriority w:val="30"/>
    <w:qFormat/>
    <w:rsid w:val="009C0170"/>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hAnsiTheme="minorHAnsi" w:cstheme="minorBidi"/>
      <w:i/>
      <w:iCs/>
      <w:color w:val="2E74B5" w:themeColor="accent1" w:themeShade="BF"/>
      <w:sz w:val="22"/>
      <w:szCs w:val="22"/>
      <w:lang w:eastAsia="en-US"/>
    </w:rPr>
  </w:style>
  <w:style w:type="character" w:customStyle="1" w:styleId="IntenseQuoteChar">
    <w:name w:val="Intense Quote Char"/>
    <w:basedOn w:val="DefaultParagraphFont"/>
    <w:link w:val="IntenseQuote"/>
    <w:uiPriority w:val="30"/>
    <w:rsid w:val="009C0170"/>
    <w:rPr>
      <w:i/>
      <w:iCs/>
      <w:color w:val="2E74B5" w:themeColor="accent1" w:themeShade="BF"/>
    </w:rPr>
  </w:style>
  <w:style w:type="character" w:styleId="IntenseReference">
    <w:name w:val="Intense Reference"/>
    <w:basedOn w:val="DefaultParagraphFont"/>
    <w:uiPriority w:val="32"/>
    <w:qFormat/>
    <w:rsid w:val="009C0170"/>
    <w:rPr>
      <w:b/>
      <w:bCs/>
      <w:smallCaps/>
      <w:color w:val="2E74B5" w:themeColor="accent1" w:themeShade="BF"/>
      <w:spacing w:val="5"/>
    </w:rPr>
  </w:style>
  <w:style w:type="table" w:styleId="TableGrid">
    <w:name w:val="Table Grid"/>
    <w:basedOn w:val="TableNormal"/>
    <w:uiPriority w:val="59"/>
    <w:rsid w:val="009C01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6731</Words>
  <Characters>38371</Characters>
  <Application>Microsoft Office Word</Application>
  <DocSecurity>0</DocSecurity>
  <Lines>319</Lines>
  <Paragraphs>90</Paragraphs>
  <ScaleCrop>false</ScaleCrop>
  <Company>University of Exeter</Company>
  <LinksUpToDate>false</LinksUpToDate>
  <CharactersWithSpaces>45012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Will</dc:creator>
  <cp:keywords/>
  <dc:description/>
  <cp:lastModifiedBy>Young, Will</cp:lastModifiedBy>
  <cp:revision>1</cp:revision>
  <dcterms:created xsi:type="dcterms:W3CDTF">2026-05-20T10:18:00Z</dcterms:created>
  <dcterms:modified xsi:type="dcterms:W3CDTF">2026-05-20T10:18:00Z</dcterms:modified>
</cp:coreProperties>
</file>