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/>
          <w:color w:val="000000"/>
          <w:kern w:val="0"/>
          <w:sz w:val="22"/>
          <w:lang w:val="en-US"/>
        </w:rPr>
      </w:pPr>
      <w:r>
        <w:rPr>
          <w:rFonts w:hint="default"/>
          <w:color w:val="000000"/>
          <w:kern w:val="0"/>
          <w:sz w:val="22"/>
          <w:lang w:val="en-US" w:eastAsia="zh-CN"/>
        </w:rPr>
        <w:t>supplement table 2:</w:t>
      </w:r>
    </w:p>
    <w:p>
      <w:pPr>
        <w:keepNext w:val="0"/>
        <w:keepLines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/>
          <w:color w:val="000000"/>
          <w:kern w:val="0"/>
          <w:sz w:val="22"/>
        </w:rPr>
      </w:pPr>
      <w:r>
        <w:rPr>
          <w:rFonts w:hint="default"/>
          <w:color w:val="000000"/>
          <w:kern w:val="0"/>
          <w:sz w:val="22"/>
        </w:rPr>
        <w:t>Top 20 GO</w:t>
      </w:r>
      <w:r>
        <w:rPr>
          <w:rFonts w:hint="eastAsia"/>
          <w:color w:val="000000"/>
          <w:kern w:val="0"/>
          <w:sz w:val="22"/>
        </w:rPr>
        <w:t>, KEGG</w:t>
      </w:r>
      <w:r>
        <w:rPr>
          <w:rFonts w:hint="default"/>
          <w:color w:val="000000"/>
          <w:kern w:val="0"/>
          <w:sz w:val="22"/>
        </w:rPr>
        <w:t xml:space="preserve"> results </w:t>
      </w:r>
      <w:r>
        <w:rPr>
          <w:rFonts w:hint="eastAsia"/>
          <w:color w:val="000000"/>
          <w:kern w:val="0"/>
          <w:sz w:val="22"/>
        </w:rPr>
        <w:t xml:space="preserve">for </w:t>
      </w:r>
      <w:r>
        <w:rPr>
          <w:rFonts w:hint="default"/>
          <w:color w:val="000000"/>
          <w:kern w:val="0"/>
          <w:sz w:val="22"/>
        </w:rPr>
        <w:t>TCGA</w:t>
      </w:r>
      <w:r>
        <w:rPr>
          <w:rFonts w:hint="eastAsia"/>
          <w:color w:val="000000"/>
          <w:kern w:val="0"/>
          <w:sz w:val="22"/>
        </w:rPr>
        <w:t xml:space="preserve"> (up) and </w:t>
      </w:r>
      <w:r>
        <w:rPr>
          <w:rFonts w:hint="default"/>
          <w:color w:val="000000"/>
          <w:kern w:val="0"/>
          <w:sz w:val="22"/>
        </w:rPr>
        <w:t>CPTAC</w:t>
      </w:r>
      <w:r>
        <w:rPr>
          <w:rFonts w:hint="eastAsia"/>
          <w:color w:val="000000"/>
          <w:kern w:val="0"/>
          <w:sz w:val="22"/>
        </w:rPr>
        <w:t>(down) databases</w:t>
      </w:r>
    </w:p>
    <w:tbl>
      <w:tblPr>
        <w:tblStyle w:val="4"/>
        <w:tblpPr w:leftFromText="180" w:rightFromText="180" w:vertAnchor="text" w:horzAnchor="page" w:tblpXSpec="center" w:tblpY="195"/>
        <w:tblOverlap w:val="never"/>
        <w:tblW w:w="91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96"/>
        <w:gridCol w:w="1392"/>
        <w:gridCol w:w="911"/>
      </w:tblGrid>
      <w:tr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Count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GO:0015267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channel activity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1.66E-28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GO:0022803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passive transmembrane transporter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2.49E-28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GO:0005216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3.29E-24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GO:0022836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gated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1.65E-23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GO:0005261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cation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7.49E-20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GO:0046873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metal ion transmembrane transporter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2.34E-17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GO:0030546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signaling receptor activator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5.49E-17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GO:0048018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receptor ligand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6.53E-17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GO:0005539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glycosaminoglycan binding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1.27E-14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GO:0015079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potassium ion transmembrane transporter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9.93E-14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GO:0008528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 protein-coupled peptide receptor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2.41E-13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GO:0001653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peptide receptor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5.20E-13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GO:0015276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ligand-gated 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1.20E-12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GO:0022834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ligand-gated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1.20E-12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GO:0034987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immunoglobulin receptor binding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3.03E-12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GO:0005244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3.66E-12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GO:0022832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3.66E-12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GO:0008201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heparin binding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4.09E-12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GO:0099094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ligand-gated cation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4.68E-12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GO:0022843</w:t>
            </w:r>
          </w:p>
        </w:tc>
        <w:tc>
          <w:tcPr>
            <w:tcW w:w="5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cation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6.62E-12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Count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hsa04080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Neuroactive ligand-receptor interaction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3.78E-24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hsa04020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Calcium signaling pathway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3.86E-12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hsa04270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Vascular smooth muscle contraction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2.28E-09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hsa04024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cAMP signaling pathway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2.42E-09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hsa04060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Cytokine-cytokine receptor interaction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2.52E-09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hsa04512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ECM-receptor interaction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8.39E-08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hsa04713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Circadian entrainment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hsa04950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Maturity onset diabetes of the young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2.40E-07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hsa05414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Dilated cardiomyopathy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3.13E-07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hsa04911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Insulin secretion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3.36E-07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hsa05144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Malaria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3.75E-07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hsa05032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Morphine addiction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9.68E-07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hsa04022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cGMP-PKG signaling pathway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2.35E-06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hsa04970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Salivary secretion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5.86E-06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hsa04726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Serotonergic synapse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6.90E-06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hsa04061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Viral protein interaction with cytokine and cytokine receptor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1.06E-05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hsa04510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Focal adhesion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1.68E-05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hsa04514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Cell adhesion molecules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1.77E-05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hsa04930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Type II diabetes mellitus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3.45E-05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hsa05226</w:t>
            </w:r>
          </w:p>
        </w:tc>
        <w:tc>
          <w:tcPr>
            <w:tcW w:w="5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3.68E-05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</w:pPr>
            <w:r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  <w:t>ID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</w:pPr>
            <w:r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  <w:t>Description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</w:pPr>
            <w:r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  <w:t>P</w:t>
            </w:r>
            <w:r>
              <w:rPr>
                <w:rFonts w:hint="eastAsia"/>
                <w:b/>
                <w:bCs/>
                <w:color w:val="333333"/>
                <w:sz w:val="22"/>
                <w:shd w:val="clear" w:color="auto" w:fill="F7F8FA"/>
              </w:rPr>
              <w:t xml:space="preserve"> </w:t>
            </w:r>
            <w:r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  <w:t>value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</w:pPr>
            <w:r>
              <w:rPr>
                <w:rFonts w:hint="default"/>
                <w:b/>
                <w:bCs/>
                <w:color w:val="333333"/>
                <w:sz w:val="22"/>
                <w:shd w:val="clear" w:color="auto" w:fill="F7F8FA"/>
              </w:rPr>
              <w:t>Count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GO:0022803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passive transmembrane transporter activity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3.53E-19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GO:0015267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6.04E-19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GO:0030546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signaling receptor activator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2.62E-18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GO:0048018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receptor ligand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3.03E-18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GO:0022836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gated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2.16E-17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GO:0046873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metal ion transmembrane transporter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2.80E-16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GO:0005216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3.03E-16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GO:0005125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cytokine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2.03E-15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GO:0015079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potassium ion transmembrane transporter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2.07E-14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GO:0005539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glycosaminoglycan binding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1.07E-13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GO:0005261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cation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1.55E-13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GO:0005201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extracellular matrix structural constituent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3.24E-12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GO:0008201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heparin binding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9.61E-12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GO:0005267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potassium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1.04E-11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GO:0022843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cation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1.43E-11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GO:0004714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transmembrane receptor protein tyrosine kinase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3.67E-11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GO:0015077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monovalent inorganic cation transmembrane transporter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1.35E-10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GO:0005244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ion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1.69E-10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GO:0022832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1.69E-10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GO:0005249</w:t>
            </w:r>
          </w:p>
        </w:tc>
        <w:tc>
          <w:tcPr>
            <w:tcW w:w="5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voltage-gated potassium channel activity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2.40E-10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000000"/>
                <w:sz w:val="22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2"/>
              </w:rPr>
              <w:t>Count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hsa04080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Neuroactive ligand-receptor interaction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1.73E-13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hsa04060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Cytokine-cytokine receptor interaction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7.31E-11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hsa04020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Calcium signaling pathway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2.00E-07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hsa04061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Viral protein interaction with cytokine and cytokine receptor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9.27E-07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hsa04972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Pancreatic secretion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5.20E-06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hsa00830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Retinol metabolism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6.40E-06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hsa04974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Protein digestion and absorption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7.39E-06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hsa04657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IL-17 signaling pathway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1.30E-05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hsa04512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ECM-receptor interaction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2.59E-05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hsa04024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cAMP signaling pathway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3.29E-05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hsa04713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Circadian entrainment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3.60E-05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hsa04270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Vascular smooth muscle contraction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3.79E-05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hsa04976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Bile secretion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5.13E-05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hsa04610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Complement and coagulation cascades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5.79E-05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hsa05150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Staphylococcus aureus infection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6.22E-05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hsa02010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ABC transporters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9.42E-05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hsa05226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0.000120482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hsa04726</w:t>
            </w:r>
          </w:p>
        </w:tc>
        <w:tc>
          <w:tcPr>
            <w:tcW w:w="5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Serotonergic synapse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0.000125788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hsa05414</w:t>
            </w:r>
          </w:p>
        </w:tc>
        <w:tc>
          <w:tcPr>
            <w:tcW w:w="5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Dilated cardiomyopathy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0.000143664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44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9514D6"/>
    <w:rsid w:val="00427D36"/>
    <w:rsid w:val="009514D6"/>
    <w:rsid w:val="00996D67"/>
    <w:rsid w:val="00AE5A64"/>
    <w:rsid w:val="00C63903"/>
    <w:rsid w:val="00CA791F"/>
    <w:rsid w:val="3A7A2215"/>
    <w:rsid w:val="547C17DD"/>
    <w:rsid w:val="6BE0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659</Words>
  <Characters>3761</Characters>
  <Lines>31</Lines>
  <Paragraphs>8</Paragraphs>
  <TotalTime>10</TotalTime>
  <ScaleCrop>false</ScaleCrop>
  <LinksUpToDate>false</LinksUpToDate>
  <CharactersWithSpaces>4412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2021-09-04T10:44:00Z</dcterms:created>
  <dc:creator>系统管理员</dc:creator>
  <cp:lastModifiedBy>WPS_1569932119</cp:lastModifiedBy>
  <dcterms:modified xsi:type="dcterms:W3CDTF">2021-10-18T09:26:26Z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761F9CEBA19F41ABA2F362A8F18BF279</vt:lpwstr>
  </property>
</Properties>
</file>