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1370"/>
        <w:gridCol w:w="950"/>
        <w:gridCol w:w="1310"/>
        <w:gridCol w:w="730"/>
        <w:gridCol w:w="1310"/>
        <w:gridCol w:w="724"/>
        <w:gridCol w:w="822"/>
      </w:tblGrid>
      <w:tr w14:paraId="16FAE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05FC1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3864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Table S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. Laboratory and Metabolic Characteristics of Participants by GI Disease Status at Baseline </w:t>
            </w:r>
          </w:p>
        </w:tc>
      </w:tr>
      <w:tr w14:paraId="5F54C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6" w:type="pct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10B1A01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</w:t>
            </w:r>
          </w:p>
        </w:tc>
        <w:tc>
          <w:tcPr>
            <w:tcW w:w="3751" w:type="pct"/>
            <w:gridSpan w:val="6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722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3864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GI Disease status</w:t>
            </w:r>
          </w:p>
        </w:tc>
        <w:tc>
          <w:tcPr>
            <w:tcW w:w="482" w:type="pct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7AAEA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 </w:t>
            </w:r>
            <w:r>
              <w:rPr>
                <w:rStyle w:val="25"/>
                <w:rFonts w:eastAsia="宋体"/>
                <w:lang w:val="en-US" w:eastAsia="zh-CN" w:bidi="ar"/>
              </w:rPr>
              <w:t>value</w:t>
            </w:r>
          </w:p>
        </w:tc>
      </w:tr>
      <w:tr w14:paraId="264BC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6" w:type="pct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92E028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3" w:type="pct"/>
            <w:tcBorders>
              <w:top w:val="single" w:color="1F3864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5F83D2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Overall</w:t>
            </w:r>
          </w:p>
        </w:tc>
        <w:tc>
          <w:tcPr>
            <w:tcW w:w="557" w:type="pct"/>
            <w:tcBorders>
              <w:top w:val="single" w:color="1F3864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12A87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768" w:type="pct"/>
            <w:tcBorders>
              <w:top w:val="single" w:color="1F3864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F131E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 </w:t>
            </w:r>
          </w:p>
        </w:tc>
        <w:tc>
          <w:tcPr>
            <w:tcW w:w="428" w:type="pct"/>
            <w:tcBorders>
              <w:top w:val="single" w:color="1F3864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6985C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768" w:type="pct"/>
            <w:tcBorders>
              <w:top w:val="single" w:color="1F3864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0AF7103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424" w:type="pct"/>
            <w:tcBorders>
              <w:top w:val="single" w:color="1F3864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23B0C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482" w:type="pct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797A76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2"/>
                <w:szCs w:val="22"/>
                <w:u w:val="none"/>
              </w:rPr>
            </w:pPr>
          </w:p>
        </w:tc>
      </w:tr>
      <w:tr w14:paraId="271DF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6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6F946D8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(mg/dL)</w:t>
            </w:r>
          </w:p>
        </w:tc>
        <w:tc>
          <w:tcPr>
            <w:tcW w:w="803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214AE64B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102.2 [94.3–112.9]</w:t>
            </w:r>
          </w:p>
        </w:tc>
        <w:tc>
          <w:tcPr>
            <w:tcW w:w="557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0C8B2C6C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9,268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550645B5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102.4 [94.5–113.4]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637D336B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7,355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2D22F13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101.5 [93.8–111.6]</w:t>
            </w:r>
          </w:p>
        </w:tc>
        <w:tc>
          <w:tcPr>
            <w:tcW w:w="424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05975B56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1,913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1CA5E9C1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8F60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6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59F9393C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CRP,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mg/L)</w:t>
            </w:r>
          </w:p>
        </w:tc>
        <w:tc>
          <w:tcPr>
            <w:tcW w:w="803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01A5515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 [0.5–2.1]</w:t>
            </w:r>
          </w:p>
        </w:tc>
        <w:tc>
          <w:tcPr>
            <w:tcW w:w="557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02E128E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9,287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08BA0495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 [0.6–2.1]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208EF067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7,369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1595F972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 [0.5–1.9]</w:t>
            </w:r>
          </w:p>
        </w:tc>
        <w:tc>
          <w:tcPr>
            <w:tcW w:w="424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27C37FDE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1,918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5DCF315F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037CC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6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73B72A88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(mg/dL)</w:t>
            </w:r>
          </w:p>
        </w:tc>
        <w:tc>
          <w:tcPr>
            <w:tcW w:w="803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7659B72E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104.4 [74.3–153.1]</w:t>
            </w:r>
          </w:p>
        </w:tc>
        <w:tc>
          <w:tcPr>
            <w:tcW w:w="557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0CD94E26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9,282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3C5286A2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106.2 [75.2–154.0]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2CB6D583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7,364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3B6B5CD9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99.1 [72.6–146.9]</w:t>
            </w:r>
          </w:p>
        </w:tc>
        <w:tc>
          <w:tcPr>
            <w:tcW w:w="424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40BF9435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1,918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6276CC41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BDA6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6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4ACB8616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-c 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mg/dL)</w:t>
            </w:r>
          </w:p>
        </w:tc>
        <w:tc>
          <w:tcPr>
            <w:tcW w:w="803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3391D483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113.7 [93.0–136.9]</w:t>
            </w:r>
          </w:p>
        </w:tc>
        <w:tc>
          <w:tcPr>
            <w:tcW w:w="557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2E2C6F7A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9,271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5542F2DF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114.0 [93.2–136.9]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5B6EADC4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7,355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50DB0B1B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112.9 [92.4–136.2]</w:t>
            </w:r>
          </w:p>
        </w:tc>
        <w:tc>
          <w:tcPr>
            <w:tcW w:w="424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41DF4E91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1,916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110164B5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BB39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6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20ED71AE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-c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(mg/dL)</w:t>
            </w:r>
          </w:p>
        </w:tc>
        <w:tc>
          <w:tcPr>
            <w:tcW w:w="803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4A676C5B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49.5 [40.6–59.9]</w:t>
            </w:r>
          </w:p>
        </w:tc>
        <w:tc>
          <w:tcPr>
            <w:tcW w:w="557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2CCE3D0E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9,287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67B83C4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49.1 [40.2–59.9]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744259D3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7,369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67B41899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51.0 [41.4–61.5]</w:t>
            </w:r>
          </w:p>
        </w:tc>
        <w:tc>
          <w:tcPr>
            <w:tcW w:w="424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513C7B9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1,918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0978AFE3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3274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6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5EEB7B18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(mg/dL)</w:t>
            </w:r>
          </w:p>
        </w:tc>
        <w:tc>
          <w:tcPr>
            <w:tcW w:w="803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6B8468A3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 [3.6–5.2]</w:t>
            </w:r>
          </w:p>
        </w:tc>
        <w:tc>
          <w:tcPr>
            <w:tcW w:w="557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212AB8DA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9,287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032BA8E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 [3.6–5.2]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7002ED4A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7,369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484C254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 [3.5–4.9]</w:t>
            </w:r>
          </w:p>
        </w:tc>
        <w:tc>
          <w:tcPr>
            <w:tcW w:w="424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19B26026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1,918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042E5324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5F7E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6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709AA71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HbA1c (%)</w:t>
            </w:r>
          </w:p>
        </w:tc>
        <w:tc>
          <w:tcPr>
            <w:tcW w:w="803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178FF39B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 [4.9–5.4]</w:t>
            </w:r>
          </w:p>
        </w:tc>
        <w:tc>
          <w:tcPr>
            <w:tcW w:w="557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5BF8265F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9,326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15CF33C1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 [4.9–5.4]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331E6205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7,413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5900C6A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 [4.9–5.4]</w:t>
            </w:r>
          </w:p>
        </w:tc>
        <w:tc>
          <w:tcPr>
            <w:tcW w:w="424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579365E4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1,913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0D9ACD72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371F2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66" w:type="pct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732846E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CTI </w:t>
            </w:r>
          </w:p>
        </w:tc>
        <w:tc>
          <w:tcPr>
            <w:tcW w:w="803" w:type="pct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24DBF5A4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 [8.1–9.2]</w:t>
            </w:r>
          </w:p>
        </w:tc>
        <w:tc>
          <w:tcPr>
            <w:tcW w:w="557" w:type="pct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5093F3A6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8,360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16C8853B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 [8.2–9.2]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6B0CF9E1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6,655</w:t>
            </w:r>
          </w:p>
        </w:tc>
        <w:tc>
          <w:tcPr>
            <w:tcW w:w="768" w:type="pct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74E8A11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8.5 [8.0–9.1]</w:t>
            </w:r>
          </w:p>
        </w:tc>
        <w:tc>
          <w:tcPr>
            <w:tcW w:w="424" w:type="pct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2B7E1378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1,705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667FBE25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034CC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2F7FD"/>
            <w:vAlign w:val="top"/>
          </w:tcPr>
          <w:p w14:paraId="5115981F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Data are presented as median [interquartile range] with the number of non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missing participants (n) shown below each group. Group comparisons were performed using the Wilcoxon rank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sum test.</w:t>
            </w:r>
          </w:p>
          <w:p w14:paraId="45ECCC05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595959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GI, gastrointestinal disease; FBG, fasting blood glucose; CRP, 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reactive protein; TG, triglycerides; LDL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c, low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density lipoprotein cholesterol; HDL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c, high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density lipoprotein cholesterol; UA, uric acid; HbA1c, glycated hemoglobin; CTI, 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reactive protein–glucose–triglyceride index.</w:t>
            </w:r>
          </w:p>
        </w:tc>
      </w:tr>
      <w:bookmarkEnd w:id="0"/>
    </w:tbl>
    <w:p w14:paraId="6A2DB982"/>
    <w:tbl>
      <w:tblPr>
        <w:tblStyle w:val="14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258"/>
        <w:gridCol w:w="792"/>
        <w:gridCol w:w="1270"/>
        <w:gridCol w:w="759"/>
        <w:gridCol w:w="1301"/>
        <w:gridCol w:w="680"/>
        <w:gridCol w:w="926"/>
      </w:tblGrid>
      <w:tr w14:paraId="6670B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5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20A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3864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Table S</w:t>
            </w: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. Laboratory and Metabolic Characteristics of Participants by CVD Status at Baseline </w:t>
            </w:r>
          </w:p>
        </w:tc>
      </w:tr>
      <w:tr w14:paraId="4B4B1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B220B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</w:t>
            </w:r>
          </w:p>
        </w:tc>
        <w:tc>
          <w:tcPr>
            <w:tcW w:w="6060" w:type="dxa"/>
            <w:gridSpan w:val="6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8B6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3864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3864"/>
                <w:kern w:val="0"/>
                <w:sz w:val="22"/>
                <w:szCs w:val="22"/>
                <w:u w:val="none"/>
                <w:lang w:val="en-US" w:eastAsia="zh-CN" w:bidi="ar"/>
              </w:rPr>
              <w:t>CVD status</w:t>
            </w:r>
          </w:p>
        </w:tc>
        <w:tc>
          <w:tcPr>
            <w:tcW w:w="926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7A7B27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</w:tr>
      <w:tr w14:paraId="2EF4F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11279C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8" w:type="dxa"/>
            <w:tcBorders>
              <w:top w:val="single" w:color="1F3864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22CBCE3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Overall</w:t>
            </w:r>
          </w:p>
        </w:tc>
        <w:tc>
          <w:tcPr>
            <w:tcW w:w="792" w:type="dxa"/>
            <w:tcBorders>
              <w:top w:val="single" w:color="1F3864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E453CA3">
            <w:pPr>
              <w:keepNext w:val="0"/>
              <w:keepLines w:val="0"/>
              <w:widowControl/>
              <w:suppressLineNumbers w:val="0"/>
              <w:snapToGrid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1270" w:type="dxa"/>
            <w:tcBorders>
              <w:top w:val="single" w:color="1F3864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1E391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 </w:t>
            </w:r>
          </w:p>
        </w:tc>
        <w:tc>
          <w:tcPr>
            <w:tcW w:w="759" w:type="dxa"/>
            <w:tcBorders>
              <w:top w:val="single" w:color="1F3864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2C1F4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1301" w:type="dxa"/>
            <w:tcBorders>
              <w:top w:val="single" w:color="1F3864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6247704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W w:w="680" w:type="dxa"/>
            <w:tcBorders>
              <w:top w:val="single" w:color="1F3864" w:sz="8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8CFB8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</w:p>
        </w:tc>
        <w:tc>
          <w:tcPr>
            <w:tcW w:w="926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820B61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EB2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547CCFF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FBG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(mg/dL)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78A44E98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102.6 [94.7–114.1]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5659B1B2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8,381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749DE62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102.4 [94.5–113.4]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00A7EF5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7,342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58C232C3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105.1 [95.9–120.0]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2164C9F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1,039</w:t>
            </w:r>
          </w:p>
        </w:tc>
        <w:tc>
          <w:tcPr>
            <w:tcW w:w="92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14881DC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5233C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712ED94F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CRP,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mg/L)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77E57DAA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1.1[0.6–2.2]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10C75565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8,397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7BAFD169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 [0.6–2.1]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55137612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7,356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1F1ACC11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 [0.7–2.8]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4E4E2F44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1,041</w:t>
            </w:r>
          </w:p>
        </w:tc>
        <w:tc>
          <w:tcPr>
            <w:tcW w:w="92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12D86C4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25CE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6F6A7BFC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(mg/dL)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53C7CD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107.1 [76.1–157.5]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459E9F11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8,391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38938CC3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106.2 [75.2–154.0]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3DD3E221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7,351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669FD84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118.6 [83.2–185.0]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74E1FF45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1,040</w:t>
            </w:r>
          </w:p>
        </w:tc>
        <w:tc>
          <w:tcPr>
            <w:tcW w:w="92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03CAA15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279F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74676924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-c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(mg/dL)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1B6074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114.0 [93.2–137.2]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37DBBDF2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8,380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5B0C86EF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114.0 [93.2–136.9]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1DAD2CB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7,342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2842F783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115.2 [92.4–137.9]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0BF08A9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1,038</w:t>
            </w:r>
          </w:p>
        </w:tc>
        <w:tc>
          <w:tcPr>
            <w:tcW w:w="92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3CBA2E9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24AA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19F95981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(mg/dL)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7BA343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48.7 [39.8–59.5]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26FB8112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8,396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1CBDB0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49.1 [40.2–59.9]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0AD06449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7,356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768866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45.2 [37.1–55.8]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681D208E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1,040</w:t>
            </w:r>
          </w:p>
        </w:tc>
        <w:tc>
          <w:tcPr>
            <w:tcW w:w="92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3F09E527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54E3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496ABC7E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(mg/dL)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60C706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 [3.6–5.2]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763D35BB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8,397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25BF3E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 [3.6–5.2]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0907357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7,356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6336C5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 [3.7–5.4]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758B4DB9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1,041</w:t>
            </w:r>
          </w:p>
        </w:tc>
        <w:tc>
          <w:tcPr>
            <w:tcW w:w="92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FFFFFF"/>
            <w:vAlign w:val="center"/>
          </w:tcPr>
          <w:p w14:paraId="4F59C0FB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04AD3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7C014B5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HbA1c (%)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42D612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 [4.9–5.4]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789DA0A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8,451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0B44BC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 [4.9–5.4]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428B6D76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7,400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58BB9A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 [4.9–5.5]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60D0D684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1,051</w:t>
            </w:r>
          </w:p>
        </w:tc>
        <w:tc>
          <w:tcPr>
            <w:tcW w:w="926" w:type="dxa"/>
            <w:tcBorders>
              <w:top w:val="nil"/>
              <w:left w:val="nil"/>
              <w:bottom w:val="single" w:color="B8CCE4" w:sz="4" w:space="0"/>
              <w:right w:val="nil"/>
            </w:tcBorders>
            <w:shd w:val="clear" w:color="auto" w:fill="EBF0FA"/>
            <w:vAlign w:val="center"/>
          </w:tcPr>
          <w:p w14:paraId="2D3481B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B784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36" w:type="dxa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4E65213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CTI 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0DB84B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 [8.2–9.3]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661B7B66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7,582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488ADA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 [8.2–9.2]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296E49F7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6,644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4FF1A2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8.9 [8.4–9.6]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3871BBD2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938</w:t>
            </w:r>
          </w:p>
        </w:tc>
        <w:tc>
          <w:tcPr>
            <w:tcW w:w="926" w:type="dxa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FFFFFF"/>
            <w:vAlign w:val="center"/>
          </w:tcPr>
          <w:p w14:paraId="436CDFA2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</w:tbl>
    <w:p w14:paraId="201A9FEE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left"/>
        <w:textAlignment w:val="top"/>
        <w:rPr>
          <w:rFonts w:hint="default" w:ascii="Times New Roman" w:hAnsi="Times New Roman" w:eastAsia="宋体" w:cs="Times New Roman"/>
          <w:i/>
          <w:iCs/>
          <w:color w:val="595959"/>
          <w:kern w:val="0"/>
          <w:sz w:val="18"/>
          <w:szCs w:val="18"/>
          <w:u w:val="none"/>
          <w:lang w:val="en-US" w:eastAsia="zh-CN" w:bidi="ar"/>
        </w:rPr>
      </w:pPr>
    </w:p>
    <w:p w14:paraId="19329246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Data are presented as median [interquartile range] with the number of non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missing participants (n) shown below each group. Group comparisons were performed using the Wilcoxon rank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sum test.</w:t>
      </w:r>
    </w:p>
    <w:p w14:paraId="7C6EAFC0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GI, gastrointestinal disease; FBG, fasting blood glucose; CRP, C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reactive protein; TG, triglycerides; LDL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c, low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density lipoprotein cholesterol; HDL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c, high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density lipoprotein cholesterol; UA, uric acid; HbA1c, glycated hemoglobin; CTI, C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reactive protein–glucose–triglyceride index.</w:t>
      </w:r>
    </w:p>
    <w:p w14:paraId="09CB9261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</w:p>
    <w:tbl>
      <w:tblPr>
        <w:tblStyle w:val="14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0"/>
        <w:gridCol w:w="2517"/>
        <w:gridCol w:w="2785"/>
      </w:tblGrid>
      <w:tr w14:paraId="62D5F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0A49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Table S</w:t>
            </w: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Missingness of baseline variables before multiple imputation</w:t>
            </w:r>
          </w:p>
        </w:tc>
      </w:tr>
      <w:tr w14:paraId="0D6E1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EEECE1"/>
            <w:noWrap/>
            <w:vAlign w:val="bottom"/>
          </w:tcPr>
          <w:p w14:paraId="22BF02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2517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EEECE1"/>
            <w:noWrap/>
            <w:vAlign w:val="bottom"/>
          </w:tcPr>
          <w:p w14:paraId="7DA0F5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Missing values, n </w:t>
            </w:r>
          </w:p>
        </w:tc>
        <w:tc>
          <w:tcPr>
            <w:tcW w:w="278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EEECE1"/>
            <w:noWrap/>
            <w:vAlign w:val="bottom"/>
          </w:tcPr>
          <w:p w14:paraId="77B848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Missingness, %</w:t>
            </w:r>
          </w:p>
        </w:tc>
      </w:tr>
      <w:tr w14:paraId="1993D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11D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FBG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529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5348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D82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32.76</w:t>
            </w:r>
          </w:p>
        </w:tc>
      </w:tr>
      <w:tr w14:paraId="06E01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651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TG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714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5332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0D1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32.67</w:t>
            </w:r>
          </w:p>
        </w:tc>
      </w:tr>
      <w:tr w14:paraId="22949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A01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CRP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F8E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5325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0E7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32.62</w:t>
            </w:r>
          </w:p>
        </w:tc>
      </w:tr>
      <w:tr w14:paraId="54BB1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11C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HbA1c (%)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B77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5276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7F6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32.32</w:t>
            </w:r>
          </w:p>
        </w:tc>
      </w:tr>
      <w:tr w14:paraId="6B2DF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33EC0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Time to GI event (years)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7C5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BD3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25.12</w:t>
            </w:r>
          </w:p>
        </w:tc>
      </w:tr>
      <w:tr w14:paraId="54754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5A62D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Incident GI event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BBC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3873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159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23.73</w:t>
            </w:r>
          </w:p>
        </w:tc>
      </w:tr>
      <w:tr w14:paraId="04519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D3C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BMI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E3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3548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5D4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21.74</w:t>
            </w:r>
          </w:p>
        </w:tc>
      </w:tr>
      <w:tr w14:paraId="6F4E0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517EA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Time to CVD event (years)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227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2832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E77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17.35</w:t>
            </w:r>
          </w:p>
        </w:tc>
      </w:tr>
      <w:tr w14:paraId="544AE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D70EC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Incident CVD event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D80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2593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DBE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15.89</w:t>
            </w:r>
          </w:p>
        </w:tc>
      </w:tr>
      <w:tr w14:paraId="4FF3A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C9B86">
            <w:pPr>
              <w:keepNext w:val="0"/>
              <w:keepLines w:val="0"/>
              <w:widowControl/>
              <w:suppressLineNumbers w:val="0"/>
              <w:snapToGrid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CESD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10 score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999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5FD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8.85</w:t>
            </w:r>
          </w:p>
        </w:tc>
      </w:tr>
      <w:tr w14:paraId="63D98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B70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Drinking status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103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070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0.78</w:t>
            </w:r>
          </w:p>
        </w:tc>
      </w:tr>
      <w:tr w14:paraId="145D2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1EF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Smoking status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748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49E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0.67</w:t>
            </w:r>
          </w:p>
        </w:tc>
      </w:tr>
      <w:tr w14:paraId="76A89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B77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Education level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906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029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0.26</w:t>
            </w:r>
          </w:p>
        </w:tc>
      </w:tr>
      <w:tr w14:paraId="2388D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DF1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Marital status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399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382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</w:t>
            </w:r>
          </w:p>
        </w:tc>
      </w:tr>
      <w:tr w14:paraId="16CD9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C11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GI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E03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5EE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3FC0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8B4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CVD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A0C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4F4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31DC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F0F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E88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F63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3680B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9B7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Sex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944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099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23E70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7A7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Residence (urban/rural)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86B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D71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5C7B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F6C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Hypertension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E9E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2A4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9C3A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bottom"/>
          </w:tcPr>
          <w:p w14:paraId="20AEEB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Diabetes</w:t>
            </w:r>
          </w:p>
        </w:tc>
        <w:tc>
          <w:tcPr>
            <w:tcW w:w="25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bottom"/>
          </w:tcPr>
          <w:p w14:paraId="5462BE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78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bottom"/>
          </w:tcPr>
          <w:p w14:paraId="76000E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</w:tbl>
    <w:p w14:paraId="47CD044A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 xml:space="preserve">BMI, body mass index; CESD-10, 10-item Center for Epidemiologic Studies Depression Scale; CRP, C-reactive protein; FBG, fasting blood glucose; GI, gastrointestinal disease; HbA1c, glycated hemoglobin; TG, triglycerides; CVD, cardiovascular disease. Missingness was assessed before multiple imputation. </w:t>
      </w:r>
    </w:p>
    <w:p w14:paraId="781EC1B5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</w:p>
    <w:p w14:paraId="24061EE1">
      <w:pPr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eastAsia="宋体" w:cs="Times New Roman"/>
          <w:b/>
          <w:bCs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able</w:t>
      </w:r>
      <w:r>
        <w:rPr>
          <w:rFonts w:hint="eastAsia" w:eastAsia="宋体" w:cs="Times New Roman"/>
          <w:b/>
          <w:bCs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 xml:space="preserve"> S4. </w:t>
      </w:r>
      <w:r>
        <w:rPr>
          <w:rFonts w:hint="eastAsia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Mediation Analysis of CTI in the Bidirectional Association Between Gastrointestinal Disease and Cardiovascular Disease</w:t>
      </w:r>
    </w:p>
    <w:tbl>
      <w:tblPr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  <w:gridCol w:w="1695"/>
        <w:gridCol w:w="2580"/>
        <w:gridCol w:w="1416"/>
      </w:tblGrid>
      <w:tr w14:paraId="6672A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60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vAlign w:val="center"/>
          </w:tcPr>
          <w:p w14:paraId="545D6B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Variables</w:t>
            </w:r>
          </w:p>
        </w:tc>
        <w:tc>
          <w:tcPr>
            <w:tcW w:w="2509" w:type="pct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vAlign w:val="center"/>
          </w:tcPr>
          <w:p w14:paraId="38205F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Estimate (95%CI)</w:t>
            </w:r>
          </w:p>
        </w:tc>
        <w:tc>
          <w:tcPr>
            <w:tcW w:w="829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vAlign w:val="center"/>
          </w:tcPr>
          <w:p w14:paraId="34D359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</w:tr>
      <w:tr w14:paraId="549C3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60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79FF5FF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3B7739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Estimate</w:t>
            </w:r>
          </w:p>
        </w:tc>
        <w:tc>
          <w:tcPr>
            <w:tcW w:w="151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5BD2F6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95% CI</w:t>
            </w:r>
          </w:p>
        </w:tc>
        <w:tc>
          <w:tcPr>
            <w:tcW w:w="829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0F84E4D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899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D6E4F0"/>
            <w:noWrap/>
            <w:vAlign w:val="center"/>
          </w:tcPr>
          <w:p w14:paraId="1124F9E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4E79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4E79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GI disease and new-onset CVD risk (CESD-10 scores as mediator)</w:t>
            </w:r>
          </w:p>
        </w:tc>
      </w:tr>
      <w:tr w14:paraId="69945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A48361">
            <w:pPr>
              <w:keepNext w:val="0"/>
              <w:keepLines w:val="0"/>
              <w:widowControl/>
              <w:suppressLineNumbers w:val="0"/>
              <w:snapToGrid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ACME (indirect effect)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A97B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0.0129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84CD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0.0096 to 0.0162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FFF2CC"/>
            <w:vAlign w:val="center"/>
          </w:tcPr>
          <w:p w14:paraId="58A31D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&lt;0.05</w:t>
            </w:r>
          </w:p>
        </w:tc>
      </w:tr>
      <w:tr w14:paraId="081E2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2CF2E5">
            <w:pPr>
              <w:keepNext w:val="0"/>
              <w:keepLines w:val="0"/>
              <w:widowControl/>
              <w:suppressLineNumbers w:val="0"/>
              <w:snapToGrid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ADE (direct effect)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49A5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0.0498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7336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0.0313 to 0.0683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FFF2CC"/>
            <w:vAlign w:val="center"/>
          </w:tcPr>
          <w:p w14:paraId="1F9D31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&lt;0.05</w:t>
            </w:r>
          </w:p>
        </w:tc>
      </w:tr>
      <w:tr w14:paraId="7CC12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27DEFF">
            <w:pPr>
              <w:keepNext w:val="0"/>
              <w:keepLines w:val="0"/>
              <w:widowControl/>
              <w:suppressLineNumbers w:val="0"/>
              <w:snapToGrid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Proportion mediated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27BB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20.60%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0871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12.8% to 28.5%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FFF2CC"/>
            <w:vAlign w:val="center"/>
          </w:tcPr>
          <w:p w14:paraId="6882F3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&lt;0.05</w:t>
            </w:r>
          </w:p>
        </w:tc>
      </w:tr>
      <w:tr w14:paraId="41E0C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6E4F0"/>
            <w:noWrap/>
            <w:vAlign w:val="center"/>
          </w:tcPr>
          <w:p w14:paraId="4107276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4E79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4E79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CVD and new-onset GI disease risk (CESD-10 scores as mediator)</w:t>
            </w:r>
          </w:p>
        </w:tc>
      </w:tr>
      <w:tr w14:paraId="372F9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B9B620">
            <w:pPr>
              <w:keepNext w:val="0"/>
              <w:keepLines w:val="0"/>
              <w:widowControl/>
              <w:suppressLineNumbers w:val="0"/>
              <w:snapToGrid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ACME (indirect effect)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1945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0.0166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9AFE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0.0126 to 0.0206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FFF2CC"/>
            <w:vAlign w:val="center"/>
          </w:tcPr>
          <w:p w14:paraId="1DB986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&lt;0.05</w:t>
            </w:r>
          </w:p>
        </w:tc>
      </w:tr>
      <w:tr w14:paraId="02612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B13C7D">
            <w:pPr>
              <w:keepNext w:val="0"/>
              <w:keepLines w:val="0"/>
              <w:widowControl/>
              <w:suppressLineNumbers w:val="0"/>
              <w:snapToGrid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ADE (direct effect)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3FF9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0.0462</w:t>
            </w:r>
          </w:p>
        </w:tc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062E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0.0220 to 0.0704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FFF2CC"/>
            <w:vAlign w:val="center"/>
          </w:tcPr>
          <w:p w14:paraId="1BAA1F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&lt;0.05</w:t>
            </w:r>
          </w:p>
        </w:tc>
      </w:tr>
      <w:tr w14:paraId="5C06D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6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1EF84AE5">
            <w:pPr>
              <w:keepNext w:val="0"/>
              <w:keepLines w:val="0"/>
              <w:widowControl/>
              <w:suppressLineNumbers w:val="0"/>
              <w:snapToGrid w:val="0"/>
              <w:ind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Proportion mediated</w:t>
            </w:r>
          </w:p>
        </w:tc>
        <w:tc>
          <w:tcPr>
            <w:tcW w:w="99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vAlign w:val="center"/>
          </w:tcPr>
          <w:p w14:paraId="612BFB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26.50%</w:t>
            </w:r>
          </w:p>
        </w:tc>
        <w:tc>
          <w:tcPr>
            <w:tcW w:w="151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vAlign w:val="center"/>
          </w:tcPr>
          <w:p w14:paraId="78A2FA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14.9% to 38.1%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2CC"/>
            <w:vAlign w:val="center"/>
          </w:tcPr>
          <w:p w14:paraId="150B5E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&lt;0.05</w:t>
            </w:r>
          </w:p>
        </w:tc>
      </w:tr>
    </w:tbl>
    <w:p w14:paraId="68B63DE0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</w:p>
    <w:p w14:paraId="205D40A0">
      <w:pPr>
        <w:ind w:left="0" w:leftChars="0" w:firstLine="0" w:firstLineChars="0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eastAsia="宋体" w:cs="Times New Roman"/>
          <w:b/>
          <w:bCs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T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able</w:t>
      </w:r>
      <w:r>
        <w:rPr>
          <w:rFonts w:hint="eastAsia" w:eastAsia="宋体" w:cs="Times New Roman"/>
          <w:b/>
          <w:bCs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 xml:space="preserve"> S5. </w:t>
      </w:r>
      <w:r>
        <w:rPr>
          <w:rFonts w:hint="eastAsia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Mediation Analysis of CTI in the Bidirectional Association Between Gastrointestinal Disease and Cardiovascular Disease</w:t>
      </w:r>
    </w:p>
    <w:tbl>
      <w:tblPr>
        <w:tblStyle w:val="14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6"/>
        <w:gridCol w:w="1654"/>
        <w:gridCol w:w="2602"/>
        <w:gridCol w:w="1327"/>
      </w:tblGrid>
      <w:tr w14:paraId="36700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3" w:type="pct"/>
            <w:vMerge w:val="restart"/>
            <w:tcBorders>
              <w:top w:val="single" w:color="000000" w:sz="12" w:space="0"/>
              <w:left w:val="nil"/>
              <w:bottom w:val="single" w:color="1F3864" w:sz="8" w:space="0"/>
              <w:right w:val="nil"/>
            </w:tcBorders>
            <w:shd w:val="clear" w:color="auto" w:fill="auto"/>
            <w:noWrap/>
            <w:vAlign w:val="center"/>
          </w:tcPr>
          <w:p w14:paraId="3B11D8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498" w:type="pct"/>
            <w:gridSpan w:val="2"/>
            <w:tcBorders>
              <w:top w:val="single" w:color="000000" w:sz="12" w:space="0"/>
              <w:left w:val="nil"/>
              <w:bottom w:val="single" w:color="CCCCCC" w:sz="4" w:space="0"/>
              <w:right w:val="nil"/>
            </w:tcBorders>
            <w:shd w:val="clear" w:color="auto" w:fill="auto"/>
            <w:noWrap/>
            <w:vAlign w:val="center"/>
          </w:tcPr>
          <w:p w14:paraId="015603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Estimate (95%CI)</w:t>
            </w:r>
          </w:p>
        </w:tc>
        <w:tc>
          <w:tcPr>
            <w:tcW w:w="778" w:type="pct"/>
            <w:vMerge w:val="restart"/>
            <w:tcBorders>
              <w:top w:val="single" w:color="000000" w:sz="12" w:space="0"/>
              <w:left w:val="nil"/>
              <w:bottom w:val="single" w:color="1F3864" w:sz="8" w:space="0"/>
              <w:right w:val="nil"/>
            </w:tcBorders>
            <w:shd w:val="clear" w:color="auto" w:fill="auto"/>
            <w:noWrap/>
            <w:vAlign w:val="center"/>
          </w:tcPr>
          <w:p w14:paraId="5847D8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</w:tr>
      <w:tr w14:paraId="0397C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3" w:type="pct"/>
            <w:vMerge w:val="continue"/>
            <w:tcBorders>
              <w:top w:val="single" w:color="000000" w:sz="12" w:space="0"/>
              <w:left w:val="nil"/>
              <w:bottom w:val="single" w:color="1F3864" w:sz="8" w:space="0"/>
              <w:right w:val="nil"/>
            </w:tcBorders>
            <w:shd w:val="clear" w:color="auto" w:fill="auto"/>
            <w:noWrap/>
            <w:vAlign w:val="center"/>
          </w:tcPr>
          <w:p w14:paraId="365E388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58A40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Estimate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4274C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95% CI</w:t>
            </w:r>
          </w:p>
        </w:tc>
        <w:tc>
          <w:tcPr>
            <w:tcW w:w="778" w:type="pct"/>
            <w:vMerge w:val="continue"/>
            <w:tcBorders>
              <w:top w:val="single" w:color="000000" w:sz="12" w:space="0"/>
              <w:left w:val="nil"/>
              <w:bottom w:val="single" w:color="1F3864" w:sz="8" w:space="0"/>
              <w:right w:val="nil"/>
            </w:tcBorders>
            <w:shd w:val="clear" w:color="auto" w:fill="auto"/>
            <w:noWrap/>
            <w:vAlign w:val="center"/>
          </w:tcPr>
          <w:p w14:paraId="04DFDC2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sz w:val="20"/>
                <w:szCs w:val="20"/>
                <w:u w:val="none"/>
              </w:rPr>
            </w:pPr>
          </w:p>
        </w:tc>
      </w:tr>
      <w:tr w14:paraId="69839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CCCCCC" w:sz="4" w:space="0"/>
              <w:right w:val="nil"/>
            </w:tcBorders>
            <w:shd w:val="clear" w:color="auto" w:fill="F0F4FA"/>
            <w:noWrap/>
            <w:vAlign w:val="center"/>
          </w:tcPr>
          <w:p w14:paraId="3900BB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GI disease and new-onset CVD risk (CTI as mediator)</w:t>
            </w:r>
          </w:p>
        </w:tc>
      </w:tr>
      <w:tr w14:paraId="57F06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3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vAlign w:val="center"/>
          </w:tcPr>
          <w:p w14:paraId="16BE005E">
            <w:pPr>
              <w:keepNext w:val="0"/>
              <w:keepLines w:val="0"/>
              <w:widowControl/>
              <w:suppressLineNumbers w:val="0"/>
              <w:snapToGrid w:val="0"/>
              <w:ind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ACME (indirect effect)</w:t>
            </w:r>
          </w:p>
        </w:tc>
        <w:tc>
          <w:tcPr>
            <w:tcW w:w="971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noWrap/>
            <w:vAlign w:val="center"/>
          </w:tcPr>
          <w:p w14:paraId="1BE4FC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−0.0022</w:t>
            </w:r>
          </w:p>
        </w:tc>
        <w:tc>
          <w:tcPr>
            <w:tcW w:w="1526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vAlign w:val="center"/>
          </w:tcPr>
          <w:p w14:paraId="516CE0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−0.0037 to −0.0008</w:t>
            </w:r>
          </w:p>
        </w:tc>
        <w:tc>
          <w:tcPr>
            <w:tcW w:w="778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noWrap/>
            <w:vAlign w:val="center"/>
          </w:tcPr>
          <w:p w14:paraId="3C19E0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&lt;0.05</w:t>
            </w:r>
          </w:p>
        </w:tc>
      </w:tr>
      <w:tr w14:paraId="73891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3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vAlign w:val="center"/>
          </w:tcPr>
          <w:p w14:paraId="4CA42551">
            <w:pPr>
              <w:keepNext w:val="0"/>
              <w:keepLines w:val="0"/>
              <w:widowControl/>
              <w:suppressLineNumbers w:val="0"/>
              <w:snapToGrid w:val="0"/>
              <w:ind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ADE (direct effect)</w:t>
            </w:r>
          </w:p>
        </w:tc>
        <w:tc>
          <w:tcPr>
            <w:tcW w:w="971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noWrap/>
            <w:vAlign w:val="center"/>
          </w:tcPr>
          <w:p w14:paraId="034A4E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0.0650</w:t>
            </w:r>
          </w:p>
        </w:tc>
        <w:tc>
          <w:tcPr>
            <w:tcW w:w="1526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vAlign w:val="center"/>
          </w:tcPr>
          <w:p w14:paraId="0D63FC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0.0466 to 0.0833</w:t>
            </w:r>
          </w:p>
        </w:tc>
        <w:tc>
          <w:tcPr>
            <w:tcW w:w="778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noWrap/>
            <w:vAlign w:val="center"/>
          </w:tcPr>
          <w:p w14:paraId="7DABF4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&lt;0.05</w:t>
            </w:r>
          </w:p>
        </w:tc>
      </w:tr>
      <w:tr w14:paraId="63AB6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3" w:type="pct"/>
            <w:tcBorders>
              <w:top w:val="nil"/>
              <w:left w:val="nil"/>
              <w:bottom w:val="single" w:color="CCCCCC" w:sz="4" w:space="0"/>
              <w:right w:val="nil"/>
            </w:tcBorders>
            <w:shd w:val="clear" w:color="auto" w:fill="auto"/>
            <w:vAlign w:val="center"/>
          </w:tcPr>
          <w:p w14:paraId="42B3E6B8">
            <w:pPr>
              <w:keepNext w:val="0"/>
              <w:keepLines w:val="0"/>
              <w:widowControl/>
              <w:suppressLineNumbers w:val="0"/>
              <w:snapToGrid w:val="0"/>
              <w:ind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Proportion mediated</w:t>
            </w:r>
          </w:p>
        </w:tc>
        <w:tc>
          <w:tcPr>
            <w:tcW w:w="971" w:type="pct"/>
            <w:tcBorders>
              <w:top w:val="nil"/>
              <w:left w:val="nil"/>
              <w:bottom w:val="single" w:color="CCCCCC" w:sz="4" w:space="0"/>
              <w:right w:val="nil"/>
            </w:tcBorders>
            <w:shd w:val="clear" w:color="auto" w:fill="auto"/>
            <w:noWrap/>
            <w:vAlign w:val="center"/>
          </w:tcPr>
          <w:p w14:paraId="552076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−3.56%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CCCCCC" w:sz="4" w:space="0"/>
              <w:right w:val="nil"/>
            </w:tcBorders>
            <w:shd w:val="clear" w:color="auto" w:fill="auto"/>
            <w:vAlign w:val="center"/>
          </w:tcPr>
          <w:p w14:paraId="24CCC1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−6.12% to −1.01%</w:t>
            </w:r>
          </w:p>
        </w:tc>
        <w:tc>
          <w:tcPr>
            <w:tcW w:w="778" w:type="pct"/>
            <w:tcBorders>
              <w:top w:val="nil"/>
              <w:left w:val="nil"/>
              <w:bottom w:val="single" w:color="CCCCCC" w:sz="4" w:space="0"/>
              <w:right w:val="nil"/>
            </w:tcBorders>
            <w:shd w:val="clear" w:color="auto" w:fill="auto"/>
            <w:noWrap/>
            <w:vAlign w:val="center"/>
          </w:tcPr>
          <w:p w14:paraId="4086AA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&lt;0.05</w:t>
            </w:r>
          </w:p>
        </w:tc>
      </w:tr>
      <w:tr w14:paraId="352C5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4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0F4FA"/>
            <w:noWrap/>
            <w:vAlign w:val="center"/>
          </w:tcPr>
          <w:p w14:paraId="11D46E6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CVD and new-onset GI disease risk (CTI as mediator)</w:t>
            </w:r>
          </w:p>
        </w:tc>
      </w:tr>
      <w:tr w14:paraId="3175E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3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vAlign w:val="center"/>
          </w:tcPr>
          <w:p w14:paraId="39D80ABB">
            <w:pPr>
              <w:keepNext w:val="0"/>
              <w:keepLines w:val="0"/>
              <w:widowControl/>
              <w:suppressLineNumbers w:val="0"/>
              <w:snapToGrid w:val="0"/>
              <w:ind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ACME (indirect effect)</w:t>
            </w:r>
          </w:p>
        </w:tc>
        <w:tc>
          <w:tcPr>
            <w:tcW w:w="971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noWrap/>
            <w:vAlign w:val="center"/>
          </w:tcPr>
          <w:p w14:paraId="7D2EA0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−0.0001</w:t>
            </w:r>
          </w:p>
        </w:tc>
        <w:tc>
          <w:tcPr>
            <w:tcW w:w="1526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vAlign w:val="center"/>
          </w:tcPr>
          <w:p w14:paraId="64DE4C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−0.0016 to 0.0013</w:t>
            </w:r>
          </w:p>
        </w:tc>
        <w:tc>
          <w:tcPr>
            <w:tcW w:w="778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noWrap/>
            <w:vAlign w:val="center"/>
          </w:tcPr>
          <w:p w14:paraId="449937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888888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888888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888888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38B7D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3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vAlign w:val="center"/>
          </w:tcPr>
          <w:p w14:paraId="020CA693">
            <w:pPr>
              <w:keepNext w:val="0"/>
              <w:keepLines w:val="0"/>
              <w:widowControl/>
              <w:suppressLineNumbers w:val="0"/>
              <w:snapToGrid w:val="0"/>
              <w:ind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ADE (direct effect)</w:t>
            </w:r>
          </w:p>
        </w:tc>
        <w:tc>
          <w:tcPr>
            <w:tcW w:w="971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noWrap/>
            <w:vAlign w:val="center"/>
          </w:tcPr>
          <w:p w14:paraId="2EC5F8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0.0629</w:t>
            </w:r>
          </w:p>
        </w:tc>
        <w:tc>
          <w:tcPr>
            <w:tcW w:w="1526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vAlign w:val="center"/>
          </w:tcPr>
          <w:p w14:paraId="51DC90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0.0386 to 0.0872</w:t>
            </w:r>
          </w:p>
        </w:tc>
        <w:tc>
          <w:tcPr>
            <w:tcW w:w="778" w:type="pct"/>
            <w:tcBorders>
              <w:top w:val="nil"/>
              <w:left w:val="nil"/>
              <w:bottom w:val="dotDash" w:color="AAAAAA" w:sz="4" w:space="0"/>
              <w:right w:val="nil"/>
            </w:tcBorders>
            <w:shd w:val="clear" w:color="auto" w:fill="auto"/>
            <w:noWrap/>
            <w:vAlign w:val="center"/>
          </w:tcPr>
          <w:p w14:paraId="0FDE56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8B0000"/>
                <w:kern w:val="0"/>
                <w:sz w:val="20"/>
                <w:szCs w:val="20"/>
                <w:u w:val="none"/>
                <w:lang w:val="en-US" w:eastAsia="zh-CN" w:bidi="ar"/>
              </w:rPr>
              <w:t>&lt;0.05</w:t>
            </w:r>
          </w:p>
        </w:tc>
      </w:tr>
      <w:tr w14:paraId="3F57E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23" w:type="pct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auto"/>
            <w:vAlign w:val="center"/>
          </w:tcPr>
          <w:p w14:paraId="645117FF">
            <w:pPr>
              <w:keepNext w:val="0"/>
              <w:keepLines w:val="0"/>
              <w:widowControl/>
              <w:suppressLineNumbers w:val="0"/>
              <w:snapToGrid w:val="0"/>
              <w:ind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Proportion mediated</w:t>
            </w:r>
          </w:p>
        </w:tc>
        <w:tc>
          <w:tcPr>
            <w:tcW w:w="971" w:type="pct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auto"/>
            <w:noWrap/>
            <w:vAlign w:val="center"/>
          </w:tcPr>
          <w:p w14:paraId="13F926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−0.23%</w:t>
            </w:r>
          </w:p>
        </w:tc>
        <w:tc>
          <w:tcPr>
            <w:tcW w:w="1526" w:type="pct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auto"/>
            <w:vAlign w:val="center"/>
          </w:tcPr>
          <w:p w14:paraId="188256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−2.48% to 2.03%</w:t>
            </w:r>
          </w:p>
        </w:tc>
        <w:tc>
          <w:tcPr>
            <w:tcW w:w="778" w:type="pct"/>
            <w:tcBorders>
              <w:top w:val="nil"/>
              <w:left w:val="nil"/>
              <w:bottom w:val="single" w:color="1F3864" w:sz="8" w:space="0"/>
              <w:right w:val="nil"/>
            </w:tcBorders>
            <w:shd w:val="clear" w:color="auto" w:fill="auto"/>
            <w:noWrap/>
            <w:vAlign w:val="center"/>
          </w:tcPr>
          <w:p w14:paraId="754FFA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888888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888888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</w:tbl>
    <w:p w14:paraId="4CF862CF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Estimates were obtained using structural equation modeling with full-information maximum likelihood estimation (SEM-FIML), adjusted for age, sex, residence, education level, marital status, smoking status, drinking status, body mass index, hypertension, and diabetes. ACME, average causal mediation effect; ADE, average direct effect; CTI, C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>reactive protein–glucose–triglyceride index; CI, confidence interval; GI, gastrointestinal; CVD, cardiovascular disease.</w:t>
      </w:r>
    </w:p>
    <w:p w14:paraId="122A2E02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</w:p>
    <w:p w14:paraId="3C0A033A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S</w:t>
      </w:r>
      <w:r>
        <w:rPr>
          <w:rFonts w:hint="eastAsia" w:eastAsia="宋体" w:cs="Times New Roman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E-values for Unmeasured Confounding in the Main Bidirectional Associations Between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GI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 xml:space="preserve"> Disease and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CVD</w:t>
      </w:r>
      <w:r>
        <w:rPr>
          <w:rFonts w:hint="eastAsia" w:eastAsia="宋体" w:cs="Times New Roman"/>
          <w:b w:val="0"/>
          <w:bCs w:val="0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</w:rPr>
        <w:t>.</w:t>
      </w:r>
    </w:p>
    <w:tbl>
      <w:tblPr>
        <w:tblStyle w:val="14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3"/>
        <w:gridCol w:w="1858"/>
        <w:gridCol w:w="2272"/>
        <w:gridCol w:w="2079"/>
      </w:tblGrid>
      <w:tr w14:paraId="5203F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31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55C8F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Association</w:t>
            </w:r>
          </w:p>
        </w:tc>
        <w:tc>
          <w:tcPr>
            <w:tcW w:w="1858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BD2FE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227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E9FFD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E-value </w:t>
            </w:r>
          </w:p>
          <w:p w14:paraId="065A64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(point estimate)</w:t>
            </w:r>
          </w:p>
        </w:tc>
        <w:tc>
          <w:tcPr>
            <w:tcW w:w="207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9B375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E_value_lower CI bound</w:t>
            </w:r>
          </w:p>
        </w:tc>
      </w:tr>
      <w:tr w14:paraId="1F0FA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36F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 disease and new onset CVD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F82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 (1.32–1.57)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CF6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E1C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</w:t>
            </w:r>
          </w:p>
        </w:tc>
      </w:tr>
      <w:tr w14:paraId="3319F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1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4342C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CVD and new onset GI disease</w:t>
            </w:r>
          </w:p>
        </w:tc>
        <w:tc>
          <w:tcPr>
            <w:tcW w:w="185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5EDA8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 (1.30–1.64)</w:t>
            </w:r>
          </w:p>
        </w:tc>
        <w:tc>
          <w:tcPr>
            <w:tcW w:w="227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85EE2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2.28</w:t>
            </w:r>
          </w:p>
        </w:tc>
        <w:tc>
          <w:tcPr>
            <w:tcW w:w="207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08615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</w:tr>
    </w:tbl>
    <w:p w14:paraId="6246B3AE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</w:p>
    <w:p w14:paraId="20A5B3ED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t xml:space="preserve"> HR, hazard ratio; CI, confidence interval; GI, gastrointestinal; CVD, cardiovascular disease.</w:t>
      </w:r>
    </w:p>
    <w:p w14:paraId="0A9059E3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</w:p>
    <w:p w14:paraId="3E97A037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drawing>
          <wp:inline distT="0" distB="0" distL="114300" distR="114300">
            <wp:extent cx="5271770" cy="4311015"/>
            <wp:effectExtent l="0" t="0" r="11430" b="6985"/>
            <wp:docPr id="8" name="图片 8" descr="流程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流程图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31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36F11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</w:p>
    <w:p w14:paraId="28ED6AE8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Flowchart of participant selection for the bidirectional association analyses between gastrointestinal (GI) disease and cardiovascular disease (CVD) based on the China Health and Retirement Longitudinal Study (CHARLS).</w:t>
      </w:r>
    </w:p>
    <w:p w14:paraId="7D6DF864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567A6CC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6CFE559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0DB1109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6690" cy="2633345"/>
            <wp:effectExtent l="0" t="0" r="3810" b="8255"/>
            <wp:docPr id="3" name="图片 3" descr="Nonlinear_age_HR_correct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Nonlinear_age_HR_corrected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28711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D482F9A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Figure</w:t>
      </w:r>
      <w:r>
        <w:rPr>
          <w:rFonts w:hint="eastAsia" w:eastAsia="宋体" w:cs="Times New Roman"/>
          <w:b/>
          <w:bCs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S2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Restricted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cubic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spline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analysis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of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age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and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risk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of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incident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outcomes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. </w:t>
      </w:r>
    </w:p>
    <w:p w14:paraId="683941C1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(A) GI disease with incident CVD; (B) CVD with incident GI disease.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The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solid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lines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represent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hazard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ratios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(HRs)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estimated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from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multivariable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Cox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models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a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nd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the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shaded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areas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indicate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95%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confidence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intervals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The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horizontal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dashed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lineindicatesHR=1.0.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The solid lines represent hazard ratios (HRs) estimated from fully adjusted Cox models, and the shaded areas indicate 95% confidence intervals. The horizontal dashed line indicates HR = 1.0. The vertical dotted line indicates the median age (58 years). Knots were placed at the 25th, 50th, and 75th percentiles of age.</w:t>
      </w:r>
    </w:p>
    <w:p w14:paraId="4A7CA360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429FB36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  <w:drawing>
          <wp:inline distT="0" distB="0" distL="114300" distR="114300">
            <wp:extent cx="4612005" cy="2670175"/>
            <wp:effectExtent l="0" t="0" r="10795" b="0"/>
            <wp:docPr id="6" name="图片 6" descr="Female CVD-GI medi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emale CVD-GI mediation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12005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8D219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eastAsia="宋体" w:cs="Times New Roman"/>
          <w:b/>
          <w:bCs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Mediation model of depressive symptoms (CESD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10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scores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) in the association between CVD and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new onset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GI disease among female participants (exploratory analysis).</w:t>
      </w:r>
    </w:p>
    <w:p w14:paraId="290379AF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GI, gastrointestinal; CVD, cardiovascular disease.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CESD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noBreakHyphen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10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, 10</w:t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noBreakHyphen/>
      </w:r>
      <w:r>
        <w:rPr>
          <w:rFonts w:hint="eastAsia" w:eastAsia="宋体" w:cs="Times New Roman"/>
          <w:b w:val="0"/>
          <w:bCs w:val="0"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item Center for Epidemiologic Studies Depression Scale</w:t>
      </w:r>
    </w:p>
    <w:p w14:paraId="46EB647C">
      <w:pPr>
        <w:keepNext w:val="0"/>
        <w:keepLines w:val="0"/>
        <w:widowControl/>
        <w:suppressLineNumbers w:val="0"/>
        <w:snapToGrid w:val="0"/>
        <w:ind w:left="0" w:leftChars="0" w:firstLine="0" w:firstLineChars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1F3864"/>
          <w:kern w:val="0"/>
          <w:sz w:val="22"/>
          <w:szCs w:val="22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C1D52C"/>
    <w:multiLevelType w:val="multilevel"/>
    <w:tmpl w:val="5EC1D52C"/>
    <w:lvl w:ilvl="0" w:tentative="0">
      <w:start w:val="1"/>
      <w:numFmt w:val="decimal"/>
      <w:lvlText w:val="第%1章 "/>
      <w:lvlJc w:val="left"/>
      <w:pPr>
        <w:tabs>
          <w:tab w:val="left" w:pos="0"/>
        </w:tabs>
        <w:ind w:left="0" w:leftChars="0" w:firstLine="0" w:firstLineChars="0"/>
      </w:pPr>
      <w:rPr>
        <w:rFonts w:hint="default" w:ascii="黑体" w:hAnsi="黑体" w:eastAsia="黑体" w:cs="Times New Roman"/>
      </w:rPr>
    </w:lvl>
    <w:lvl w:ilvl="1" w:tentative="0">
      <w:start w:val="1"/>
      <w:numFmt w:val="decimal"/>
      <w:lvlText w:val="%1.%2 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</w:rPr>
    </w:lvl>
    <w:lvl w:ilvl="2" w:tentative="0">
      <w:start w:val="1"/>
      <w:numFmt w:val="decimal"/>
      <w:lvlText w:val="%1.%2.%3 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</w:rPr>
    </w:lvl>
    <w:lvl w:ilvl="3" w:tentative="0">
      <w:start w:val="1"/>
      <w:numFmt w:val="decimal"/>
      <w:pStyle w:val="5"/>
      <w:lvlText w:val="%1.%2.%3.%4 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</w:rPr>
    </w:lvl>
    <w:lvl w:ilvl="4" w:tentative="0">
      <w:start w:val="1"/>
      <w:numFmt w:val="decimal"/>
      <w:pStyle w:val="6"/>
      <w:lvlText w:val="%1.%2.%3.%4.%5 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</w:rPr>
    </w:lvl>
    <w:lvl w:ilvl="5" w:tentative="0">
      <w:start w:val="1"/>
      <w:numFmt w:val="decimal"/>
      <w:pStyle w:val="7"/>
      <w:lvlText w:val="%1.%2.%3.%4.%5.%6 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</w:rPr>
    </w:lvl>
    <w:lvl w:ilvl="6" w:tentative="0">
      <w:start w:val="1"/>
      <w:numFmt w:val="decimal"/>
      <w:pStyle w:val="8"/>
      <w:suff w:val="nothing"/>
      <w:lvlText w:val="%1.%2.%3.%4.%5.%6.%7 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  <w:b/>
        <w:bCs/>
      </w:rPr>
    </w:lvl>
    <w:lvl w:ilvl="7" w:tentative="0">
      <w:start w:val="1"/>
      <w:numFmt w:val="decimal"/>
      <w:pStyle w:val="9"/>
      <w:lvlText w:val="%1.%2.%3.%4.%5.%6.%7.%8 "/>
      <w:lvlJc w:val="left"/>
      <w:pPr>
        <w:tabs>
          <w:tab w:val="left" w:pos="420"/>
        </w:tabs>
        <w:ind w:left="0" w:leftChars="0" w:firstLine="0" w:firstLineChars="0"/>
      </w:pPr>
      <w:rPr>
        <w:rFonts w:hint="default" w:ascii="Times New Roman" w:hAnsi="Times New Roman" w:eastAsia="宋体" w:cs="Times New Roman"/>
      </w:rPr>
    </w:lvl>
    <w:lvl w:ilvl="8" w:tentative="0">
      <w:start w:val="1"/>
      <w:numFmt w:val="decimal"/>
      <w:pStyle w:val="10"/>
      <w:lvlText w:val="%1.%2.%3.%4.%5.%6.%7.%8.%9 "/>
      <w:lvlJc w:val="left"/>
      <w:pPr>
        <w:tabs>
          <w:tab w:val="left" w:pos="0"/>
        </w:tabs>
        <w:ind w:left="0" w:leftChars="0" w:firstLine="0" w:firstLineChars="0"/>
      </w:pPr>
      <w:rPr>
        <w:rFonts w:hint="default" w:ascii="Times New Roman" w:hAnsi="Times New Roman" w:eastAsia="宋体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E357A5"/>
    <w:rsid w:val="01B12E58"/>
    <w:rsid w:val="02A576A2"/>
    <w:rsid w:val="02AF67EA"/>
    <w:rsid w:val="037812E0"/>
    <w:rsid w:val="04373786"/>
    <w:rsid w:val="04C95B8C"/>
    <w:rsid w:val="06063852"/>
    <w:rsid w:val="067040EB"/>
    <w:rsid w:val="07B6467C"/>
    <w:rsid w:val="093B4616"/>
    <w:rsid w:val="09F65827"/>
    <w:rsid w:val="0CEB4E75"/>
    <w:rsid w:val="0D3F2E3B"/>
    <w:rsid w:val="0E4D3588"/>
    <w:rsid w:val="10022918"/>
    <w:rsid w:val="10972C71"/>
    <w:rsid w:val="12CC1F49"/>
    <w:rsid w:val="15086DDB"/>
    <w:rsid w:val="194F5BC9"/>
    <w:rsid w:val="1B1F2860"/>
    <w:rsid w:val="1EC24AE8"/>
    <w:rsid w:val="1EFC3867"/>
    <w:rsid w:val="1FD96390"/>
    <w:rsid w:val="221E7789"/>
    <w:rsid w:val="237044C9"/>
    <w:rsid w:val="23B665A6"/>
    <w:rsid w:val="246A0CCA"/>
    <w:rsid w:val="24C971C0"/>
    <w:rsid w:val="258A22CF"/>
    <w:rsid w:val="2768460D"/>
    <w:rsid w:val="277A5AEB"/>
    <w:rsid w:val="28A0124C"/>
    <w:rsid w:val="29DC52B9"/>
    <w:rsid w:val="2B5C13F4"/>
    <w:rsid w:val="2D597CE1"/>
    <w:rsid w:val="2ED26038"/>
    <w:rsid w:val="2EF73449"/>
    <w:rsid w:val="304803F0"/>
    <w:rsid w:val="31884F53"/>
    <w:rsid w:val="32297B3E"/>
    <w:rsid w:val="327A76B3"/>
    <w:rsid w:val="34F51A0D"/>
    <w:rsid w:val="376D1517"/>
    <w:rsid w:val="39A70D02"/>
    <w:rsid w:val="3AC32E66"/>
    <w:rsid w:val="414B3466"/>
    <w:rsid w:val="430C7854"/>
    <w:rsid w:val="45953482"/>
    <w:rsid w:val="46A72415"/>
    <w:rsid w:val="48E357A5"/>
    <w:rsid w:val="4A5358A9"/>
    <w:rsid w:val="509C191A"/>
    <w:rsid w:val="5281373C"/>
    <w:rsid w:val="53D4255B"/>
    <w:rsid w:val="543C5819"/>
    <w:rsid w:val="5516431D"/>
    <w:rsid w:val="57865139"/>
    <w:rsid w:val="5DBD175E"/>
    <w:rsid w:val="5E7B7E00"/>
    <w:rsid w:val="5EFF04F2"/>
    <w:rsid w:val="5FA64763"/>
    <w:rsid w:val="5FC66889"/>
    <w:rsid w:val="62F206C7"/>
    <w:rsid w:val="648A46E4"/>
    <w:rsid w:val="65565933"/>
    <w:rsid w:val="669B11A1"/>
    <w:rsid w:val="67BC6F04"/>
    <w:rsid w:val="681B6847"/>
    <w:rsid w:val="68AD09A1"/>
    <w:rsid w:val="68E43B9D"/>
    <w:rsid w:val="69CE1E7C"/>
    <w:rsid w:val="6AEE17CA"/>
    <w:rsid w:val="6B5F7DE8"/>
    <w:rsid w:val="71306613"/>
    <w:rsid w:val="71415D62"/>
    <w:rsid w:val="7818127F"/>
    <w:rsid w:val="78B93229"/>
    <w:rsid w:val="78DF633F"/>
    <w:rsid w:val="79A27454"/>
    <w:rsid w:val="7AB530B6"/>
    <w:rsid w:val="7BE07F47"/>
    <w:rsid w:val="7D436E87"/>
    <w:rsid w:val="7F0D1FD5"/>
    <w:rsid w:val="7FDD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560" w:firstLineChars="20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0"/>
    <w:pPr>
      <w:spacing w:beforeAutospacing="0" w:afterAutospacing="0"/>
      <w:ind w:firstLine="0" w:firstLineChars="0"/>
      <w:jc w:val="center"/>
      <w:outlineLvl w:val="0"/>
    </w:pPr>
    <w:rPr>
      <w:rFonts w:hint="eastAsia" w:ascii="Times New Roman" w:hAnsi="Times New Roman" w:eastAsia="黑体" w:cs="宋体"/>
      <w:b/>
      <w:bCs/>
      <w:kern w:val="44"/>
      <w:sz w:val="30"/>
      <w:lang w:bidi="ar"/>
    </w:rPr>
  </w:style>
  <w:style w:type="paragraph" w:styleId="3">
    <w:name w:val="heading 2"/>
    <w:basedOn w:val="1"/>
    <w:next w:val="1"/>
    <w:link w:val="19"/>
    <w:semiHidden/>
    <w:unhideWhenUsed/>
    <w:qFormat/>
    <w:uiPriority w:val="0"/>
    <w:pPr>
      <w:spacing w:beforeAutospacing="0" w:afterAutospacing="0"/>
      <w:jc w:val="left"/>
      <w:outlineLvl w:val="1"/>
    </w:pPr>
    <w:rPr>
      <w:rFonts w:hint="eastAsia" w:ascii="Times New Roman" w:hAnsi="Times New Roman" w:cs="宋体"/>
      <w:b/>
      <w:bCs/>
      <w:kern w:val="0"/>
      <w:szCs w:val="36"/>
      <w:lang w:bidi="ar"/>
    </w:rPr>
  </w:style>
  <w:style w:type="paragraph" w:styleId="4">
    <w:name w:val="heading 3"/>
    <w:basedOn w:val="1"/>
    <w:next w:val="1"/>
    <w:link w:val="18"/>
    <w:semiHidden/>
    <w:unhideWhenUsed/>
    <w:qFormat/>
    <w:uiPriority w:val="0"/>
    <w:pPr>
      <w:keepNext/>
      <w:keepLines/>
      <w:spacing w:before="160" w:after="0" w:line="360" w:lineRule="auto"/>
      <w:jc w:val="left"/>
      <w:outlineLvl w:val="2"/>
    </w:pPr>
    <w:rPr>
      <w:rFonts w:asciiTheme="majorAscii" w:hAnsiTheme="majorAscii" w:eastAsiaTheme="majorEastAsia" w:cstheme="majorBidi"/>
      <w:color w:val="000000" w:themeColor="text1"/>
      <w:sz w:val="24"/>
      <w:szCs w:val="32"/>
      <w14:textFill>
        <w14:solidFill>
          <w14:schemeClr w14:val="tx1"/>
        </w14:solidFill>
      </w14:textFill>
      <w14:ligatures w14:val="standardContextual"/>
    </w:rPr>
  </w:style>
  <w:style w:type="paragraph" w:styleId="5">
    <w:name w:val="heading 4"/>
    <w:basedOn w:val="1"/>
    <w:next w:val="1"/>
    <w:link w:val="23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0" w:firstLineChars="0"/>
      <w:jc w:val="left"/>
      <w:outlineLvl w:val="3"/>
    </w:pPr>
    <w:rPr>
      <w:rFonts w:ascii="Arial" w:hAnsi="Arial" w:eastAsia="宋体" w:cstheme="minorBidi"/>
      <w:b/>
      <w:sz w:val="24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0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qFormat/>
    <w:uiPriority w:val="0"/>
    <w:pPr>
      <w:ind w:left="100" w:leftChars="400" w:hanging="200" w:hangingChars="200"/>
      <w:contextualSpacing/>
    </w:pPr>
    <w:rPr>
      <w:sz w:val="21"/>
      <w:szCs w:val="21"/>
    </w:rPr>
  </w:style>
  <w:style w:type="paragraph" w:styleId="12">
    <w:name w:val="Body Text"/>
    <w:basedOn w:val="1"/>
    <w:link w:val="20"/>
    <w:qFormat/>
    <w:uiPriority w:val="0"/>
    <w:pPr>
      <w:ind w:firstLine="800" w:firstLineChars="200"/>
    </w:pPr>
    <w:rPr>
      <w:rFonts w:ascii="Times New Roman" w:hAnsi="Times New Roman" w:eastAsiaTheme="minorEastAsia" w:cstheme="minorBidi"/>
      <w:lang w:eastAsia="en-US"/>
    </w:rPr>
  </w:style>
  <w:style w:type="paragraph" w:styleId="13">
    <w:name w:val="Normal (Web)"/>
    <w:basedOn w:val="1"/>
    <w:uiPriority w:val="0"/>
    <w:rPr>
      <w:sz w:val="24"/>
    </w:rPr>
  </w:style>
  <w:style w:type="paragraph" w:customStyle="1" w:styleId="16">
    <w:name w:val="1级标题"/>
    <w:next w:val="1"/>
    <w:qFormat/>
    <w:uiPriority w:val="0"/>
    <w:pPr>
      <w:tabs>
        <w:tab w:val="left" w:pos="1406"/>
      </w:tabs>
      <w:spacing w:before="120" w:beforeLines="120" w:after="80" w:afterLines="80"/>
      <w:outlineLvl w:val="1"/>
    </w:pPr>
    <w:rPr>
      <w:rFonts w:hint="eastAsia" w:ascii="黑体" w:hAnsi="黑体" w:eastAsia="黑体" w:cstheme="minorBidi"/>
      <w:sz w:val="28"/>
      <w:szCs w:val="28"/>
    </w:rPr>
  </w:style>
  <w:style w:type="paragraph" w:customStyle="1" w:styleId="17">
    <w:name w:val="2级标题"/>
    <w:next w:val="12"/>
    <w:qFormat/>
    <w:uiPriority w:val="0"/>
    <w:pPr>
      <w:tabs>
        <w:tab w:val="left" w:pos="7005"/>
      </w:tabs>
      <w:spacing w:line="300" w:lineRule="exact"/>
      <w:jc w:val="left"/>
    </w:pPr>
    <w:rPr>
      <w:rFonts w:ascii="微软雅黑" w:hAnsi="微软雅黑" w:eastAsia="宋体" w:cstheme="minorBidi"/>
      <w:sz w:val="24"/>
    </w:rPr>
  </w:style>
  <w:style w:type="character" w:customStyle="1" w:styleId="18">
    <w:name w:val="标题 3 Char"/>
    <w:link w:val="4"/>
    <w:qFormat/>
    <w:uiPriority w:val="0"/>
    <w:rPr>
      <w:rFonts w:ascii="Times New Roman" w:hAnsi="Times New Roman" w:eastAsia="黑体" w:cs="Times New Roman"/>
      <w:b/>
      <w:bCs/>
      <w:color w:val="auto"/>
      <w:kern w:val="2"/>
      <w:sz w:val="24"/>
      <w:szCs w:val="28"/>
      <w:lang w:val="en-US" w:eastAsia="zh-CN" w:bidi="ar-SA"/>
    </w:rPr>
  </w:style>
  <w:style w:type="character" w:customStyle="1" w:styleId="19">
    <w:name w:val="标题 2 Char"/>
    <w:link w:val="3"/>
    <w:qFormat/>
    <w:uiPriority w:val="0"/>
    <w:rPr>
      <w:rFonts w:ascii="Times New Roman" w:hAnsi="Times New Roman" w:eastAsia="宋体"/>
      <w:b/>
      <w:sz w:val="24"/>
    </w:rPr>
  </w:style>
  <w:style w:type="character" w:customStyle="1" w:styleId="20">
    <w:name w:val="正文文本 Char"/>
    <w:link w:val="12"/>
    <w:qFormat/>
    <w:uiPriority w:val="0"/>
    <w:rPr>
      <w:rFonts w:ascii="Times New Roman" w:hAnsi="Times New Roman" w:eastAsia="宋体" w:cstheme="minorBidi"/>
      <w:sz w:val="24"/>
      <w:szCs w:val="24"/>
      <w:lang w:eastAsia="en-US"/>
    </w:rPr>
  </w:style>
  <w:style w:type="character" w:customStyle="1" w:styleId="21">
    <w:name w:val="标题 1 Char"/>
    <w:link w:val="2"/>
    <w:qFormat/>
    <w:uiPriority w:val="0"/>
    <w:rPr>
      <w:rFonts w:ascii="Times New Roman" w:hAnsi="Times New Roman" w:eastAsia="黑体" w:cs="Times New Roman"/>
      <w:b/>
      <w:bCs/>
      <w:color w:val="auto"/>
      <w:kern w:val="44"/>
      <w:sz w:val="30"/>
      <w:szCs w:val="32"/>
      <w:lang w:val="en-US" w:eastAsia="zh-CN" w:bidi="ar-SA"/>
    </w:rPr>
  </w:style>
  <w:style w:type="paragraph" w:customStyle="1" w:styleId="22">
    <w:name w:val="表格"/>
    <w:next w:val="12"/>
    <w:qFormat/>
    <w:uiPriority w:val="0"/>
    <w:pPr>
      <w:keepNext/>
      <w:keepLines/>
      <w:spacing w:afterLines="0"/>
      <w:ind w:firstLine="0" w:firstLineChars="0"/>
      <w:jc w:val="center"/>
    </w:pPr>
    <w:rPr>
      <w:rFonts w:hint="eastAsia" w:ascii="Times New Roman" w:hAnsi="Times New Roman" w:cs="Times New Roman" w:eastAsiaTheme="minorEastAsia"/>
      <w:kern w:val="0"/>
      <w:sz w:val="21"/>
    </w:rPr>
  </w:style>
  <w:style w:type="character" w:customStyle="1" w:styleId="23">
    <w:name w:val="标题 4 Char"/>
    <w:link w:val="5"/>
    <w:qFormat/>
    <w:uiPriority w:val="0"/>
    <w:rPr>
      <w:rFonts w:ascii="Arial" w:hAnsi="Arial" w:eastAsia="宋体" w:cstheme="minorBidi"/>
      <w:b/>
      <w:sz w:val="24"/>
    </w:rPr>
  </w:style>
  <w:style w:type="paragraph" w:customStyle="1" w:styleId="24">
    <w:name w:val="参考文献"/>
    <w:basedOn w:val="1"/>
    <w:qFormat/>
    <w:uiPriority w:val="0"/>
    <w:pPr>
      <w:spacing w:beforeLines="0" w:afterLines="0" w:line="360" w:lineRule="auto"/>
      <w:ind w:left="420" w:firstLine="0" w:firstLineChars="0"/>
    </w:pPr>
    <w:rPr>
      <w:rFonts w:ascii="Times New Roman" w:hAnsi="Times New Roman" w:eastAsia="Times New Roman" w:cs="Times New Roman"/>
      <w:color w:val="000000"/>
      <w:sz w:val="20"/>
    </w:rPr>
  </w:style>
  <w:style w:type="character" w:customStyle="1" w:styleId="25">
    <w:name w:val="font21"/>
    <w:basedOn w:val="15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6">
    <w:name w:val="font31"/>
    <w:basedOn w:val="15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tif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752</Words>
  <Characters>4688</Characters>
  <Lines>0</Lines>
  <Paragraphs>0</Paragraphs>
  <TotalTime>24</TotalTime>
  <ScaleCrop>false</ScaleCrop>
  <LinksUpToDate>false</LinksUpToDate>
  <CharactersWithSpaces>5179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2026-05-17T12:41:00Z</dcterms:created>
  <dc:creator>marx</dc:creator>
  <cp:lastModifiedBy>marx</cp:lastModifiedBy>
  <dcterms:modified xsi:type="dcterms:W3CDTF">2026-05-23T15:36:58Z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4D9AA7525DEF48C19BEF527937C2553E_11</vt:lpwstr>
  </property>
  <property fmtid="{D5CDD505-2E9C-101B-9397-08002B2CF9AE}" pid="4" name="KSOTemplateDocerSaveRecord">
    <vt:lpwstr>eyJoZGlkIjoiMzViZDUzZmRkYjRlMjE0OTlhNGIxOTQ5ZjZiMzYzYzIiLCJ1c2VySWQiOiI1MDE2Njc5MTIifQ==</vt:lpwstr>
  </property>
</Properties>
</file>