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37" w:rsidRDefault="00A8754A" w:rsidP="00A8754A">
      <w:pPr>
        <w:jc w:val="center"/>
        <w:rPr>
          <w:rFonts w:ascii="Times New Roman" w:hAnsi="Times New Roman" w:cs="Times New Roman"/>
          <w:b/>
          <w:sz w:val="24"/>
          <w:lang w:val="en-US"/>
        </w:rPr>
      </w:pPr>
      <w:r w:rsidRPr="00A8754A">
        <w:rPr>
          <w:rFonts w:ascii="Times New Roman" w:hAnsi="Times New Roman" w:cs="Times New Roman"/>
          <w:b/>
          <w:sz w:val="24"/>
          <w:lang w:val="en-US"/>
        </w:rPr>
        <w:t>List of Tables</w:t>
      </w:r>
    </w:p>
    <w:p w:rsidR="00A8754A" w:rsidRPr="00F57E9E" w:rsidRDefault="00A8754A" w:rsidP="00A8754A">
      <w:pPr>
        <w:spacing w:after="0" w:line="360" w:lineRule="auto"/>
        <w:rPr>
          <w:rFonts w:ascii="Times New Roman" w:eastAsia="Times New Roman" w:hAnsi="Times New Roman" w:cs="Times New Roman"/>
          <w:sz w:val="24"/>
          <w:szCs w:val="24"/>
          <w:lang w:eastAsia="en-IN"/>
        </w:rPr>
      </w:pPr>
      <w:r w:rsidRPr="00F57E9E">
        <w:rPr>
          <w:rFonts w:ascii="Times New Roman" w:eastAsia="Times New Roman" w:hAnsi="Times New Roman" w:cs="Times New Roman"/>
          <w:sz w:val="24"/>
          <w:szCs w:val="24"/>
          <w:lang w:eastAsia="en-IN"/>
        </w:rPr>
        <w:t xml:space="preserve">Table </w:t>
      </w:r>
      <w:r>
        <w:rPr>
          <w:rFonts w:ascii="Times New Roman" w:eastAsia="Times New Roman" w:hAnsi="Times New Roman" w:cs="Times New Roman"/>
          <w:sz w:val="24"/>
          <w:szCs w:val="24"/>
          <w:lang w:eastAsia="en-IN"/>
        </w:rPr>
        <w:t>I.</w:t>
      </w:r>
      <w:r w:rsidRPr="00F57E9E">
        <w:rPr>
          <w:rFonts w:ascii="Times New Roman" w:eastAsia="Times New Roman" w:hAnsi="Times New Roman" w:cs="Times New Roman"/>
          <w:sz w:val="24"/>
          <w:szCs w:val="24"/>
          <w:lang w:eastAsia="en-IN"/>
        </w:rPr>
        <w:t xml:space="preserve"> Sampling Distribution Across Organizations (SRSWOR)</w:t>
      </w:r>
    </w:p>
    <w:tbl>
      <w:tblPr>
        <w:tblStyle w:val="TableGrid"/>
        <w:tblW w:w="8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2632"/>
        <w:gridCol w:w="2387"/>
        <w:gridCol w:w="2055"/>
      </w:tblGrid>
      <w:tr w:rsidR="00A8754A" w:rsidRPr="00890A68" w:rsidTr="00D87571">
        <w:trPr>
          <w:trHeight w:val="280"/>
        </w:trPr>
        <w:tc>
          <w:tcPr>
            <w:tcW w:w="0" w:type="auto"/>
            <w:tcBorders>
              <w:top w:val="single" w:sz="4" w:space="0" w:color="auto"/>
              <w:bottom w:val="single" w:sz="4" w:space="0" w:color="auto"/>
            </w:tcBorders>
            <w:shd w:val="clear" w:color="auto" w:fill="D9D9D9" w:themeFill="background1" w:themeFillShade="D9"/>
            <w:hideMark/>
          </w:tcPr>
          <w:p w:rsidR="00A8754A" w:rsidRPr="00890A68" w:rsidRDefault="00A8754A" w:rsidP="00D87571">
            <w:pPr>
              <w:jc w:val="center"/>
              <w:rPr>
                <w:rFonts w:ascii="Times New Roman" w:eastAsia="Times New Roman" w:hAnsi="Times New Roman" w:cs="Times New Roman"/>
                <w:b/>
                <w:bCs/>
                <w:sz w:val="24"/>
                <w:szCs w:val="24"/>
                <w:lang w:eastAsia="en-IN"/>
              </w:rPr>
            </w:pPr>
            <w:r w:rsidRPr="00890A68">
              <w:rPr>
                <w:rFonts w:ascii="Times New Roman" w:eastAsia="Times New Roman" w:hAnsi="Times New Roman" w:cs="Times New Roman"/>
                <w:b/>
                <w:bCs/>
                <w:sz w:val="24"/>
                <w:szCs w:val="24"/>
                <w:lang w:eastAsia="en-IN"/>
              </w:rPr>
              <w:t>Organization</w:t>
            </w:r>
          </w:p>
        </w:tc>
        <w:tc>
          <w:tcPr>
            <w:tcW w:w="0" w:type="auto"/>
            <w:tcBorders>
              <w:top w:val="single" w:sz="4" w:space="0" w:color="auto"/>
              <w:bottom w:val="single" w:sz="4" w:space="0" w:color="auto"/>
            </w:tcBorders>
            <w:shd w:val="clear" w:color="auto" w:fill="D9D9D9" w:themeFill="background1" w:themeFillShade="D9"/>
            <w:hideMark/>
          </w:tcPr>
          <w:p w:rsidR="00A8754A" w:rsidRPr="00890A68" w:rsidRDefault="00A8754A" w:rsidP="00D87571">
            <w:pPr>
              <w:jc w:val="center"/>
              <w:rPr>
                <w:rFonts w:ascii="Times New Roman" w:eastAsia="Times New Roman" w:hAnsi="Times New Roman" w:cs="Times New Roman"/>
                <w:b/>
                <w:bCs/>
                <w:sz w:val="24"/>
                <w:szCs w:val="24"/>
                <w:lang w:eastAsia="en-IN"/>
              </w:rPr>
            </w:pPr>
            <w:r w:rsidRPr="00890A68">
              <w:rPr>
                <w:rFonts w:ascii="Times New Roman" w:eastAsia="Times New Roman" w:hAnsi="Times New Roman" w:cs="Times New Roman"/>
                <w:b/>
                <w:bCs/>
                <w:sz w:val="24"/>
                <w:szCs w:val="24"/>
                <w:lang w:eastAsia="en-IN"/>
              </w:rPr>
              <w:t>Total Employees (Nᵢ)</w:t>
            </w:r>
          </w:p>
        </w:tc>
        <w:tc>
          <w:tcPr>
            <w:tcW w:w="0" w:type="auto"/>
            <w:tcBorders>
              <w:top w:val="single" w:sz="4" w:space="0" w:color="auto"/>
              <w:bottom w:val="single" w:sz="4" w:space="0" w:color="auto"/>
            </w:tcBorders>
            <w:shd w:val="clear" w:color="auto" w:fill="D9D9D9" w:themeFill="background1" w:themeFillShade="D9"/>
            <w:hideMark/>
          </w:tcPr>
          <w:p w:rsidR="00A8754A" w:rsidRPr="00890A68" w:rsidRDefault="00A8754A" w:rsidP="00D87571">
            <w:pPr>
              <w:jc w:val="center"/>
              <w:rPr>
                <w:rFonts w:ascii="Times New Roman" w:eastAsia="Times New Roman" w:hAnsi="Times New Roman" w:cs="Times New Roman"/>
                <w:b/>
                <w:bCs/>
                <w:sz w:val="24"/>
                <w:szCs w:val="24"/>
                <w:lang w:eastAsia="en-IN"/>
              </w:rPr>
            </w:pPr>
            <w:r w:rsidRPr="00890A68">
              <w:rPr>
                <w:rFonts w:ascii="Times New Roman" w:eastAsia="Times New Roman" w:hAnsi="Times New Roman" w:cs="Times New Roman"/>
                <w:b/>
                <w:bCs/>
                <w:sz w:val="24"/>
                <w:szCs w:val="24"/>
                <w:lang w:eastAsia="en-IN"/>
              </w:rPr>
              <w:t>Proportion (Nᵢ / N)</w:t>
            </w:r>
          </w:p>
        </w:tc>
        <w:tc>
          <w:tcPr>
            <w:tcW w:w="0" w:type="auto"/>
            <w:tcBorders>
              <w:top w:val="single" w:sz="4" w:space="0" w:color="auto"/>
              <w:bottom w:val="single" w:sz="4" w:space="0" w:color="auto"/>
            </w:tcBorders>
            <w:shd w:val="clear" w:color="auto" w:fill="D9D9D9" w:themeFill="background1" w:themeFillShade="D9"/>
            <w:hideMark/>
          </w:tcPr>
          <w:p w:rsidR="00A8754A" w:rsidRPr="00890A68" w:rsidRDefault="00A8754A" w:rsidP="00D87571">
            <w:pPr>
              <w:jc w:val="center"/>
              <w:rPr>
                <w:rFonts w:ascii="Times New Roman" w:eastAsia="Times New Roman" w:hAnsi="Times New Roman" w:cs="Times New Roman"/>
                <w:b/>
                <w:bCs/>
                <w:sz w:val="24"/>
                <w:szCs w:val="24"/>
                <w:lang w:eastAsia="en-IN"/>
              </w:rPr>
            </w:pPr>
            <w:r w:rsidRPr="00890A68">
              <w:rPr>
                <w:rFonts w:ascii="Times New Roman" w:eastAsia="Times New Roman" w:hAnsi="Times New Roman" w:cs="Times New Roman"/>
                <w:b/>
                <w:bCs/>
                <w:sz w:val="24"/>
                <w:szCs w:val="24"/>
                <w:lang w:eastAsia="en-IN"/>
              </w:rPr>
              <w:t>Sample Size (nᵢ)</w:t>
            </w:r>
          </w:p>
        </w:tc>
      </w:tr>
      <w:tr w:rsidR="00A8754A" w:rsidRPr="00890A68" w:rsidTr="00D87571">
        <w:trPr>
          <w:trHeight w:val="280"/>
        </w:trPr>
        <w:tc>
          <w:tcPr>
            <w:tcW w:w="0" w:type="auto"/>
            <w:tcBorders>
              <w:top w:val="single" w:sz="4" w:space="0" w:color="auto"/>
            </w:tcBorders>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Company A</w:t>
            </w:r>
          </w:p>
        </w:tc>
        <w:tc>
          <w:tcPr>
            <w:tcW w:w="0" w:type="auto"/>
            <w:tcBorders>
              <w:top w:val="single" w:sz="4" w:space="0" w:color="auto"/>
            </w:tcBorders>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196</w:t>
            </w:r>
          </w:p>
        </w:tc>
        <w:tc>
          <w:tcPr>
            <w:tcW w:w="0" w:type="auto"/>
            <w:tcBorders>
              <w:top w:val="single" w:sz="4" w:space="0" w:color="auto"/>
            </w:tcBorders>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0.156</w:t>
            </w:r>
          </w:p>
        </w:tc>
        <w:tc>
          <w:tcPr>
            <w:tcW w:w="0" w:type="auto"/>
            <w:tcBorders>
              <w:top w:val="single" w:sz="4" w:space="0" w:color="auto"/>
            </w:tcBorders>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62</w:t>
            </w:r>
          </w:p>
        </w:tc>
      </w:tr>
      <w:tr w:rsidR="00A8754A" w:rsidRPr="00890A68" w:rsidTr="00D87571">
        <w:trPr>
          <w:trHeight w:val="268"/>
        </w:trPr>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Company B</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203</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0.161</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64</w:t>
            </w:r>
          </w:p>
        </w:tc>
      </w:tr>
      <w:tr w:rsidR="00A8754A" w:rsidRPr="00890A68" w:rsidTr="00D87571">
        <w:trPr>
          <w:trHeight w:val="280"/>
        </w:trPr>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Company C</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233</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0.185</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74</w:t>
            </w:r>
          </w:p>
        </w:tc>
      </w:tr>
      <w:tr w:rsidR="00A8754A" w:rsidRPr="00890A68" w:rsidTr="00D87571">
        <w:trPr>
          <w:trHeight w:val="280"/>
        </w:trPr>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Company D</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239</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0.190</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76</w:t>
            </w:r>
          </w:p>
        </w:tc>
      </w:tr>
      <w:tr w:rsidR="00A8754A" w:rsidRPr="00890A68" w:rsidTr="00D87571">
        <w:trPr>
          <w:trHeight w:val="280"/>
        </w:trPr>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Company E</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202</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0.160</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64</w:t>
            </w:r>
          </w:p>
        </w:tc>
      </w:tr>
      <w:tr w:rsidR="00A8754A" w:rsidRPr="00890A68" w:rsidTr="00D87571">
        <w:trPr>
          <w:trHeight w:val="280"/>
        </w:trPr>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Company F</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187</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0.148</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sz w:val="24"/>
                <w:szCs w:val="24"/>
                <w:lang w:eastAsia="en-IN"/>
              </w:rPr>
              <w:t>60</w:t>
            </w:r>
          </w:p>
        </w:tc>
      </w:tr>
      <w:tr w:rsidR="00A8754A" w:rsidRPr="00890A68" w:rsidTr="00D87571">
        <w:trPr>
          <w:trHeight w:val="268"/>
        </w:trPr>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b/>
                <w:bCs/>
                <w:sz w:val="24"/>
                <w:szCs w:val="24"/>
                <w:lang w:eastAsia="en-IN"/>
              </w:rPr>
              <w:t>Total</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b/>
                <w:bCs/>
                <w:sz w:val="24"/>
                <w:szCs w:val="24"/>
                <w:lang w:eastAsia="en-IN"/>
              </w:rPr>
              <w:t>1260</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b/>
                <w:bCs/>
                <w:sz w:val="24"/>
                <w:szCs w:val="24"/>
                <w:lang w:eastAsia="en-IN"/>
              </w:rPr>
              <w:t>1.000</w:t>
            </w:r>
          </w:p>
        </w:tc>
        <w:tc>
          <w:tcPr>
            <w:tcW w:w="0" w:type="auto"/>
            <w:hideMark/>
          </w:tcPr>
          <w:p w:rsidR="00A8754A" w:rsidRPr="00890A68" w:rsidRDefault="00A8754A" w:rsidP="00D87571">
            <w:pPr>
              <w:rPr>
                <w:rFonts w:ascii="Times New Roman" w:eastAsia="Times New Roman" w:hAnsi="Times New Roman" w:cs="Times New Roman"/>
                <w:sz w:val="24"/>
                <w:szCs w:val="24"/>
                <w:lang w:eastAsia="en-IN"/>
              </w:rPr>
            </w:pPr>
            <w:r w:rsidRPr="00890A68">
              <w:rPr>
                <w:rFonts w:ascii="Times New Roman" w:eastAsia="Times New Roman" w:hAnsi="Times New Roman" w:cs="Times New Roman"/>
                <w:b/>
                <w:bCs/>
                <w:sz w:val="24"/>
                <w:szCs w:val="24"/>
                <w:lang w:eastAsia="en-IN"/>
              </w:rPr>
              <w:t>400</w:t>
            </w:r>
          </w:p>
        </w:tc>
      </w:tr>
    </w:tbl>
    <w:p w:rsidR="00A8754A" w:rsidRDefault="00A8754A" w:rsidP="00A8754A">
      <w:pPr>
        <w:rPr>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II. Measurement Items</w:t>
      </w:r>
    </w:p>
    <w:tbl>
      <w:tblPr>
        <w:tblStyle w:val="TableGrid"/>
        <w:tblW w:w="10065"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01"/>
        <w:gridCol w:w="3828"/>
      </w:tblGrid>
      <w:tr w:rsidR="00A8754A" w:rsidTr="00D87571">
        <w:trPr>
          <w:trHeight w:val="411"/>
        </w:trPr>
        <w:tc>
          <w:tcPr>
            <w:tcW w:w="4536" w:type="dxa"/>
            <w:tcBorders>
              <w:top w:val="single" w:sz="4" w:space="0" w:color="auto"/>
              <w:bottom w:val="single" w:sz="4" w:space="0" w:color="auto"/>
            </w:tcBorders>
            <w:shd w:val="clear" w:color="auto" w:fill="D9D9D9" w:themeFill="background1" w:themeFillShade="D9"/>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Construct</w:t>
            </w:r>
          </w:p>
        </w:tc>
        <w:tc>
          <w:tcPr>
            <w:tcW w:w="1701" w:type="dxa"/>
            <w:tcBorders>
              <w:top w:val="single" w:sz="4" w:space="0" w:color="auto"/>
              <w:bottom w:val="single" w:sz="4" w:space="0" w:color="auto"/>
            </w:tcBorders>
            <w:shd w:val="clear" w:color="auto" w:fill="D9D9D9" w:themeFill="background1" w:themeFillShade="D9"/>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No. of items</w:t>
            </w:r>
          </w:p>
        </w:tc>
        <w:tc>
          <w:tcPr>
            <w:tcW w:w="3828" w:type="dxa"/>
            <w:tcBorders>
              <w:top w:val="single" w:sz="4" w:space="0" w:color="auto"/>
              <w:bottom w:val="single" w:sz="4" w:space="0" w:color="auto"/>
            </w:tcBorders>
            <w:shd w:val="clear" w:color="auto" w:fill="D9D9D9" w:themeFill="background1" w:themeFillShade="D9"/>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tc>
      </w:tr>
      <w:tr w:rsidR="00A8754A" w:rsidTr="00D87571">
        <w:trPr>
          <w:trHeight w:val="835"/>
        </w:trPr>
        <w:tc>
          <w:tcPr>
            <w:tcW w:w="4536" w:type="dxa"/>
            <w:tcBorders>
              <w:top w:val="single" w:sz="4" w:space="0" w:color="auto"/>
            </w:tcBorders>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Human Resource Management (GHRM) (5-point Likert scale) </w:t>
            </w:r>
          </w:p>
        </w:tc>
        <w:tc>
          <w:tcPr>
            <w:tcW w:w="1701" w:type="dxa"/>
            <w:tcBorders>
              <w:top w:val="single" w:sz="4" w:space="0" w:color="auto"/>
            </w:tcBorders>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4" w:space="0" w:color="auto"/>
            </w:tcBorders>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{"citationItems":[{"id":"ITEM-1","itemData":{"ISSN":"0278-4319","author":[{"dropping-particle":"","family":"Kim","given":"Yong Joong","non-dropping-particle":"","parse-names":false,"suffix":""},{"dropping-particle":"","family":"Kim","given":"Woo Gon","non-dropping-particle":"","parse-names":false,"suffix":""},{"dropping-particle":"","family":"Choi","given":"Hyung-Min","non-dropping-particle":"","parse-names":false,"suffix":""},{"dropping-particle":"","family":"Phetvaroon","given":"Kullada","non-dropping-particle":"","parse-names":false,"suffix":""}],"container-title":"International journal of hospitality management","id":"ITEM-1","issued":{"date-parts":[["2019"]]},"page":"83-93","publisher":"Elsevier","title":"The effect of green human resource management on hotel employees’ eco-friendly behavior and environmental performance","type":"article-journal","volume":"76"},"uris":["http://www.mendeley.com/documents/?uuid=28f5f61b-d408-437a-afd1-f1745f4d3045","http://www.mendeley.com/documents/?uuid=cf37f136-ed24-45bd-9a2c-2425cfdb3934"]}],"mendeley":{"formattedCitation":"(Kim et al., 2019)","manualFormatting":"Kim et al., (2019)","plainTextFormattedCitation":"(Kim et al., 2019)","previouslyFormattedCitation":"(Kim et al., 2019)"},"properties":{"noteIndex":0},"schema":"https://github.com/citation-style-language/schema/raw/master/csl-citation.json"}</w:instrText>
            </w:r>
            <w:r>
              <w:rPr>
                <w:rFonts w:ascii="Times New Roman" w:hAnsi="Times New Roman" w:cs="Times New Roman"/>
                <w:sz w:val="24"/>
                <w:szCs w:val="24"/>
              </w:rPr>
              <w:fldChar w:fldCharType="separate"/>
            </w:r>
            <w:r w:rsidRPr="000E27DC">
              <w:rPr>
                <w:rFonts w:ascii="Times New Roman" w:hAnsi="Times New Roman" w:cs="Times New Roman"/>
                <w:noProof/>
                <w:sz w:val="24"/>
                <w:szCs w:val="24"/>
              </w:rPr>
              <w:t xml:space="preserve">Kim et al., </w:t>
            </w:r>
            <w:r>
              <w:rPr>
                <w:rFonts w:ascii="Times New Roman" w:hAnsi="Times New Roman" w:cs="Times New Roman"/>
                <w:noProof/>
                <w:sz w:val="24"/>
                <w:szCs w:val="24"/>
              </w:rPr>
              <w:t>(</w:t>
            </w:r>
            <w:r w:rsidRPr="000E27DC">
              <w:rPr>
                <w:rFonts w:ascii="Times New Roman" w:hAnsi="Times New Roman" w:cs="Times New Roman"/>
                <w:noProof/>
                <w:sz w:val="24"/>
                <w:szCs w:val="24"/>
              </w:rPr>
              <w:t>2019)</w:t>
            </w:r>
            <w:r>
              <w:rPr>
                <w:rFonts w:ascii="Times New Roman" w:hAnsi="Times New Roman" w:cs="Times New Roman"/>
                <w:sz w:val="24"/>
                <w:szCs w:val="24"/>
              </w:rPr>
              <w:fldChar w:fldCharType="end"/>
            </w:r>
          </w:p>
        </w:tc>
      </w:tr>
      <w:tr w:rsidR="00A8754A" w:rsidTr="00D87571">
        <w:trPr>
          <w:trHeight w:val="835"/>
        </w:trPr>
        <w:tc>
          <w:tcPr>
            <w:tcW w:w="4536"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 Organisational Citizenship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(GOCB) (5-point Likert scale)</w:t>
            </w:r>
          </w:p>
        </w:tc>
        <w:tc>
          <w:tcPr>
            <w:tcW w:w="1701"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828"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{"citationItems":[{"id":"ITEM-1","itemData":{"DOI":"10.1016/j.tourman.2018.12.008","ISSN":"02615177","abstract":"Despite the important contribution made by green human resource management (GHRM) towards organizational citizenship behavior for the environment (OCBE), few published studies have investigated this significant contemporary topic in the hospitality industry, which constitutes a major gap in the literature on the greening of the hospitality industry. Drawing on Ability-Motivation-Opportunity theory, this study develops and tests direct and interactive effects of GHRM practices on OCBE. A mixed methodology is applied, with a survey of 203 employees working in 4–5 star hotels being conducted first to test six hypotheses, followed by qualitative research into two specific cases. The results indicate a mixture of expected and unexpected findings, including: (i) the direct effects of GHRM practices on OCBE; (ii) the interaction of three GHRM practices (training, performance management and employee involvement), which can enhance employees’ voluntary green behavior, dependent on the level of green performance management and green employee involvement; and (iii) that green training is seen as a key mechanism to boost employees’ voluntary green behavior. The originality of this manuscript is based on its status as one of the first mixed-methodology works on GHRM in the hospitality industry in an emerging economy.","author":[{"dropping-particle":"","family":"Pham","given":"Nhat Tan","non-dropping-particle":"","parse-names":false,"suffix":""},{"dropping-particle":"","family":"Tučková","given":"Zuzana","non-dropping-particle":"","parse-names":false,"suffix":""},{"dropping-particle":"","family":"Chiappetta Jabbour","given":"Charbel José","non-dropping-particle":"","parse-names":false,"suffix":""}],"container-title":"Tourism Management","id":"ITEM-1","issue":"August 2018","issued":{"date-parts":[["2019"]]},"page":"386-399","publisher":"Elsevier","title":"Greening the hospitality industry: How do green human resource management practices influence organizational citizenship behavior in hotels? A mixed-methods study","type":"article-journal","volume":"72"},"uris":["http://www.mendeley.com/documents/?uuid=ef2cbbcd-0c63-4895-9b4f-5787c6de8b1f","http://www.mendeley.com/documents/?uuid=5a0ab3c9-9e0b-4327-9c64-acad7479b5ea"]}],"mendeley":{"formattedCitation":"(N. T. Pham et al., 2019)","manualFormatting":"(Pham et al., 2019)","plainTextFormattedCitation":"(N. T. Pham et al., 2019)","previouslyFormattedCitation":"(N. T. Pham et al., 2019)"},"properties":{"noteIndex":0},"schema":"https://github.com/citation-style-language/schema/raw/master/csl-citation.json"}</w:instrText>
            </w:r>
            <w:r>
              <w:rPr>
                <w:rFonts w:ascii="Times New Roman" w:hAnsi="Times New Roman" w:cs="Times New Roman"/>
                <w:sz w:val="24"/>
                <w:szCs w:val="24"/>
              </w:rPr>
              <w:fldChar w:fldCharType="separate"/>
            </w:r>
            <w:r w:rsidRPr="00E65EE0">
              <w:rPr>
                <w:rFonts w:ascii="Times New Roman" w:hAnsi="Times New Roman" w:cs="Times New Roman"/>
                <w:noProof/>
                <w:sz w:val="24"/>
                <w:szCs w:val="24"/>
              </w:rPr>
              <w:t>(Pham et al., 2019)</w:t>
            </w:r>
            <w:r>
              <w:rPr>
                <w:rFonts w:ascii="Times New Roman" w:hAnsi="Times New Roman" w:cs="Times New Roman"/>
                <w:sz w:val="24"/>
                <w:szCs w:val="24"/>
              </w:rPr>
              <w:fldChar w:fldCharType="end"/>
            </w:r>
          </w:p>
        </w:tc>
      </w:tr>
      <w:tr w:rsidR="00A8754A" w:rsidTr="00D87571">
        <w:trPr>
          <w:trHeight w:val="835"/>
        </w:trPr>
        <w:tc>
          <w:tcPr>
            <w:tcW w:w="4536"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Big Data Analytical capability (BDAC) (5-point Likert scale)</w:t>
            </w:r>
          </w:p>
        </w:tc>
        <w:tc>
          <w:tcPr>
            <w:tcW w:w="1701"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0148-2963","author":[{"dropping-particle":"","family":"Mikalef","given":"Patrick","non-dropping-particle":"","parse-names":false,"suffix":""},{"dropping-particle":"","family":"Boura","given":"Maria","non-dropping-particle":"","parse-names":false,"suffix":""},{"dropping-particle":"","family":"Lekakos","given":"George","non-dropping-particle":"","parse-names":false,"suffix":""},{"dropping-particle":"","family":"Krogstie","given":"John","non-dropping-particle":"","parse-names":false,"suffix":""}],"container-title":"Journal of business research","id":"ITEM-1","issued":{"date-parts":[["2019"]]},"page":"261-276","publisher":"Elsevier","title":"Big data analytics and firm performance: Findings from a mixed-method approach","type":"article-journal","volume":"98"},"uris":["http://www.mendeley.com/documents/?uuid=06299c82-e48a-48cb-b90d-3376b6628255","http://www.mendeley.com/documents/?uuid=ff709aa5-f311-4a5b-b611-cb477a23d8ef"]},{"id":"ITEM-2","itemData":{"ISSN":"0378-7206","author":[{"dropping-particle":"","family":"Gupta","given":"Manjul","non-dropping-particle":"","parse-names":false,"suffix":""},{"dropping-particle":"","family":"George","given":"Joey F","non-dropping-particle":"","parse-names":false,"suffix":""}],"container-title":"Information &amp; management","id":"ITEM-2","issue":"8","issued":{"date-parts":[["2016"]]},"page":"1049-1064","publisher":"Elsevier","title":"Toward the development of a big data analytics capability","type":"article-journal","volume":"53"},"uris":["http://www.mendeley.com/documents/?uuid=23dccd1d-b0f5-432e-a992-384862b903aa","http://www.mendeley.com/documents/?uuid=ac31f10e-745f-4316-b83d-63acbedf6dd0"]}],"mendeley":{"formattedCitation":"(M. Gupta &amp; George, 2016; Mikalef et al., 2019)","plainTextFormattedCitation":"(M. Gupta &amp; George, 2016; Mikalef et al., 2019)","previouslyFormattedCitation":"(M. Gupta &amp; George, 2016; Mikalef et al., 2019)"},"properties":{"noteIndex":0},"schema":"https://github.com/citation-style-language/schema/raw/master/csl-citation.json"}</w:instrText>
            </w:r>
            <w:r>
              <w:rPr>
                <w:rFonts w:ascii="Times New Roman" w:hAnsi="Times New Roman" w:cs="Times New Roman"/>
                <w:sz w:val="24"/>
                <w:szCs w:val="24"/>
              </w:rPr>
              <w:fldChar w:fldCharType="separate"/>
            </w:r>
            <w:r w:rsidRPr="00195056">
              <w:rPr>
                <w:rFonts w:ascii="Times New Roman" w:hAnsi="Times New Roman" w:cs="Times New Roman"/>
                <w:noProof/>
                <w:sz w:val="24"/>
                <w:szCs w:val="24"/>
              </w:rPr>
              <w:t>(M. Gupta &amp; George, 2016; Mikalef et al., 2019)</w:t>
            </w:r>
            <w:r>
              <w:rPr>
                <w:rFonts w:ascii="Times New Roman" w:hAnsi="Times New Roman" w:cs="Times New Roman"/>
                <w:sz w:val="24"/>
                <w:szCs w:val="24"/>
              </w:rPr>
              <w:fldChar w:fldCharType="end"/>
            </w:r>
          </w:p>
        </w:tc>
      </w:tr>
      <w:tr w:rsidR="00A8754A" w:rsidTr="00D87571">
        <w:trPr>
          <w:trHeight w:val="823"/>
        </w:trPr>
        <w:tc>
          <w:tcPr>
            <w:tcW w:w="4536"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Economic Social Governance performance (ESG) (5-point Likert scale)</w:t>
            </w:r>
          </w:p>
        </w:tc>
        <w:tc>
          <w:tcPr>
            <w:tcW w:w="1701"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828" w:type="dxa"/>
          </w:tcPr>
          <w:p w:rsidR="00A8754A" w:rsidRDefault="00A8754A" w:rsidP="00D87571">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1741-038X","author":[{"dropping-particle":"","family":"MP","given":"Sajan","non-dropping-particle":"","parse-names":false,"suffix":""},{"dropping-particle":"","family":"PR","given":"Shalij","non-dropping-particle":"","parse-names":false,"suffix":""},{"dropping-particle":"","family":"A","given":"Ramesh","non-dropping-particle":"","parse-names":false,"suffix":""},{"dropping-particle":"","family":"P","given":"Biju Augustine","non-dropping-particle":"","parse-names":false,"suffix":""}],"container-title":"Journal of Manufacturing Technology Management","id":"ITEM-1","issue":"6","issued":{"date-parts":[["2017"]]},"page":"772-793","publisher":"Emerald Publishing Limited","title":"Lean manufacturing practices in Indian manufacturing SMEs and their effect on sustainability performance","type":"article-journal","volume":"28"},"uris":["http://www.mendeley.com/documents/?uuid=29de3dbc-a362-4c38-a49b-4e3d2db4bfab","http://www.mendeley.com/documents/?uuid=91e79c39-a3be-4d9f-b6cf-2b4912442b46"]},{"id":"ITEM-2","itemData":{"ISSN":"2071-1050","author":[{"dropping-particle":"","family":"Zhu","given":"Jin","non-dropping-particle":"","parse-names":false,"suffix":""},{"dropping-particle":"","family":"Huang","given":"Fei","non-dropping-particle":"","parse-names":false,"suffix":""}],"container-title":"Sustainability","id":"ITEM-2","issue":"7","issued":{"date-parts":[["2023"]]},"page":"5756","publisher":"MDPI","title":"Transformational leadership, organizational innovation, and ESG performance: Evidence from SMEs in China","type":"article-journal","volume":"15"},"uris":["http://www.mendeley.com/documents/?uuid=e1036a62-8033-477e-9fd7-a8349755c2fd","http://www.mendeley.com/documents/?uuid=482e7ebb-b3e3-47c5-b8b4-f9d4d26211e0"]},{"id":"ITEM-3","itemData":{"ISSN":"1523-2409","author":[{"dropping-particle":"","family":"Paulraj","given":"Antony","non-dropping-particle":"","parse-names":false,"suffix":""}],"container-title":"Journal of Supply Chain Management","id":"ITEM-3","issue":"1","issued":{"date-parts":[["2011"]]},"page":"19-37","publisher":"Wiley Online Library","title":"Understanding the relationships between internal resources and capabilities, sustainable supply management and organizational sustainability","type":"article-journal","volume":"47"},"uris":["http://www.mendeley.com/documents/?uuid=41f39e2b-f348-4c33-9578-c8450e522340","http://www.mendeley.com/documents/?uuid=39c55ddd-b275-4d70-8615-03e58a259b1c"]}],"mendeley":{"formattedCitation":"(MP et al., 2017; Paulraj, 2011; Zhu &amp; Huang, 2023)","plainTextFormattedCitation":"(MP et al., 2017; Paulraj, 2011; Zhu &amp; Huang, 2023)","previouslyFormattedCitation":"(MP et al., 2017; Paulraj, 2011; Zhu &amp; Huang, 2023)"},"properties":{"noteIndex":0},"schema":"https://github.com/citation-style-language/schema/raw/master/csl-citation.json"}</w:instrText>
            </w:r>
            <w:r>
              <w:rPr>
                <w:rFonts w:ascii="Times New Roman" w:hAnsi="Times New Roman" w:cs="Times New Roman"/>
                <w:sz w:val="24"/>
                <w:szCs w:val="24"/>
              </w:rPr>
              <w:fldChar w:fldCharType="separate"/>
            </w:r>
            <w:r w:rsidRPr="00195056">
              <w:rPr>
                <w:rFonts w:ascii="Times New Roman" w:hAnsi="Times New Roman" w:cs="Times New Roman"/>
                <w:noProof/>
                <w:sz w:val="24"/>
                <w:szCs w:val="24"/>
              </w:rPr>
              <w:t>(MP et al., 2017; Paulraj, 2011; Zhu &amp; Huang, 2023)</w:t>
            </w:r>
            <w:r>
              <w:rPr>
                <w:rFonts w:ascii="Times New Roman" w:hAnsi="Times New Roman" w:cs="Times New Roman"/>
                <w:sz w:val="24"/>
                <w:szCs w:val="24"/>
              </w:rPr>
              <w:fldChar w:fldCharType="end"/>
            </w:r>
          </w:p>
        </w:tc>
      </w:tr>
    </w:tbl>
    <w:p w:rsidR="00A8754A" w:rsidRPr="008C7048" w:rsidRDefault="00A8754A" w:rsidP="00A8754A">
      <w:pPr>
        <w:spacing w:after="0" w:line="360" w:lineRule="auto"/>
        <w:jc w:val="both"/>
        <w:rPr>
          <w:rFonts w:ascii="Times New Roman" w:hAnsi="Times New Roman" w:cs="Times New Roman"/>
          <w:sz w:val="24"/>
          <w:szCs w:val="24"/>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Pr="00195056" w:rsidRDefault="00A8754A" w:rsidP="00A8754A">
      <w:pPr>
        <w:spacing w:after="0" w:line="360" w:lineRule="auto"/>
        <w:jc w:val="both"/>
        <w:rPr>
          <w:rFonts w:ascii="Times New Roman" w:hAnsi="Times New Roman" w:cs="Times New Roman"/>
          <w:sz w:val="24"/>
          <w:szCs w:val="24"/>
        </w:rPr>
      </w:pPr>
      <w:r w:rsidRPr="00195056">
        <w:rPr>
          <w:rFonts w:ascii="Times New Roman" w:hAnsi="Times New Roman" w:cs="Times New Roman"/>
          <w:sz w:val="24"/>
          <w:szCs w:val="24"/>
        </w:rPr>
        <w:t xml:space="preserve">Table III. Demographic details of the respondents </w:t>
      </w:r>
    </w:p>
    <w:tbl>
      <w:tblPr>
        <w:tblW w:w="9030" w:type="dxa"/>
        <w:tblBorders>
          <w:top w:val="single" w:sz="4" w:space="0" w:color="auto"/>
          <w:bottom w:val="single" w:sz="4" w:space="0" w:color="auto"/>
        </w:tblBorders>
        <w:tblLook w:val="04A0" w:firstRow="1" w:lastRow="0" w:firstColumn="1" w:lastColumn="0" w:noHBand="0" w:noVBand="1"/>
      </w:tblPr>
      <w:tblGrid>
        <w:gridCol w:w="2038"/>
        <w:gridCol w:w="3054"/>
        <w:gridCol w:w="1940"/>
        <w:gridCol w:w="1998"/>
      </w:tblGrid>
      <w:tr w:rsidR="00A8754A" w:rsidRPr="00195056" w:rsidTr="00D87571">
        <w:trPr>
          <w:trHeight w:val="20"/>
        </w:trPr>
        <w:tc>
          <w:tcPr>
            <w:tcW w:w="0" w:type="auto"/>
            <w:tcBorders>
              <w:top w:val="single" w:sz="4" w:space="0" w:color="auto"/>
              <w:bottom w:val="single" w:sz="4" w:space="0" w:color="auto"/>
            </w:tcBorders>
            <w:shd w:val="clear" w:color="auto" w:fill="D9D9D9" w:themeFill="background1" w:themeFillShade="D9"/>
            <w:noWrap/>
            <w:vAlign w:val="bottom"/>
          </w:tcPr>
          <w:p w:rsidR="00A8754A" w:rsidRPr="00195056" w:rsidRDefault="00A8754A" w:rsidP="00D87571">
            <w:pPr>
              <w:spacing w:after="0" w:line="240" w:lineRule="auto"/>
              <w:jc w:val="center"/>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Variables</w:t>
            </w:r>
          </w:p>
        </w:tc>
        <w:tc>
          <w:tcPr>
            <w:tcW w:w="0" w:type="auto"/>
            <w:tcBorders>
              <w:top w:val="single" w:sz="4" w:space="0" w:color="auto"/>
              <w:bottom w:val="single" w:sz="4" w:space="0" w:color="auto"/>
            </w:tcBorders>
            <w:shd w:val="clear" w:color="auto" w:fill="D9D9D9" w:themeFill="background1" w:themeFillShade="D9"/>
            <w:noWrap/>
            <w:vAlign w:val="bottom"/>
          </w:tcPr>
          <w:p w:rsidR="00A8754A" w:rsidRPr="00195056" w:rsidRDefault="00A8754A" w:rsidP="00D87571">
            <w:pPr>
              <w:spacing w:after="0" w:line="240" w:lineRule="auto"/>
              <w:jc w:val="center"/>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Indicators</w:t>
            </w:r>
          </w:p>
        </w:tc>
        <w:tc>
          <w:tcPr>
            <w:tcW w:w="0" w:type="auto"/>
            <w:tcBorders>
              <w:top w:val="single" w:sz="4" w:space="0" w:color="auto"/>
              <w:bottom w:val="single" w:sz="4" w:space="0" w:color="auto"/>
            </w:tcBorders>
            <w:shd w:val="clear" w:color="auto" w:fill="D9D9D9" w:themeFill="background1" w:themeFillShade="D9"/>
            <w:noWrap/>
            <w:vAlign w:val="bottom"/>
          </w:tcPr>
          <w:p w:rsidR="00A8754A" w:rsidRPr="00195056" w:rsidRDefault="00A8754A" w:rsidP="00D87571">
            <w:pPr>
              <w:spacing w:after="0" w:line="240" w:lineRule="auto"/>
              <w:jc w:val="center"/>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Frequency</w:t>
            </w:r>
          </w:p>
        </w:tc>
        <w:tc>
          <w:tcPr>
            <w:tcW w:w="0" w:type="auto"/>
            <w:tcBorders>
              <w:top w:val="single" w:sz="4" w:space="0" w:color="auto"/>
              <w:bottom w:val="single" w:sz="4" w:space="0" w:color="auto"/>
            </w:tcBorders>
            <w:shd w:val="clear" w:color="auto" w:fill="D9D9D9" w:themeFill="background1" w:themeFillShade="D9"/>
          </w:tcPr>
          <w:p w:rsidR="00A8754A" w:rsidRPr="00195056" w:rsidRDefault="00A8754A" w:rsidP="00D87571">
            <w:pPr>
              <w:spacing w:after="0" w:line="240" w:lineRule="auto"/>
              <w:jc w:val="center"/>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Percentage</w:t>
            </w:r>
          </w:p>
        </w:tc>
      </w:tr>
      <w:tr w:rsidR="00A8754A" w:rsidRPr="00195056" w:rsidTr="00D87571">
        <w:trPr>
          <w:trHeight w:val="20"/>
        </w:trPr>
        <w:tc>
          <w:tcPr>
            <w:tcW w:w="0" w:type="auto"/>
            <w:tcBorders>
              <w:top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Gender</w:t>
            </w:r>
          </w:p>
        </w:tc>
        <w:tc>
          <w:tcPr>
            <w:tcW w:w="0" w:type="auto"/>
            <w:tcBorders>
              <w:top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Male </w:t>
            </w:r>
          </w:p>
        </w:tc>
        <w:tc>
          <w:tcPr>
            <w:tcW w:w="0" w:type="auto"/>
            <w:tcBorders>
              <w:top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260</w:t>
            </w:r>
          </w:p>
        </w:tc>
        <w:tc>
          <w:tcPr>
            <w:tcW w:w="0" w:type="auto"/>
            <w:tcBorders>
              <w:top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sz w:val="24"/>
                <w:szCs w:val="24"/>
              </w:rPr>
              <w:t>65.00%</w:t>
            </w:r>
          </w:p>
        </w:tc>
      </w:tr>
      <w:tr w:rsidR="00A8754A" w:rsidRPr="00195056" w:rsidTr="00D87571">
        <w:trPr>
          <w:trHeight w:val="20"/>
        </w:trPr>
        <w:tc>
          <w:tcPr>
            <w:tcW w:w="0" w:type="auto"/>
            <w:tcBorders>
              <w:bottom w:val="single" w:sz="4" w:space="0" w:color="auto"/>
            </w:tcBorders>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tcBorders>
              <w:bottom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Female </w:t>
            </w:r>
          </w:p>
        </w:tc>
        <w:tc>
          <w:tcPr>
            <w:tcW w:w="0" w:type="auto"/>
            <w:tcBorders>
              <w:bottom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140</w:t>
            </w:r>
          </w:p>
        </w:tc>
        <w:tc>
          <w:tcPr>
            <w:tcW w:w="0" w:type="auto"/>
            <w:tcBorders>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sz w:val="24"/>
                <w:szCs w:val="24"/>
              </w:rPr>
              <w:t>35.00%</w:t>
            </w:r>
          </w:p>
        </w:tc>
      </w:tr>
      <w:tr w:rsidR="00A8754A" w:rsidRPr="00195056" w:rsidTr="00D87571">
        <w:trPr>
          <w:trHeight w:val="20"/>
        </w:trPr>
        <w:tc>
          <w:tcPr>
            <w:tcW w:w="0" w:type="auto"/>
            <w:tcBorders>
              <w:top w:val="single" w:sz="4" w:space="0" w:color="auto"/>
              <w:bottom w:val="single" w:sz="4" w:space="0" w:color="auto"/>
            </w:tcBorders>
            <w:noWrap/>
            <w:vAlign w:val="bottom"/>
            <w:hideMark/>
          </w:tcPr>
          <w:p w:rsidR="00A8754A" w:rsidRPr="00195056" w:rsidRDefault="00A8754A" w:rsidP="00D87571">
            <w:pPr>
              <w:spacing w:after="0" w:line="240" w:lineRule="auto"/>
              <w:jc w:val="right"/>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 xml:space="preserve">Total </w:t>
            </w:r>
          </w:p>
        </w:tc>
        <w:tc>
          <w:tcPr>
            <w:tcW w:w="0" w:type="auto"/>
            <w:tcBorders>
              <w:top w:val="single" w:sz="4" w:space="0" w:color="auto"/>
              <w:bottom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b/>
                <w:bCs/>
                <w:sz w:val="24"/>
                <w:szCs w:val="24"/>
                <w:lang w:eastAsia="en-IN"/>
              </w:rPr>
            </w:pPr>
          </w:p>
        </w:tc>
        <w:tc>
          <w:tcPr>
            <w:tcW w:w="0" w:type="auto"/>
            <w:tcBorders>
              <w:top w:val="single" w:sz="4" w:space="0" w:color="auto"/>
              <w:bottom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b/>
                <w:bCs/>
                <w:sz w:val="24"/>
                <w:szCs w:val="24"/>
                <w:lang w:eastAsia="en-IN"/>
              </w:rPr>
            </w:pPr>
            <w:r w:rsidRPr="00195056">
              <w:rPr>
                <w:rFonts w:ascii="Times New Roman" w:eastAsia="Times New Roman" w:hAnsi="Times New Roman" w:cs="Times New Roman"/>
                <w:b/>
                <w:bCs/>
                <w:sz w:val="24"/>
                <w:szCs w:val="24"/>
                <w:lang w:eastAsia="en-IN"/>
              </w:rPr>
              <w:t>400</w:t>
            </w:r>
          </w:p>
        </w:tc>
        <w:tc>
          <w:tcPr>
            <w:tcW w:w="0" w:type="auto"/>
            <w:tcBorders>
              <w:top w:val="single" w:sz="4" w:space="0" w:color="auto"/>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b/>
                <w:bCs/>
                <w:sz w:val="24"/>
                <w:szCs w:val="24"/>
                <w:lang w:eastAsia="en-IN"/>
              </w:rPr>
            </w:pPr>
            <w:r w:rsidRPr="00195056">
              <w:rPr>
                <w:rFonts w:ascii="Times New Roman" w:hAnsi="Times New Roman" w:cs="Times New Roman"/>
                <w:b/>
                <w:bCs/>
                <w:sz w:val="24"/>
                <w:szCs w:val="24"/>
              </w:rPr>
              <w:t>100%</w:t>
            </w:r>
          </w:p>
        </w:tc>
      </w:tr>
      <w:tr w:rsidR="00A8754A" w:rsidRPr="00195056" w:rsidTr="00D87571">
        <w:trPr>
          <w:trHeight w:val="20"/>
        </w:trPr>
        <w:tc>
          <w:tcPr>
            <w:tcW w:w="0" w:type="auto"/>
            <w:tcBorders>
              <w:top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Age </w:t>
            </w:r>
          </w:p>
        </w:tc>
        <w:tc>
          <w:tcPr>
            <w:tcW w:w="0" w:type="auto"/>
            <w:tcBorders>
              <w:top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18–24 years </w:t>
            </w:r>
          </w:p>
        </w:tc>
        <w:tc>
          <w:tcPr>
            <w:tcW w:w="0" w:type="auto"/>
            <w:tcBorders>
              <w:top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40</w:t>
            </w:r>
          </w:p>
        </w:tc>
        <w:tc>
          <w:tcPr>
            <w:tcW w:w="0" w:type="auto"/>
            <w:tcBorders>
              <w:top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10.00%</w:t>
            </w:r>
          </w:p>
        </w:tc>
      </w:tr>
      <w:tr w:rsidR="00A8754A" w:rsidRPr="00195056" w:rsidTr="00D87571">
        <w:trPr>
          <w:trHeight w:val="20"/>
        </w:trPr>
        <w:tc>
          <w:tcPr>
            <w:tcW w:w="0" w:type="auto"/>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25–29 years </w:t>
            </w:r>
          </w:p>
        </w:tc>
        <w:tc>
          <w:tcPr>
            <w:tcW w:w="0" w:type="auto"/>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90</w:t>
            </w:r>
          </w:p>
        </w:tc>
        <w:tc>
          <w:tcPr>
            <w:tcW w:w="0" w:type="auto"/>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22.50%</w:t>
            </w:r>
          </w:p>
        </w:tc>
      </w:tr>
      <w:tr w:rsidR="00A8754A" w:rsidRPr="00195056" w:rsidTr="00D87571">
        <w:trPr>
          <w:trHeight w:val="20"/>
        </w:trPr>
        <w:tc>
          <w:tcPr>
            <w:tcW w:w="0" w:type="auto"/>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30–34 years </w:t>
            </w:r>
          </w:p>
        </w:tc>
        <w:tc>
          <w:tcPr>
            <w:tcW w:w="0" w:type="auto"/>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110</w:t>
            </w:r>
          </w:p>
        </w:tc>
        <w:tc>
          <w:tcPr>
            <w:tcW w:w="0" w:type="auto"/>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27.50%</w:t>
            </w:r>
          </w:p>
        </w:tc>
      </w:tr>
      <w:tr w:rsidR="00A8754A" w:rsidRPr="00195056" w:rsidTr="00D87571">
        <w:trPr>
          <w:trHeight w:val="20"/>
        </w:trPr>
        <w:tc>
          <w:tcPr>
            <w:tcW w:w="0" w:type="auto"/>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34–39 years </w:t>
            </w:r>
          </w:p>
        </w:tc>
        <w:tc>
          <w:tcPr>
            <w:tcW w:w="0" w:type="auto"/>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130</w:t>
            </w:r>
          </w:p>
        </w:tc>
        <w:tc>
          <w:tcPr>
            <w:tcW w:w="0" w:type="auto"/>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32.50%</w:t>
            </w:r>
          </w:p>
        </w:tc>
      </w:tr>
      <w:tr w:rsidR="00A8754A" w:rsidRPr="00195056" w:rsidTr="00D87571">
        <w:trPr>
          <w:trHeight w:val="20"/>
        </w:trPr>
        <w:tc>
          <w:tcPr>
            <w:tcW w:w="0" w:type="auto"/>
            <w:tcBorders>
              <w:bottom w:val="single" w:sz="4" w:space="0" w:color="auto"/>
            </w:tcBorders>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tcBorders>
              <w:bottom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40 and above years</w:t>
            </w:r>
          </w:p>
        </w:tc>
        <w:tc>
          <w:tcPr>
            <w:tcW w:w="0" w:type="auto"/>
            <w:tcBorders>
              <w:bottom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30</w:t>
            </w:r>
          </w:p>
        </w:tc>
        <w:tc>
          <w:tcPr>
            <w:tcW w:w="0" w:type="auto"/>
            <w:tcBorders>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7.50%</w:t>
            </w:r>
          </w:p>
        </w:tc>
      </w:tr>
      <w:tr w:rsidR="00A8754A" w:rsidRPr="00195056" w:rsidTr="00D87571">
        <w:trPr>
          <w:trHeight w:val="20"/>
        </w:trPr>
        <w:tc>
          <w:tcPr>
            <w:tcW w:w="0" w:type="auto"/>
            <w:tcBorders>
              <w:top w:val="single" w:sz="4" w:space="0" w:color="auto"/>
              <w:bottom w:val="single" w:sz="4" w:space="0" w:color="auto"/>
            </w:tcBorders>
            <w:noWrap/>
            <w:vAlign w:val="bottom"/>
            <w:hideMark/>
          </w:tcPr>
          <w:p w:rsidR="00A8754A" w:rsidRPr="00195056" w:rsidRDefault="00A8754A" w:rsidP="00D87571">
            <w:pPr>
              <w:spacing w:after="0" w:line="240" w:lineRule="auto"/>
              <w:jc w:val="right"/>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 xml:space="preserve">Total </w:t>
            </w:r>
          </w:p>
        </w:tc>
        <w:tc>
          <w:tcPr>
            <w:tcW w:w="0" w:type="auto"/>
            <w:tcBorders>
              <w:top w:val="single" w:sz="4" w:space="0" w:color="auto"/>
              <w:bottom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b/>
                <w:bCs/>
                <w:sz w:val="24"/>
                <w:szCs w:val="24"/>
                <w:lang w:eastAsia="en-IN"/>
              </w:rPr>
            </w:pPr>
          </w:p>
        </w:tc>
        <w:tc>
          <w:tcPr>
            <w:tcW w:w="0" w:type="auto"/>
            <w:tcBorders>
              <w:top w:val="single" w:sz="4" w:space="0" w:color="auto"/>
              <w:bottom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b/>
                <w:bCs/>
                <w:sz w:val="24"/>
                <w:szCs w:val="24"/>
                <w:lang w:eastAsia="en-IN"/>
              </w:rPr>
            </w:pPr>
            <w:r w:rsidRPr="00195056">
              <w:rPr>
                <w:rFonts w:ascii="Times New Roman" w:eastAsia="Times New Roman" w:hAnsi="Times New Roman" w:cs="Times New Roman"/>
                <w:b/>
                <w:bCs/>
                <w:sz w:val="24"/>
                <w:szCs w:val="24"/>
                <w:lang w:eastAsia="en-IN"/>
              </w:rPr>
              <w:t>400</w:t>
            </w:r>
          </w:p>
        </w:tc>
        <w:tc>
          <w:tcPr>
            <w:tcW w:w="0" w:type="auto"/>
            <w:tcBorders>
              <w:top w:val="single" w:sz="4" w:space="0" w:color="auto"/>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b/>
                <w:bCs/>
                <w:sz w:val="24"/>
                <w:szCs w:val="24"/>
                <w:lang w:eastAsia="en-IN"/>
              </w:rPr>
            </w:pPr>
            <w:r w:rsidRPr="00195056">
              <w:rPr>
                <w:rFonts w:ascii="Times New Roman" w:hAnsi="Times New Roman" w:cs="Times New Roman"/>
                <w:b/>
                <w:bCs/>
                <w:color w:val="000000"/>
                <w:sz w:val="24"/>
                <w:szCs w:val="24"/>
              </w:rPr>
              <w:t>100%</w:t>
            </w:r>
          </w:p>
        </w:tc>
      </w:tr>
      <w:tr w:rsidR="00A8754A" w:rsidRPr="00195056" w:rsidTr="00D87571">
        <w:trPr>
          <w:trHeight w:val="20"/>
        </w:trPr>
        <w:tc>
          <w:tcPr>
            <w:tcW w:w="0" w:type="auto"/>
            <w:tcBorders>
              <w:top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Experience </w:t>
            </w:r>
          </w:p>
        </w:tc>
        <w:tc>
          <w:tcPr>
            <w:tcW w:w="0" w:type="auto"/>
            <w:tcBorders>
              <w:top w:val="single" w:sz="4" w:space="0" w:color="auto"/>
            </w:tcBorders>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1–4 Years </w:t>
            </w:r>
          </w:p>
        </w:tc>
        <w:tc>
          <w:tcPr>
            <w:tcW w:w="0" w:type="auto"/>
            <w:tcBorders>
              <w:top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120</w:t>
            </w:r>
          </w:p>
        </w:tc>
        <w:tc>
          <w:tcPr>
            <w:tcW w:w="0" w:type="auto"/>
            <w:tcBorders>
              <w:top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30.00%</w:t>
            </w:r>
          </w:p>
        </w:tc>
      </w:tr>
      <w:tr w:rsidR="00A8754A" w:rsidRPr="00195056" w:rsidTr="00D87571">
        <w:trPr>
          <w:trHeight w:val="20"/>
        </w:trPr>
        <w:tc>
          <w:tcPr>
            <w:tcW w:w="0" w:type="auto"/>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5–9 years </w:t>
            </w:r>
          </w:p>
        </w:tc>
        <w:tc>
          <w:tcPr>
            <w:tcW w:w="0" w:type="auto"/>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110</w:t>
            </w:r>
          </w:p>
        </w:tc>
        <w:tc>
          <w:tcPr>
            <w:tcW w:w="0" w:type="auto"/>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27.50%</w:t>
            </w:r>
          </w:p>
        </w:tc>
      </w:tr>
      <w:tr w:rsidR="00A8754A" w:rsidRPr="00195056" w:rsidTr="00D87571">
        <w:trPr>
          <w:trHeight w:val="20"/>
        </w:trPr>
        <w:tc>
          <w:tcPr>
            <w:tcW w:w="0" w:type="auto"/>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10–14 years</w:t>
            </w:r>
          </w:p>
        </w:tc>
        <w:tc>
          <w:tcPr>
            <w:tcW w:w="0" w:type="auto"/>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108</w:t>
            </w:r>
          </w:p>
        </w:tc>
        <w:tc>
          <w:tcPr>
            <w:tcW w:w="0" w:type="auto"/>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27.00%</w:t>
            </w:r>
          </w:p>
        </w:tc>
      </w:tr>
      <w:tr w:rsidR="00A8754A" w:rsidRPr="00195056" w:rsidTr="00D87571">
        <w:trPr>
          <w:trHeight w:val="20"/>
        </w:trPr>
        <w:tc>
          <w:tcPr>
            <w:tcW w:w="0" w:type="auto"/>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15–19 years </w:t>
            </w:r>
          </w:p>
        </w:tc>
        <w:tc>
          <w:tcPr>
            <w:tcW w:w="0" w:type="auto"/>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43</w:t>
            </w:r>
          </w:p>
        </w:tc>
        <w:tc>
          <w:tcPr>
            <w:tcW w:w="0" w:type="auto"/>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10.80%</w:t>
            </w:r>
          </w:p>
        </w:tc>
      </w:tr>
      <w:tr w:rsidR="00A8754A" w:rsidRPr="00195056" w:rsidTr="00D87571">
        <w:trPr>
          <w:trHeight w:val="20"/>
        </w:trPr>
        <w:tc>
          <w:tcPr>
            <w:tcW w:w="0" w:type="auto"/>
            <w:tcBorders>
              <w:bottom w:val="single" w:sz="4" w:space="0" w:color="auto"/>
            </w:tcBorders>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tcBorders>
              <w:bottom w:val="single" w:sz="4" w:space="0" w:color="auto"/>
            </w:tcBorders>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20 years and above</w:t>
            </w:r>
          </w:p>
        </w:tc>
        <w:tc>
          <w:tcPr>
            <w:tcW w:w="0" w:type="auto"/>
            <w:tcBorders>
              <w:bottom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19</w:t>
            </w:r>
          </w:p>
        </w:tc>
        <w:tc>
          <w:tcPr>
            <w:tcW w:w="0" w:type="auto"/>
            <w:tcBorders>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4.80%</w:t>
            </w:r>
          </w:p>
        </w:tc>
      </w:tr>
      <w:tr w:rsidR="00A8754A" w:rsidRPr="00195056" w:rsidTr="00D87571">
        <w:trPr>
          <w:trHeight w:val="20"/>
        </w:trPr>
        <w:tc>
          <w:tcPr>
            <w:tcW w:w="0" w:type="auto"/>
            <w:tcBorders>
              <w:top w:val="single" w:sz="4" w:space="0" w:color="auto"/>
              <w:bottom w:val="single" w:sz="4" w:space="0" w:color="auto"/>
            </w:tcBorders>
            <w:noWrap/>
            <w:vAlign w:val="bottom"/>
            <w:hideMark/>
          </w:tcPr>
          <w:p w:rsidR="00A8754A" w:rsidRPr="00195056" w:rsidRDefault="00A8754A" w:rsidP="00D87571">
            <w:pPr>
              <w:spacing w:after="0" w:line="240" w:lineRule="auto"/>
              <w:jc w:val="right"/>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 xml:space="preserve">Total </w:t>
            </w:r>
          </w:p>
        </w:tc>
        <w:tc>
          <w:tcPr>
            <w:tcW w:w="0" w:type="auto"/>
            <w:tcBorders>
              <w:top w:val="single" w:sz="4" w:space="0" w:color="auto"/>
              <w:bottom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b/>
                <w:bCs/>
                <w:sz w:val="24"/>
                <w:szCs w:val="24"/>
                <w:lang w:eastAsia="en-IN"/>
              </w:rPr>
            </w:pPr>
          </w:p>
        </w:tc>
        <w:tc>
          <w:tcPr>
            <w:tcW w:w="0" w:type="auto"/>
            <w:tcBorders>
              <w:top w:val="single" w:sz="4" w:space="0" w:color="auto"/>
              <w:bottom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b/>
                <w:bCs/>
                <w:sz w:val="24"/>
                <w:szCs w:val="24"/>
                <w:lang w:eastAsia="en-IN"/>
              </w:rPr>
            </w:pPr>
            <w:r w:rsidRPr="00195056">
              <w:rPr>
                <w:rFonts w:ascii="Times New Roman" w:eastAsia="Times New Roman" w:hAnsi="Times New Roman" w:cs="Times New Roman"/>
                <w:b/>
                <w:bCs/>
                <w:sz w:val="24"/>
                <w:szCs w:val="24"/>
                <w:lang w:eastAsia="en-IN"/>
              </w:rPr>
              <w:t>400</w:t>
            </w:r>
          </w:p>
        </w:tc>
        <w:tc>
          <w:tcPr>
            <w:tcW w:w="0" w:type="auto"/>
            <w:tcBorders>
              <w:top w:val="single" w:sz="4" w:space="0" w:color="auto"/>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b/>
                <w:bCs/>
                <w:sz w:val="24"/>
                <w:szCs w:val="24"/>
                <w:lang w:eastAsia="en-IN"/>
              </w:rPr>
            </w:pPr>
            <w:r w:rsidRPr="00195056">
              <w:rPr>
                <w:rFonts w:ascii="Times New Roman" w:hAnsi="Times New Roman" w:cs="Times New Roman"/>
                <w:b/>
                <w:bCs/>
                <w:color w:val="000000"/>
                <w:sz w:val="24"/>
                <w:szCs w:val="24"/>
              </w:rPr>
              <w:t>100%</w:t>
            </w:r>
          </w:p>
        </w:tc>
      </w:tr>
      <w:tr w:rsidR="00A8754A" w:rsidRPr="00195056" w:rsidTr="00D87571">
        <w:trPr>
          <w:trHeight w:val="20"/>
        </w:trPr>
        <w:tc>
          <w:tcPr>
            <w:tcW w:w="0" w:type="auto"/>
            <w:tcBorders>
              <w:top w:val="single" w:sz="4" w:space="0" w:color="auto"/>
            </w:tcBorders>
            <w:noWrap/>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Designation </w:t>
            </w:r>
          </w:p>
        </w:tc>
        <w:tc>
          <w:tcPr>
            <w:tcW w:w="0" w:type="auto"/>
            <w:tcBorders>
              <w:top w:val="single" w:sz="4" w:space="0" w:color="auto"/>
            </w:tcBorders>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 xml:space="preserve">Managerial </w:t>
            </w:r>
          </w:p>
        </w:tc>
        <w:tc>
          <w:tcPr>
            <w:tcW w:w="0" w:type="auto"/>
            <w:tcBorders>
              <w:top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277</w:t>
            </w:r>
          </w:p>
        </w:tc>
        <w:tc>
          <w:tcPr>
            <w:tcW w:w="0" w:type="auto"/>
            <w:tcBorders>
              <w:top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69.30%</w:t>
            </w:r>
          </w:p>
        </w:tc>
      </w:tr>
      <w:tr w:rsidR="00A8754A" w:rsidRPr="00195056" w:rsidTr="00D87571">
        <w:trPr>
          <w:trHeight w:val="20"/>
        </w:trPr>
        <w:tc>
          <w:tcPr>
            <w:tcW w:w="0" w:type="auto"/>
            <w:tcBorders>
              <w:bottom w:val="single" w:sz="4" w:space="0" w:color="auto"/>
            </w:tcBorders>
            <w:noWrap/>
            <w:vAlign w:val="bottom"/>
            <w:hideMark/>
          </w:tcPr>
          <w:p w:rsidR="00A8754A" w:rsidRPr="00195056" w:rsidRDefault="00A8754A" w:rsidP="00D87571">
            <w:pPr>
              <w:spacing w:after="0" w:line="240" w:lineRule="auto"/>
              <w:jc w:val="right"/>
              <w:rPr>
                <w:rFonts w:ascii="Times New Roman" w:eastAsia="Times New Roman" w:hAnsi="Times New Roman" w:cs="Times New Roman"/>
                <w:color w:val="000000"/>
                <w:sz w:val="24"/>
                <w:szCs w:val="24"/>
                <w:lang w:eastAsia="en-IN"/>
              </w:rPr>
            </w:pPr>
          </w:p>
        </w:tc>
        <w:tc>
          <w:tcPr>
            <w:tcW w:w="0" w:type="auto"/>
            <w:tcBorders>
              <w:bottom w:val="single" w:sz="4" w:space="0" w:color="auto"/>
            </w:tcBorders>
            <w:vAlign w:val="bottom"/>
            <w:hideMark/>
          </w:tcPr>
          <w:p w:rsidR="00A8754A" w:rsidRPr="00195056" w:rsidRDefault="00A8754A" w:rsidP="00D87571">
            <w:pPr>
              <w:spacing w:after="0" w:line="240" w:lineRule="auto"/>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Non-Managerial</w:t>
            </w:r>
          </w:p>
        </w:tc>
        <w:tc>
          <w:tcPr>
            <w:tcW w:w="0" w:type="auto"/>
            <w:tcBorders>
              <w:bottom w:val="single" w:sz="4" w:space="0" w:color="auto"/>
            </w:tcBorders>
            <w:noWrap/>
            <w:vAlign w:val="center"/>
            <w:hideMark/>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eastAsia="Times New Roman" w:hAnsi="Times New Roman" w:cs="Times New Roman"/>
                <w:color w:val="000000"/>
                <w:sz w:val="24"/>
                <w:szCs w:val="24"/>
                <w:lang w:eastAsia="en-IN"/>
              </w:rPr>
              <w:t>123</w:t>
            </w:r>
          </w:p>
        </w:tc>
        <w:tc>
          <w:tcPr>
            <w:tcW w:w="0" w:type="auto"/>
            <w:tcBorders>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color w:val="000000"/>
                <w:sz w:val="24"/>
                <w:szCs w:val="24"/>
                <w:lang w:eastAsia="en-IN"/>
              </w:rPr>
            </w:pPr>
            <w:r w:rsidRPr="00195056">
              <w:rPr>
                <w:rFonts w:ascii="Times New Roman" w:hAnsi="Times New Roman" w:cs="Times New Roman"/>
                <w:color w:val="000000"/>
                <w:sz w:val="24"/>
                <w:szCs w:val="24"/>
              </w:rPr>
              <w:t>30.80%</w:t>
            </w:r>
          </w:p>
        </w:tc>
      </w:tr>
      <w:tr w:rsidR="00A8754A" w:rsidRPr="00195056" w:rsidTr="00D87571">
        <w:trPr>
          <w:trHeight w:val="20"/>
        </w:trPr>
        <w:tc>
          <w:tcPr>
            <w:tcW w:w="0" w:type="auto"/>
            <w:tcBorders>
              <w:top w:val="single" w:sz="4" w:space="0" w:color="auto"/>
              <w:bottom w:val="single" w:sz="4" w:space="0" w:color="auto"/>
            </w:tcBorders>
            <w:noWrap/>
            <w:vAlign w:val="bottom"/>
          </w:tcPr>
          <w:p w:rsidR="00A8754A" w:rsidRPr="00195056" w:rsidRDefault="00A8754A" w:rsidP="00D87571">
            <w:pPr>
              <w:spacing w:after="0" w:line="240" w:lineRule="auto"/>
              <w:jc w:val="right"/>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color w:val="000000"/>
                <w:sz w:val="24"/>
                <w:szCs w:val="24"/>
                <w:lang w:eastAsia="en-IN"/>
              </w:rPr>
              <w:t xml:space="preserve">Total </w:t>
            </w:r>
          </w:p>
        </w:tc>
        <w:tc>
          <w:tcPr>
            <w:tcW w:w="0" w:type="auto"/>
            <w:tcBorders>
              <w:top w:val="single" w:sz="4" w:space="0" w:color="auto"/>
              <w:bottom w:val="single" w:sz="4" w:space="0" w:color="auto"/>
            </w:tcBorders>
            <w:vAlign w:val="bottom"/>
          </w:tcPr>
          <w:p w:rsidR="00A8754A" w:rsidRPr="00195056" w:rsidRDefault="00A8754A" w:rsidP="00D87571">
            <w:pPr>
              <w:spacing w:after="0" w:line="240" w:lineRule="auto"/>
              <w:rPr>
                <w:rFonts w:ascii="Times New Roman" w:eastAsia="Times New Roman" w:hAnsi="Times New Roman" w:cs="Times New Roman"/>
                <w:b/>
                <w:bCs/>
                <w:color w:val="000000"/>
                <w:sz w:val="24"/>
                <w:szCs w:val="24"/>
                <w:lang w:eastAsia="en-IN"/>
              </w:rPr>
            </w:pPr>
          </w:p>
        </w:tc>
        <w:tc>
          <w:tcPr>
            <w:tcW w:w="0" w:type="auto"/>
            <w:tcBorders>
              <w:top w:val="single" w:sz="4" w:space="0" w:color="auto"/>
              <w:bottom w:val="single" w:sz="4" w:space="0" w:color="auto"/>
            </w:tcBorders>
            <w:noWrap/>
            <w:vAlign w:val="center"/>
          </w:tcPr>
          <w:p w:rsidR="00A8754A" w:rsidRPr="00195056" w:rsidRDefault="00A8754A" w:rsidP="00D87571">
            <w:pPr>
              <w:spacing w:after="0" w:line="240" w:lineRule="auto"/>
              <w:jc w:val="center"/>
              <w:rPr>
                <w:rFonts w:ascii="Times New Roman" w:eastAsia="Times New Roman" w:hAnsi="Times New Roman" w:cs="Times New Roman"/>
                <w:b/>
                <w:bCs/>
                <w:color w:val="000000"/>
                <w:sz w:val="24"/>
                <w:szCs w:val="24"/>
                <w:lang w:eastAsia="en-IN"/>
              </w:rPr>
            </w:pPr>
            <w:r w:rsidRPr="00195056">
              <w:rPr>
                <w:rFonts w:ascii="Times New Roman" w:eastAsia="Times New Roman" w:hAnsi="Times New Roman" w:cs="Times New Roman"/>
                <w:b/>
                <w:bCs/>
                <w:sz w:val="24"/>
                <w:szCs w:val="24"/>
                <w:lang w:eastAsia="en-IN"/>
              </w:rPr>
              <w:t>400</w:t>
            </w:r>
          </w:p>
        </w:tc>
        <w:tc>
          <w:tcPr>
            <w:tcW w:w="0" w:type="auto"/>
            <w:tcBorders>
              <w:top w:val="single" w:sz="4" w:space="0" w:color="auto"/>
              <w:bottom w:val="single" w:sz="4" w:space="0" w:color="auto"/>
            </w:tcBorders>
            <w:vAlign w:val="center"/>
          </w:tcPr>
          <w:p w:rsidR="00A8754A" w:rsidRPr="00195056" w:rsidRDefault="00A8754A" w:rsidP="00D87571">
            <w:pPr>
              <w:spacing w:after="0" w:line="240" w:lineRule="auto"/>
              <w:jc w:val="center"/>
              <w:rPr>
                <w:rFonts w:ascii="Times New Roman" w:eastAsia="Times New Roman" w:hAnsi="Times New Roman" w:cs="Times New Roman"/>
                <w:b/>
                <w:bCs/>
                <w:sz w:val="24"/>
                <w:szCs w:val="24"/>
                <w:lang w:eastAsia="en-IN"/>
              </w:rPr>
            </w:pPr>
            <w:r w:rsidRPr="00195056">
              <w:rPr>
                <w:rFonts w:ascii="Times New Roman" w:hAnsi="Times New Roman" w:cs="Times New Roman"/>
                <w:b/>
                <w:bCs/>
                <w:color w:val="000000"/>
                <w:sz w:val="24"/>
                <w:szCs w:val="24"/>
              </w:rPr>
              <w:t>100%</w:t>
            </w:r>
          </w:p>
        </w:tc>
      </w:tr>
    </w:tbl>
    <w:p w:rsidR="00A8754A" w:rsidRPr="000E2650" w:rsidRDefault="00A8754A" w:rsidP="00A8754A">
      <w:pPr>
        <w:spacing w:after="0" w:line="360" w:lineRule="auto"/>
        <w:jc w:val="both"/>
        <w:rPr>
          <w:rFonts w:ascii="Times New Roman" w:hAnsi="Times New Roman" w:cs="Times New Roman"/>
          <w:b/>
          <w:bCs/>
          <w:i/>
          <w:iCs/>
          <w:sz w:val="24"/>
          <w:szCs w:val="24"/>
        </w:rPr>
      </w:pPr>
    </w:p>
    <w:p w:rsidR="00A8754A" w:rsidRPr="00C82723" w:rsidRDefault="00A8754A" w:rsidP="00A8754A">
      <w:pPr>
        <w:spacing w:after="0" w:line="360" w:lineRule="auto"/>
        <w:jc w:val="both"/>
        <w:rPr>
          <w:rFonts w:ascii="Times New Roman" w:hAnsi="Times New Roman" w:cs="Times New Roman"/>
          <w:b/>
          <w:bCs/>
          <w:i/>
          <w:iCs/>
          <w:sz w:val="24"/>
          <w:szCs w:val="24"/>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Table IV. Reliability &amp; Validity Assessment</w:t>
      </w:r>
    </w:p>
    <w:tbl>
      <w:tblPr>
        <w:tblStyle w:val="TableGrid"/>
        <w:tblW w:w="9640" w:type="dxa"/>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1110"/>
        <w:gridCol w:w="1812"/>
        <w:gridCol w:w="1874"/>
        <w:gridCol w:w="969"/>
        <w:gridCol w:w="874"/>
        <w:gridCol w:w="992"/>
      </w:tblGrid>
      <w:tr w:rsidR="00A8754A" w:rsidRPr="00710874" w:rsidTr="00D87571">
        <w:trPr>
          <w:trHeight w:val="340"/>
        </w:trPr>
        <w:tc>
          <w:tcPr>
            <w:tcW w:w="2009" w:type="dxa"/>
            <w:tcBorders>
              <w:top w:val="single" w:sz="4" w:space="0" w:color="auto"/>
              <w:left w:val="nil"/>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color w:val="000000" w:themeColor="text1"/>
              </w:rPr>
            </w:pPr>
            <w:r w:rsidRPr="00C35DF6">
              <w:rPr>
                <w:rFonts w:ascii="Times New Roman" w:hAnsi="Times New Roman" w:cs="Times New Roman"/>
                <w:b/>
                <w:bCs/>
                <w:i/>
                <w:iCs/>
                <w:color w:val="000000" w:themeColor="text1"/>
              </w:rPr>
              <w:t xml:space="preserve">Construct </w:t>
            </w:r>
          </w:p>
        </w:tc>
        <w:tc>
          <w:tcPr>
            <w:tcW w:w="1110"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color w:val="000000" w:themeColor="text1"/>
              </w:rPr>
            </w:pPr>
            <w:r w:rsidRPr="00C35DF6">
              <w:rPr>
                <w:rFonts w:ascii="Times New Roman" w:hAnsi="Times New Roman" w:cs="Times New Roman"/>
                <w:b/>
                <w:bCs/>
                <w:i/>
                <w:iCs/>
                <w:color w:val="000000" w:themeColor="text1"/>
              </w:rPr>
              <w:t>Items</w:t>
            </w:r>
          </w:p>
        </w:tc>
        <w:tc>
          <w:tcPr>
            <w:tcW w:w="1812"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color w:val="000000" w:themeColor="text1"/>
              </w:rPr>
            </w:pPr>
            <w:r w:rsidRPr="00C35DF6">
              <w:rPr>
                <w:rFonts w:ascii="Times New Roman" w:hAnsi="Times New Roman" w:cs="Times New Roman"/>
                <w:b/>
                <w:bCs/>
                <w:i/>
                <w:iCs/>
                <w:color w:val="000000" w:themeColor="text1"/>
              </w:rPr>
              <w:t>Factor Loadings</w:t>
            </w:r>
          </w:p>
        </w:tc>
        <w:tc>
          <w:tcPr>
            <w:tcW w:w="1874"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color w:val="000000" w:themeColor="text1"/>
              </w:rPr>
            </w:pPr>
            <w:r w:rsidRPr="00C35DF6">
              <w:rPr>
                <w:rFonts w:ascii="Times New Roman" w:hAnsi="Times New Roman" w:cs="Times New Roman"/>
                <w:b/>
                <w:bCs/>
                <w:i/>
                <w:iCs/>
                <w:color w:val="000000" w:themeColor="text1"/>
              </w:rPr>
              <w:t>Cronbach’s alpha</w:t>
            </w:r>
          </w:p>
        </w:tc>
        <w:tc>
          <w:tcPr>
            <w:tcW w:w="969"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color w:val="000000" w:themeColor="text1"/>
              </w:rPr>
            </w:pPr>
            <w:r w:rsidRPr="00C35DF6">
              <w:rPr>
                <w:rFonts w:ascii="Times New Roman" w:hAnsi="Times New Roman" w:cs="Times New Roman"/>
                <w:b/>
                <w:bCs/>
                <w:i/>
                <w:iCs/>
                <w:color w:val="000000" w:themeColor="text1"/>
              </w:rPr>
              <w:t>CR</w:t>
            </w:r>
          </w:p>
        </w:tc>
        <w:tc>
          <w:tcPr>
            <w:tcW w:w="874" w:type="dxa"/>
            <w:tcBorders>
              <w:top w:val="single" w:sz="4" w:space="0" w:color="auto"/>
              <w:bottom w:val="nil"/>
              <w:right w:val="nil"/>
            </w:tcBorders>
            <w:shd w:val="clear" w:color="auto" w:fill="D9D9D9" w:themeFill="background1" w:themeFillShade="D9"/>
          </w:tcPr>
          <w:p w:rsidR="00A8754A" w:rsidRPr="00C35DF6" w:rsidRDefault="00A8754A" w:rsidP="00D87571">
            <w:pPr>
              <w:jc w:val="both"/>
              <w:rPr>
                <w:rFonts w:ascii="Times New Roman" w:hAnsi="Times New Roman" w:cs="Times New Roman"/>
                <w:b/>
                <w:bCs/>
                <w:i/>
                <w:iCs/>
                <w:color w:val="000000" w:themeColor="text1"/>
              </w:rPr>
            </w:pPr>
            <w:r w:rsidRPr="00C35DF6">
              <w:rPr>
                <w:rFonts w:ascii="Times New Roman" w:hAnsi="Times New Roman" w:cs="Times New Roman"/>
                <w:b/>
                <w:bCs/>
                <w:i/>
                <w:iCs/>
                <w:color w:val="000000" w:themeColor="text1"/>
              </w:rPr>
              <w:t>AVE</w:t>
            </w:r>
          </w:p>
        </w:tc>
        <w:tc>
          <w:tcPr>
            <w:tcW w:w="992" w:type="dxa"/>
            <w:tcBorders>
              <w:top w:val="single" w:sz="4" w:space="0" w:color="auto"/>
              <w:left w:val="nil"/>
              <w:bottom w:val="single" w:sz="4" w:space="0" w:color="auto"/>
              <w:right w:val="nil"/>
            </w:tcBorders>
            <w:shd w:val="clear" w:color="auto" w:fill="D9D9D9" w:themeFill="background1" w:themeFillShade="D9"/>
          </w:tcPr>
          <w:p w:rsidR="00A8754A" w:rsidRPr="00C35DF6" w:rsidRDefault="00A8754A" w:rsidP="00D87571">
            <w:pPr>
              <w:jc w:val="both"/>
              <w:rPr>
                <w:rFonts w:ascii="Times New Roman" w:hAnsi="Times New Roman" w:cs="Times New Roman"/>
                <w:b/>
                <w:bCs/>
                <w:i/>
                <w:iCs/>
                <w:color w:val="000000" w:themeColor="text1"/>
              </w:rPr>
            </w:pPr>
            <w:r w:rsidRPr="00C35DF6">
              <w:rPr>
                <w:rFonts w:ascii="Times New Roman" w:hAnsi="Times New Roman" w:cs="Times New Roman"/>
                <w:b/>
                <w:bCs/>
                <w:i/>
                <w:iCs/>
                <w:color w:val="000000" w:themeColor="text1"/>
              </w:rPr>
              <w:t>VIF</w:t>
            </w:r>
          </w:p>
        </w:tc>
      </w:tr>
      <w:tr w:rsidR="00A8754A" w:rsidRPr="00710874" w:rsidTr="00D87571">
        <w:tc>
          <w:tcPr>
            <w:tcW w:w="2009" w:type="dxa"/>
            <w:vMerge w:val="restart"/>
            <w:tcBorders>
              <w:top w:val="single" w:sz="4" w:space="0" w:color="auto"/>
              <w:left w:val="nil"/>
            </w:tcBorders>
          </w:tcPr>
          <w:p w:rsidR="00A8754A" w:rsidRPr="00710874" w:rsidRDefault="00A8754A" w:rsidP="00D87571">
            <w:pPr>
              <w:jc w:val="both"/>
              <w:rPr>
                <w:rFonts w:ascii="Times New Roman" w:hAnsi="Times New Roman" w:cs="Times New Roman"/>
                <w:i/>
                <w:iCs/>
                <w:color w:val="000000" w:themeColor="text1"/>
              </w:rPr>
            </w:pPr>
            <w:r w:rsidRPr="00710874">
              <w:rPr>
                <w:rFonts w:ascii="Times New Roman" w:hAnsi="Times New Roman" w:cs="Times New Roman"/>
                <w:i/>
                <w:iCs/>
                <w:color w:val="000000" w:themeColor="text1"/>
              </w:rPr>
              <w:t>Green Human Resource Management (GHRM)</w:t>
            </w:r>
          </w:p>
        </w:tc>
        <w:tc>
          <w:tcPr>
            <w:tcW w:w="1110" w:type="dxa"/>
            <w:tcBorders>
              <w:top w:val="single" w:sz="4" w:space="0" w:color="auto"/>
            </w:tcBorders>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GHRM1</w:t>
            </w:r>
          </w:p>
        </w:tc>
        <w:tc>
          <w:tcPr>
            <w:tcW w:w="1812" w:type="dxa"/>
            <w:tcBorders>
              <w:top w:val="single" w:sz="4" w:space="0" w:color="auto"/>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0.892</w:t>
            </w:r>
          </w:p>
        </w:tc>
        <w:tc>
          <w:tcPr>
            <w:tcW w:w="1874" w:type="dxa"/>
            <w:vMerge w:val="restart"/>
            <w:tcBorders>
              <w:top w:val="single" w:sz="4" w:space="0" w:color="auto"/>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0.950</w:t>
            </w:r>
          </w:p>
        </w:tc>
        <w:tc>
          <w:tcPr>
            <w:tcW w:w="969" w:type="dxa"/>
            <w:vMerge w:val="restart"/>
            <w:tcBorders>
              <w:top w:val="single" w:sz="4" w:space="0" w:color="auto"/>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0.960</w:t>
            </w:r>
          </w:p>
        </w:tc>
        <w:tc>
          <w:tcPr>
            <w:tcW w:w="874" w:type="dxa"/>
            <w:vMerge w:val="restart"/>
            <w:tcBorders>
              <w:top w:val="single" w:sz="4" w:space="0" w:color="auto"/>
              <w:bottom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0.799</w:t>
            </w:r>
          </w:p>
        </w:tc>
        <w:tc>
          <w:tcPr>
            <w:tcW w:w="992" w:type="dxa"/>
            <w:tcBorders>
              <w:top w:val="single" w:sz="4" w:space="0" w:color="auto"/>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3.516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GHRM2</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0.903</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3.802</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GHRM3</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0.898</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3.67</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GHRM4</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0.881</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3.203</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GHRM5</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0.902</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3.76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GHRM6</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0.887</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3.353</w:t>
            </w:r>
          </w:p>
        </w:tc>
      </w:tr>
      <w:tr w:rsidR="00A8754A" w:rsidRPr="00710874" w:rsidTr="00D87571">
        <w:tc>
          <w:tcPr>
            <w:tcW w:w="2009" w:type="dxa"/>
            <w:vMerge w:val="restart"/>
            <w:tcBorders>
              <w:left w:val="nil"/>
            </w:tcBorders>
          </w:tcPr>
          <w:p w:rsidR="00A8754A" w:rsidRPr="00710874" w:rsidRDefault="00A8754A" w:rsidP="00D87571">
            <w:pPr>
              <w:jc w:val="both"/>
              <w:rPr>
                <w:rFonts w:ascii="Times New Roman" w:hAnsi="Times New Roman" w:cs="Times New Roman"/>
                <w:i/>
                <w:iCs/>
                <w:color w:val="000000" w:themeColor="text1"/>
              </w:rPr>
            </w:pPr>
            <w:r w:rsidRPr="00710874">
              <w:rPr>
                <w:rFonts w:ascii="Times New Roman" w:hAnsi="Times New Roman" w:cs="Times New Roman"/>
                <w:i/>
                <w:iCs/>
                <w:color w:val="000000" w:themeColor="text1"/>
              </w:rPr>
              <w:t xml:space="preserve">Green Organisational Citizenship Behaviour (GOCB) </w:t>
            </w: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GOCB1</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0.853</w:t>
            </w:r>
          </w:p>
        </w:tc>
        <w:tc>
          <w:tcPr>
            <w:tcW w:w="1874"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0.933</w:t>
            </w:r>
          </w:p>
        </w:tc>
        <w:tc>
          <w:tcPr>
            <w:tcW w:w="969"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0.946</w:t>
            </w:r>
          </w:p>
        </w:tc>
        <w:tc>
          <w:tcPr>
            <w:tcW w:w="874" w:type="dxa"/>
            <w:vMerge w:val="restart"/>
            <w:tcBorders>
              <w:bottom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0.713</w:t>
            </w: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2.759</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GOCB2</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0.86</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2.846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GOCB3</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0.834</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2.559</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GOCB4</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0.842</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2.605</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GOCB5</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0.831</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2.47</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GOCB6</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0.856</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2.774</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GOCB7</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0.835</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2.543</w:t>
            </w:r>
          </w:p>
        </w:tc>
      </w:tr>
      <w:tr w:rsidR="00A8754A" w:rsidRPr="00710874" w:rsidTr="00D87571">
        <w:tc>
          <w:tcPr>
            <w:tcW w:w="2009" w:type="dxa"/>
            <w:vMerge w:val="restart"/>
            <w:tcBorders>
              <w:left w:val="nil"/>
            </w:tcBorders>
          </w:tcPr>
          <w:p w:rsidR="00A8754A" w:rsidRPr="00710874" w:rsidRDefault="00A8754A" w:rsidP="00D87571">
            <w:pPr>
              <w:jc w:val="both"/>
              <w:rPr>
                <w:rFonts w:ascii="Times New Roman" w:hAnsi="Times New Roman" w:cs="Times New Roman"/>
                <w:i/>
                <w:iCs/>
                <w:color w:val="000000" w:themeColor="text1"/>
              </w:rPr>
            </w:pPr>
            <w:r w:rsidRPr="00710874">
              <w:rPr>
                <w:rFonts w:ascii="Times New Roman" w:hAnsi="Times New Roman" w:cs="Times New Roman"/>
                <w:i/>
                <w:iCs/>
                <w:color w:val="000000" w:themeColor="text1"/>
              </w:rPr>
              <w:t>Environmental performance (EP)</w:t>
            </w: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EP1</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0.879</w:t>
            </w:r>
          </w:p>
        </w:tc>
        <w:tc>
          <w:tcPr>
            <w:tcW w:w="1874"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0.941</w:t>
            </w:r>
          </w:p>
        </w:tc>
        <w:tc>
          <w:tcPr>
            <w:tcW w:w="969"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0.953</w:t>
            </w:r>
          </w:p>
        </w:tc>
        <w:tc>
          <w:tcPr>
            <w:tcW w:w="874" w:type="dxa"/>
            <w:vMerge w:val="restart"/>
            <w:tcBorders>
              <w:bottom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0.772</w:t>
            </w: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3.126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EP2</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0.878</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3.136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EP3</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0.869</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2.877</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EP4</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0.895</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3.68</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EP5</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0.856</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2.737</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EP6</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0.893</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3.481</w:t>
            </w:r>
          </w:p>
        </w:tc>
      </w:tr>
      <w:tr w:rsidR="00A8754A" w:rsidRPr="00710874" w:rsidTr="00D87571">
        <w:tc>
          <w:tcPr>
            <w:tcW w:w="2009" w:type="dxa"/>
            <w:vMerge w:val="restart"/>
            <w:tcBorders>
              <w:left w:val="nil"/>
            </w:tcBorders>
          </w:tcPr>
          <w:p w:rsidR="00A8754A" w:rsidRPr="00710874" w:rsidRDefault="00A8754A" w:rsidP="00D87571">
            <w:pPr>
              <w:jc w:val="both"/>
              <w:rPr>
                <w:rFonts w:ascii="Times New Roman" w:hAnsi="Times New Roman" w:cs="Times New Roman"/>
                <w:i/>
                <w:iCs/>
                <w:color w:val="000000" w:themeColor="text1"/>
              </w:rPr>
            </w:pPr>
            <w:r w:rsidRPr="00710874">
              <w:rPr>
                <w:rFonts w:ascii="Times New Roman" w:hAnsi="Times New Roman" w:cs="Times New Roman"/>
                <w:i/>
                <w:iCs/>
                <w:color w:val="000000" w:themeColor="text1"/>
              </w:rPr>
              <w:t>Social Performance (SP)</w:t>
            </w: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SP1</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0.889</w:t>
            </w:r>
          </w:p>
        </w:tc>
        <w:tc>
          <w:tcPr>
            <w:tcW w:w="1874"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0.936</w:t>
            </w:r>
          </w:p>
        </w:tc>
        <w:tc>
          <w:tcPr>
            <w:tcW w:w="969"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0.951</w:t>
            </w:r>
          </w:p>
        </w:tc>
        <w:tc>
          <w:tcPr>
            <w:tcW w:w="874" w:type="dxa"/>
            <w:vMerge w:val="restart"/>
            <w:tcBorders>
              <w:bottom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0.796</w:t>
            </w: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3.137</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i/>
                <w:iCs/>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SP2</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0.901</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3.513</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i/>
                <w:iCs/>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SP3</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0.892</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3.176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i/>
                <w:iCs/>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SP4</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0.886</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3.143</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i/>
                <w:iCs/>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SP5</w:t>
            </w:r>
          </w:p>
        </w:tc>
        <w:tc>
          <w:tcPr>
            <w:tcW w:w="1812" w:type="dxa"/>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0.893</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3.261</w:t>
            </w:r>
          </w:p>
        </w:tc>
      </w:tr>
      <w:tr w:rsidR="00A8754A" w:rsidRPr="00710874" w:rsidTr="00D87571">
        <w:tc>
          <w:tcPr>
            <w:tcW w:w="2009" w:type="dxa"/>
            <w:vMerge w:val="restart"/>
            <w:tcBorders>
              <w:left w:val="nil"/>
            </w:tcBorders>
          </w:tcPr>
          <w:p w:rsidR="00A8754A" w:rsidRPr="00710874" w:rsidRDefault="00A8754A" w:rsidP="00D87571">
            <w:pPr>
              <w:jc w:val="both"/>
              <w:rPr>
                <w:rFonts w:ascii="Times New Roman" w:hAnsi="Times New Roman" w:cs="Times New Roman"/>
                <w:i/>
                <w:iCs/>
                <w:color w:val="000000" w:themeColor="text1"/>
              </w:rPr>
            </w:pPr>
            <w:r w:rsidRPr="00710874">
              <w:rPr>
                <w:rFonts w:ascii="Times New Roman" w:hAnsi="Times New Roman" w:cs="Times New Roman"/>
                <w:i/>
                <w:iCs/>
                <w:color w:val="000000" w:themeColor="text1"/>
              </w:rPr>
              <w:t>Governance (GP)</w:t>
            </w: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GP1</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0.878</w:t>
            </w:r>
          </w:p>
        </w:tc>
        <w:tc>
          <w:tcPr>
            <w:tcW w:w="1874"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0.940</w:t>
            </w:r>
          </w:p>
        </w:tc>
        <w:tc>
          <w:tcPr>
            <w:tcW w:w="969"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0.952</w:t>
            </w:r>
          </w:p>
        </w:tc>
        <w:tc>
          <w:tcPr>
            <w:tcW w:w="874" w:type="dxa"/>
            <w:vMerge w:val="restart"/>
            <w:tcBorders>
              <w:bottom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0.769</w:t>
            </w: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3.092</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GP2</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0.881</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3.123</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GP3</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0.862</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2.787</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GP4</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0.887</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3.286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GP5</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0.875</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3.035</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GP6</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0.877</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3.066</w:t>
            </w:r>
          </w:p>
        </w:tc>
      </w:tr>
      <w:tr w:rsidR="00A8754A" w:rsidRPr="00710874" w:rsidTr="00D87571">
        <w:tc>
          <w:tcPr>
            <w:tcW w:w="2009" w:type="dxa"/>
            <w:vMerge w:val="restart"/>
            <w:tcBorders>
              <w:left w:val="nil"/>
            </w:tcBorders>
          </w:tcPr>
          <w:p w:rsidR="00A8754A" w:rsidRPr="00710874" w:rsidRDefault="00A8754A" w:rsidP="00D87571">
            <w:pPr>
              <w:rPr>
                <w:rFonts w:ascii="Times New Roman" w:hAnsi="Times New Roman" w:cs="Times New Roman"/>
                <w:i/>
                <w:iCs/>
                <w:color w:val="000000" w:themeColor="text1"/>
              </w:rPr>
            </w:pPr>
            <w:r w:rsidRPr="00710874">
              <w:rPr>
                <w:rFonts w:ascii="Times New Roman" w:hAnsi="Times New Roman" w:cs="Times New Roman"/>
                <w:i/>
                <w:iCs/>
                <w:color w:val="000000" w:themeColor="text1"/>
              </w:rPr>
              <w:t>Big Data Analytical capability (BDAC)</w:t>
            </w: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BDAC1</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0.899</w:t>
            </w:r>
          </w:p>
        </w:tc>
        <w:tc>
          <w:tcPr>
            <w:tcW w:w="1874"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0.943</w:t>
            </w:r>
          </w:p>
        </w:tc>
        <w:tc>
          <w:tcPr>
            <w:tcW w:w="969" w:type="dxa"/>
            <w:vMerge w:val="restart"/>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0.957</w:t>
            </w:r>
          </w:p>
        </w:tc>
        <w:tc>
          <w:tcPr>
            <w:tcW w:w="874" w:type="dxa"/>
            <w:vMerge w:val="restart"/>
            <w:tcBorders>
              <w:bottom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0.846</w:t>
            </w:r>
          </w:p>
        </w:tc>
        <w:tc>
          <w:tcPr>
            <w:tcW w:w="992" w:type="dxa"/>
            <w:tcBorders>
              <w:left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4.18</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BDAC2</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0.905</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4.106</w:t>
            </w:r>
          </w:p>
        </w:tc>
      </w:tr>
      <w:tr w:rsidR="00A8754A" w:rsidRPr="00710874" w:rsidTr="00D87571">
        <w:tc>
          <w:tcPr>
            <w:tcW w:w="2009" w:type="dxa"/>
            <w:vMerge/>
            <w:tcBorders>
              <w:left w:val="nil"/>
            </w:tcBorders>
          </w:tcPr>
          <w:p w:rsidR="00A8754A" w:rsidRPr="00710874" w:rsidRDefault="00A8754A" w:rsidP="00D87571">
            <w:pPr>
              <w:jc w:val="both"/>
              <w:rPr>
                <w:rFonts w:ascii="Times New Roman" w:hAnsi="Times New Roman" w:cs="Times New Roman"/>
                <w:color w:val="000000" w:themeColor="text1"/>
              </w:rPr>
            </w:pPr>
          </w:p>
        </w:tc>
        <w:tc>
          <w:tcPr>
            <w:tcW w:w="1110" w:type="dxa"/>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BDAC3</w:t>
            </w:r>
          </w:p>
        </w:tc>
        <w:tc>
          <w:tcPr>
            <w:tcW w:w="1812" w:type="dxa"/>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0.931</w:t>
            </w:r>
          </w:p>
        </w:tc>
        <w:tc>
          <w:tcPr>
            <w:tcW w:w="1874" w:type="dxa"/>
            <w:vMerge/>
          </w:tcPr>
          <w:p w:rsidR="00A8754A" w:rsidRPr="00710874" w:rsidRDefault="00A8754A" w:rsidP="00D87571">
            <w:pPr>
              <w:jc w:val="center"/>
              <w:rPr>
                <w:rFonts w:ascii="Times New Roman" w:hAnsi="Times New Roman" w:cs="Times New Roman"/>
                <w:color w:val="000000" w:themeColor="text1"/>
              </w:rPr>
            </w:pPr>
          </w:p>
        </w:tc>
        <w:tc>
          <w:tcPr>
            <w:tcW w:w="969" w:type="dxa"/>
            <w:vMerge/>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nil"/>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3.612</w:t>
            </w:r>
          </w:p>
        </w:tc>
      </w:tr>
      <w:tr w:rsidR="00A8754A" w:rsidRPr="00710874" w:rsidTr="00D87571">
        <w:tc>
          <w:tcPr>
            <w:tcW w:w="2009" w:type="dxa"/>
            <w:vMerge/>
            <w:tcBorders>
              <w:left w:val="nil"/>
              <w:bottom w:val="single" w:sz="4" w:space="0" w:color="auto"/>
            </w:tcBorders>
          </w:tcPr>
          <w:p w:rsidR="00A8754A" w:rsidRPr="00710874" w:rsidRDefault="00A8754A" w:rsidP="00D87571">
            <w:pPr>
              <w:jc w:val="both"/>
              <w:rPr>
                <w:rFonts w:ascii="Times New Roman" w:hAnsi="Times New Roman" w:cs="Times New Roman"/>
                <w:color w:val="000000" w:themeColor="text1"/>
              </w:rPr>
            </w:pPr>
          </w:p>
        </w:tc>
        <w:tc>
          <w:tcPr>
            <w:tcW w:w="1110" w:type="dxa"/>
            <w:tcBorders>
              <w:bottom w:val="single" w:sz="4" w:space="0" w:color="auto"/>
            </w:tcBorders>
          </w:tcPr>
          <w:p w:rsidR="00A8754A" w:rsidRPr="00710874" w:rsidRDefault="00A8754A" w:rsidP="00D87571">
            <w:pPr>
              <w:jc w:val="both"/>
              <w:rPr>
                <w:rFonts w:ascii="Times New Roman" w:hAnsi="Times New Roman" w:cs="Times New Roman"/>
                <w:color w:val="000000" w:themeColor="text1"/>
              </w:rPr>
            </w:pPr>
            <w:r w:rsidRPr="00710874">
              <w:rPr>
                <w:rFonts w:ascii="Times New Roman" w:hAnsi="Times New Roman" w:cs="Times New Roman"/>
                <w:color w:val="000000" w:themeColor="text1"/>
              </w:rPr>
              <w:t>BDAC4</w:t>
            </w:r>
          </w:p>
        </w:tc>
        <w:tc>
          <w:tcPr>
            <w:tcW w:w="1812" w:type="dxa"/>
            <w:tcBorders>
              <w:bottom w:val="single" w:sz="4" w:space="0" w:color="auto"/>
            </w:tcBorders>
            <w:vAlign w:val="center"/>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0.945</w:t>
            </w:r>
          </w:p>
        </w:tc>
        <w:tc>
          <w:tcPr>
            <w:tcW w:w="1874" w:type="dxa"/>
            <w:vMerge/>
            <w:tcBorders>
              <w:bottom w:val="single" w:sz="4" w:space="0" w:color="auto"/>
            </w:tcBorders>
          </w:tcPr>
          <w:p w:rsidR="00A8754A" w:rsidRPr="00710874" w:rsidRDefault="00A8754A" w:rsidP="00D87571">
            <w:pPr>
              <w:jc w:val="center"/>
              <w:rPr>
                <w:rFonts w:ascii="Times New Roman" w:hAnsi="Times New Roman" w:cs="Times New Roman"/>
                <w:color w:val="000000" w:themeColor="text1"/>
              </w:rPr>
            </w:pPr>
          </w:p>
        </w:tc>
        <w:tc>
          <w:tcPr>
            <w:tcW w:w="969" w:type="dxa"/>
            <w:vMerge/>
            <w:tcBorders>
              <w:bottom w:val="single" w:sz="4" w:space="0" w:color="auto"/>
            </w:tcBorders>
          </w:tcPr>
          <w:p w:rsidR="00A8754A" w:rsidRPr="00710874" w:rsidRDefault="00A8754A" w:rsidP="00D87571">
            <w:pPr>
              <w:jc w:val="center"/>
              <w:rPr>
                <w:rFonts w:ascii="Times New Roman" w:hAnsi="Times New Roman" w:cs="Times New Roman"/>
                <w:color w:val="000000" w:themeColor="text1"/>
              </w:rPr>
            </w:pPr>
          </w:p>
        </w:tc>
        <w:tc>
          <w:tcPr>
            <w:tcW w:w="874" w:type="dxa"/>
            <w:vMerge/>
            <w:tcBorders>
              <w:bottom w:val="single" w:sz="4" w:space="0" w:color="auto"/>
              <w:right w:val="nil"/>
            </w:tcBorders>
          </w:tcPr>
          <w:p w:rsidR="00A8754A" w:rsidRPr="00710874" w:rsidRDefault="00A8754A" w:rsidP="00D87571">
            <w:pPr>
              <w:jc w:val="center"/>
              <w:rPr>
                <w:rFonts w:ascii="Times New Roman" w:hAnsi="Times New Roman" w:cs="Times New Roman"/>
                <w:color w:val="000000" w:themeColor="text1"/>
              </w:rPr>
            </w:pPr>
          </w:p>
        </w:tc>
        <w:tc>
          <w:tcPr>
            <w:tcW w:w="992" w:type="dxa"/>
            <w:tcBorders>
              <w:left w:val="nil"/>
              <w:bottom w:val="single" w:sz="4" w:space="0" w:color="auto"/>
              <w:right w:val="nil"/>
            </w:tcBorders>
          </w:tcPr>
          <w:p w:rsidR="00A8754A" w:rsidRPr="00710874" w:rsidRDefault="00A8754A" w:rsidP="00D87571">
            <w:pPr>
              <w:jc w:val="center"/>
              <w:rPr>
                <w:rFonts w:ascii="Times New Roman" w:hAnsi="Times New Roman" w:cs="Times New Roman"/>
                <w:color w:val="000000" w:themeColor="text1"/>
              </w:rPr>
            </w:pPr>
            <w:r w:rsidRPr="00710874">
              <w:rPr>
                <w:rFonts w:ascii="Times New Roman" w:hAnsi="Times New Roman" w:cs="Times New Roman"/>
                <w:color w:val="000000" w:themeColor="text1"/>
              </w:rPr>
              <w:t>4.031</w:t>
            </w:r>
          </w:p>
        </w:tc>
      </w:tr>
    </w:tbl>
    <w:p w:rsidR="00A8754A" w:rsidRDefault="00A8754A" w:rsidP="00A8754A">
      <w:pPr>
        <w:spacing w:after="120" w:line="360" w:lineRule="auto"/>
        <w:jc w:val="both"/>
        <w:rPr>
          <w:rFonts w:ascii="Times New Roman" w:hAnsi="Times New Roman" w:cs="Times New Roman"/>
          <w:sz w:val="24"/>
          <w:szCs w:val="24"/>
        </w:rPr>
      </w:pPr>
      <w:r w:rsidRPr="00C35DF6">
        <w:rPr>
          <w:rFonts w:ascii="Times New Roman" w:hAnsi="Times New Roman" w:cs="Times New Roman"/>
          <w:sz w:val="20"/>
          <w:szCs w:val="20"/>
        </w:rPr>
        <w:t>Source: Compiled by authors</w:t>
      </w: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Table V. HTMT Correlation test result</w:t>
      </w:r>
    </w:p>
    <w:tbl>
      <w:tblPr>
        <w:tblW w:w="9691" w:type="dxa"/>
        <w:tblInd w:w="-417" w:type="dxa"/>
        <w:tblBorders>
          <w:top w:val="single" w:sz="4" w:space="0" w:color="auto"/>
          <w:bottom w:val="single" w:sz="4" w:space="0" w:color="auto"/>
        </w:tblBorders>
        <w:tblLook w:val="04A0" w:firstRow="1" w:lastRow="0" w:firstColumn="1" w:lastColumn="0" w:noHBand="0" w:noVBand="1"/>
      </w:tblPr>
      <w:tblGrid>
        <w:gridCol w:w="2817"/>
        <w:gridCol w:w="1276"/>
        <w:gridCol w:w="1276"/>
        <w:gridCol w:w="1275"/>
        <w:gridCol w:w="993"/>
        <w:gridCol w:w="992"/>
        <w:gridCol w:w="1062"/>
      </w:tblGrid>
      <w:tr w:rsidR="00A8754A" w:rsidRPr="00710874" w:rsidTr="00D87571">
        <w:trPr>
          <w:trHeight w:val="328"/>
        </w:trPr>
        <w:tc>
          <w:tcPr>
            <w:tcW w:w="2817" w:type="dxa"/>
            <w:tcBorders>
              <w:top w:val="single" w:sz="4" w:space="0" w:color="auto"/>
              <w:bottom w:val="single" w:sz="4" w:space="0" w:color="auto"/>
            </w:tcBorders>
            <w:shd w:val="clear" w:color="auto" w:fill="D9D9D9" w:themeFill="background1" w:themeFillShade="D9"/>
            <w:vAlign w:val="center"/>
            <w:hideMark/>
          </w:tcPr>
          <w:p w:rsidR="00A8754A" w:rsidRPr="00710874" w:rsidRDefault="00A8754A" w:rsidP="00D87571">
            <w:pPr>
              <w:spacing w:after="0" w:line="240" w:lineRule="auto"/>
              <w:rPr>
                <w:rFonts w:ascii="Times New Roman" w:eastAsia="Times New Roman" w:hAnsi="Times New Roman" w:cs="Times New Roman"/>
                <w:b/>
                <w:bCs/>
                <w:i/>
                <w:iCs/>
                <w:color w:val="000000" w:themeColor="text1"/>
                <w:lang w:eastAsia="en-IN"/>
              </w:rPr>
            </w:pPr>
            <w:r w:rsidRPr="00710874">
              <w:rPr>
                <w:rFonts w:ascii="Times New Roman" w:eastAsia="Times New Roman" w:hAnsi="Times New Roman" w:cs="Times New Roman"/>
                <w:b/>
                <w:bCs/>
                <w:i/>
                <w:iCs/>
                <w:color w:val="000000" w:themeColor="text1"/>
                <w:lang w:eastAsia="en-IN"/>
              </w:rPr>
              <w:t> </w:t>
            </w:r>
            <w:r w:rsidRPr="00C35DF6">
              <w:rPr>
                <w:rFonts w:ascii="Times New Roman" w:eastAsia="Times New Roman" w:hAnsi="Times New Roman" w:cs="Times New Roman"/>
                <w:b/>
                <w:bCs/>
                <w:i/>
                <w:iCs/>
                <w:color w:val="000000" w:themeColor="text1"/>
                <w:lang w:eastAsia="en-IN"/>
              </w:rPr>
              <w:t>Variables</w:t>
            </w:r>
          </w:p>
        </w:tc>
        <w:tc>
          <w:tcPr>
            <w:tcW w:w="1276" w:type="dxa"/>
            <w:tcBorders>
              <w:top w:val="single" w:sz="4" w:space="0" w:color="auto"/>
              <w:bottom w:val="single" w:sz="4" w:space="0" w:color="auto"/>
            </w:tcBorders>
            <w:shd w:val="clear" w:color="auto" w:fill="D9D9D9" w:themeFill="background1" w:themeFillShade="D9"/>
            <w:vAlign w:val="center"/>
            <w:hideMark/>
          </w:tcPr>
          <w:p w:rsidR="00A8754A" w:rsidRPr="00710874" w:rsidRDefault="00A8754A" w:rsidP="00D87571">
            <w:pPr>
              <w:spacing w:after="0" w:line="240" w:lineRule="auto"/>
              <w:jc w:val="center"/>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BDAC</w:t>
            </w:r>
          </w:p>
        </w:tc>
        <w:tc>
          <w:tcPr>
            <w:tcW w:w="1276" w:type="dxa"/>
            <w:tcBorders>
              <w:top w:val="single" w:sz="4" w:space="0" w:color="auto"/>
              <w:bottom w:val="single" w:sz="4" w:space="0" w:color="auto"/>
            </w:tcBorders>
            <w:shd w:val="clear" w:color="auto" w:fill="D9D9D9" w:themeFill="background1" w:themeFillShade="D9"/>
            <w:vAlign w:val="center"/>
            <w:hideMark/>
          </w:tcPr>
          <w:p w:rsidR="00A8754A" w:rsidRPr="00710874" w:rsidRDefault="00A8754A" w:rsidP="00D87571">
            <w:pPr>
              <w:spacing w:after="0" w:line="240" w:lineRule="auto"/>
              <w:jc w:val="center"/>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EP</w:t>
            </w:r>
          </w:p>
        </w:tc>
        <w:tc>
          <w:tcPr>
            <w:tcW w:w="1275" w:type="dxa"/>
            <w:tcBorders>
              <w:top w:val="single" w:sz="4" w:space="0" w:color="auto"/>
              <w:bottom w:val="single" w:sz="4" w:space="0" w:color="auto"/>
            </w:tcBorders>
            <w:shd w:val="clear" w:color="auto" w:fill="D9D9D9" w:themeFill="background1" w:themeFillShade="D9"/>
            <w:vAlign w:val="center"/>
            <w:hideMark/>
          </w:tcPr>
          <w:p w:rsidR="00A8754A" w:rsidRPr="00710874" w:rsidRDefault="00A8754A" w:rsidP="00D87571">
            <w:pPr>
              <w:spacing w:after="0" w:line="240" w:lineRule="auto"/>
              <w:jc w:val="center"/>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GHRM</w:t>
            </w:r>
          </w:p>
        </w:tc>
        <w:tc>
          <w:tcPr>
            <w:tcW w:w="993" w:type="dxa"/>
            <w:tcBorders>
              <w:top w:val="single" w:sz="4" w:space="0" w:color="auto"/>
              <w:bottom w:val="single" w:sz="4" w:space="0" w:color="auto"/>
            </w:tcBorders>
            <w:shd w:val="clear" w:color="auto" w:fill="D9D9D9" w:themeFill="background1" w:themeFillShade="D9"/>
            <w:vAlign w:val="center"/>
            <w:hideMark/>
          </w:tcPr>
          <w:p w:rsidR="00A8754A" w:rsidRPr="00710874" w:rsidRDefault="00A8754A" w:rsidP="00D87571">
            <w:pPr>
              <w:spacing w:after="0" w:line="240" w:lineRule="auto"/>
              <w:jc w:val="center"/>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GOCB</w:t>
            </w:r>
          </w:p>
        </w:tc>
        <w:tc>
          <w:tcPr>
            <w:tcW w:w="992" w:type="dxa"/>
            <w:tcBorders>
              <w:top w:val="single" w:sz="4" w:space="0" w:color="auto"/>
              <w:bottom w:val="single" w:sz="4" w:space="0" w:color="auto"/>
            </w:tcBorders>
            <w:shd w:val="clear" w:color="auto" w:fill="D9D9D9" w:themeFill="background1" w:themeFillShade="D9"/>
            <w:vAlign w:val="center"/>
            <w:hideMark/>
          </w:tcPr>
          <w:p w:rsidR="00A8754A" w:rsidRPr="00710874" w:rsidRDefault="00A8754A" w:rsidP="00D87571">
            <w:pPr>
              <w:spacing w:after="0" w:line="240" w:lineRule="auto"/>
              <w:jc w:val="center"/>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GP</w:t>
            </w:r>
          </w:p>
        </w:tc>
        <w:tc>
          <w:tcPr>
            <w:tcW w:w="1062" w:type="dxa"/>
            <w:tcBorders>
              <w:top w:val="single" w:sz="4" w:space="0" w:color="auto"/>
              <w:bottom w:val="single" w:sz="4" w:space="0" w:color="auto"/>
            </w:tcBorders>
            <w:shd w:val="clear" w:color="auto" w:fill="D9D9D9" w:themeFill="background1" w:themeFillShade="D9"/>
            <w:vAlign w:val="center"/>
            <w:hideMark/>
          </w:tcPr>
          <w:p w:rsidR="00A8754A" w:rsidRPr="00710874" w:rsidRDefault="00A8754A" w:rsidP="00D87571">
            <w:pPr>
              <w:spacing w:after="0" w:line="240" w:lineRule="auto"/>
              <w:jc w:val="center"/>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SP</w:t>
            </w:r>
          </w:p>
        </w:tc>
      </w:tr>
      <w:tr w:rsidR="00A8754A" w:rsidRPr="00710874" w:rsidTr="00D87571">
        <w:trPr>
          <w:trHeight w:val="328"/>
        </w:trPr>
        <w:tc>
          <w:tcPr>
            <w:tcW w:w="2817" w:type="dxa"/>
            <w:tcBorders>
              <w:top w:val="single" w:sz="4" w:space="0" w:color="auto"/>
            </w:tcBorders>
            <w:vAlign w:val="center"/>
            <w:hideMark/>
          </w:tcPr>
          <w:p w:rsidR="00A8754A" w:rsidRPr="00710874" w:rsidRDefault="00A8754A" w:rsidP="00D87571">
            <w:pPr>
              <w:spacing w:after="0" w:line="240" w:lineRule="auto"/>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BDAC</w:t>
            </w:r>
          </w:p>
        </w:tc>
        <w:tc>
          <w:tcPr>
            <w:tcW w:w="1276" w:type="dxa"/>
            <w:tcBorders>
              <w:top w:val="single" w:sz="4" w:space="0" w:color="auto"/>
            </w:tcBorders>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276" w:type="dxa"/>
            <w:tcBorders>
              <w:top w:val="single" w:sz="4" w:space="0" w:color="auto"/>
            </w:tcBorders>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275" w:type="dxa"/>
            <w:tcBorders>
              <w:top w:val="single" w:sz="4" w:space="0" w:color="auto"/>
            </w:tcBorders>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993" w:type="dxa"/>
            <w:tcBorders>
              <w:top w:val="single" w:sz="4" w:space="0" w:color="auto"/>
            </w:tcBorders>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992" w:type="dxa"/>
            <w:tcBorders>
              <w:top w:val="single" w:sz="4" w:space="0" w:color="auto"/>
            </w:tcBorders>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062" w:type="dxa"/>
            <w:tcBorders>
              <w:top w:val="single" w:sz="4" w:space="0" w:color="auto"/>
            </w:tcBorders>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r>
      <w:tr w:rsidR="00A8754A" w:rsidRPr="00710874" w:rsidTr="00D87571">
        <w:trPr>
          <w:trHeight w:val="328"/>
        </w:trPr>
        <w:tc>
          <w:tcPr>
            <w:tcW w:w="2817" w:type="dxa"/>
            <w:vAlign w:val="center"/>
            <w:hideMark/>
          </w:tcPr>
          <w:p w:rsidR="00A8754A" w:rsidRPr="00710874" w:rsidRDefault="00A8754A" w:rsidP="00D87571">
            <w:pPr>
              <w:spacing w:after="0" w:line="240" w:lineRule="auto"/>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EP</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0.031</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275"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993"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99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06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r>
      <w:tr w:rsidR="00A8754A" w:rsidRPr="00710874" w:rsidTr="00D87571">
        <w:trPr>
          <w:trHeight w:val="328"/>
        </w:trPr>
        <w:tc>
          <w:tcPr>
            <w:tcW w:w="2817" w:type="dxa"/>
            <w:vAlign w:val="center"/>
            <w:hideMark/>
          </w:tcPr>
          <w:p w:rsidR="00A8754A" w:rsidRPr="00710874" w:rsidRDefault="00A8754A" w:rsidP="00D87571">
            <w:pPr>
              <w:spacing w:after="0" w:line="240" w:lineRule="auto"/>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GHRM</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0.102</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0.684</w:t>
            </w:r>
          </w:p>
        </w:tc>
        <w:tc>
          <w:tcPr>
            <w:tcW w:w="1275"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993"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99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06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r>
      <w:tr w:rsidR="00A8754A" w:rsidRPr="00710874" w:rsidTr="00D87571">
        <w:trPr>
          <w:trHeight w:val="328"/>
        </w:trPr>
        <w:tc>
          <w:tcPr>
            <w:tcW w:w="2817" w:type="dxa"/>
            <w:vAlign w:val="center"/>
            <w:hideMark/>
          </w:tcPr>
          <w:p w:rsidR="00A8754A" w:rsidRPr="00710874" w:rsidRDefault="00A8754A" w:rsidP="00D87571">
            <w:pPr>
              <w:spacing w:after="0" w:line="240" w:lineRule="auto"/>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GOCB</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0.082</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0.723</w:t>
            </w:r>
          </w:p>
        </w:tc>
        <w:tc>
          <w:tcPr>
            <w:tcW w:w="1275"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0.657</w:t>
            </w:r>
          </w:p>
        </w:tc>
        <w:tc>
          <w:tcPr>
            <w:tcW w:w="993"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99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06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r>
      <w:tr w:rsidR="00A8754A" w:rsidRPr="00710874" w:rsidTr="00D87571">
        <w:trPr>
          <w:trHeight w:val="328"/>
        </w:trPr>
        <w:tc>
          <w:tcPr>
            <w:tcW w:w="2817" w:type="dxa"/>
            <w:vAlign w:val="center"/>
            <w:hideMark/>
          </w:tcPr>
          <w:p w:rsidR="00A8754A" w:rsidRPr="00710874" w:rsidRDefault="00A8754A" w:rsidP="00D87571">
            <w:pPr>
              <w:spacing w:after="0" w:line="240" w:lineRule="auto"/>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GP</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0.047</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0.993</w:t>
            </w:r>
          </w:p>
        </w:tc>
        <w:tc>
          <w:tcPr>
            <w:tcW w:w="1275"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0.683</w:t>
            </w:r>
          </w:p>
        </w:tc>
        <w:tc>
          <w:tcPr>
            <w:tcW w:w="993"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0.721</w:t>
            </w:r>
          </w:p>
        </w:tc>
        <w:tc>
          <w:tcPr>
            <w:tcW w:w="99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c>
          <w:tcPr>
            <w:tcW w:w="106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r>
      <w:tr w:rsidR="00A8754A" w:rsidRPr="00710874" w:rsidTr="00D87571">
        <w:trPr>
          <w:trHeight w:val="328"/>
        </w:trPr>
        <w:tc>
          <w:tcPr>
            <w:tcW w:w="2817" w:type="dxa"/>
            <w:vAlign w:val="center"/>
            <w:hideMark/>
          </w:tcPr>
          <w:p w:rsidR="00A8754A" w:rsidRPr="00710874" w:rsidRDefault="00A8754A" w:rsidP="00D87571">
            <w:pPr>
              <w:spacing w:after="0" w:line="240" w:lineRule="auto"/>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SP</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0.034</w:t>
            </w:r>
          </w:p>
        </w:tc>
        <w:tc>
          <w:tcPr>
            <w:tcW w:w="1276"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0.995</w:t>
            </w:r>
          </w:p>
        </w:tc>
        <w:tc>
          <w:tcPr>
            <w:tcW w:w="1275"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0.689</w:t>
            </w:r>
          </w:p>
        </w:tc>
        <w:tc>
          <w:tcPr>
            <w:tcW w:w="993"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0.721</w:t>
            </w:r>
          </w:p>
        </w:tc>
        <w:tc>
          <w:tcPr>
            <w:tcW w:w="99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0.99</w:t>
            </w:r>
          </w:p>
        </w:tc>
        <w:tc>
          <w:tcPr>
            <w:tcW w:w="1062" w:type="dxa"/>
            <w:vAlign w:val="center"/>
            <w:hideMark/>
          </w:tcPr>
          <w:p w:rsidR="00A8754A" w:rsidRPr="00710874" w:rsidRDefault="00A8754A" w:rsidP="00D87571">
            <w:pPr>
              <w:spacing w:after="0" w:line="240" w:lineRule="auto"/>
              <w:jc w:val="right"/>
              <w:rPr>
                <w:rFonts w:ascii="Times New Roman" w:eastAsia="Times New Roman" w:hAnsi="Times New Roman" w:cs="Times New Roman"/>
                <w:color w:val="000000" w:themeColor="text1"/>
                <w:lang w:eastAsia="en-IN"/>
              </w:rPr>
            </w:pPr>
            <w:r w:rsidRPr="00710874">
              <w:rPr>
                <w:rFonts w:ascii="Times New Roman" w:eastAsia="Times New Roman" w:hAnsi="Times New Roman" w:cs="Times New Roman"/>
                <w:color w:val="000000" w:themeColor="text1"/>
                <w:lang w:eastAsia="en-IN"/>
              </w:rPr>
              <w:t> </w:t>
            </w:r>
          </w:p>
        </w:tc>
      </w:tr>
    </w:tbl>
    <w:p w:rsidR="00A8754A" w:rsidRDefault="00A8754A" w:rsidP="00A8754A">
      <w:pPr>
        <w:spacing w:after="120" w:line="360" w:lineRule="auto"/>
        <w:jc w:val="both"/>
        <w:rPr>
          <w:rFonts w:ascii="Times New Roman" w:hAnsi="Times New Roman" w:cs="Times New Roman"/>
          <w:sz w:val="24"/>
          <w:szCs w:val="24"/>
        </w:rPr>
      </w:pPr>
      <w:r w:rsidRPr="00C35DF6">
        <w:rPr>
          <w:rFonts w:ascii="Times New Roman" w:hAnsi="Times New Roman" w:cs="Times New Roman"/>
          <w:sz w:val="20"/>
          <w:szCs w:val="20"/>
        </w:rPr>
        <w:t>Source: Compiled by authors</w:t>
      </w: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Table VI. Validation of Higher-order construct: ESG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962"/>
        <w:gridCol w:w="1985"/>
        <w:gridCol w:w="1701"/>
        <w:gridCol w:w="992"/>
        <w:gridCol w:w="992"/>
        <w:gridCol w:w="941"/>
      </w:tblGrid>
      <w:tr w:rsidR="00A8754A" w:rsidTr="00D87571">
        <w:tc>
          <w:tcPr>
            <w:tcW w:w="1443"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sz w:val="24"/>
                <w:szCs w:val="24"/>
              </w:rPr>
            </w:pPr>
            <w:r w:rsidRPr="00C35DF6">
              <w:rPr>
                <w:rFonts w:ascii="Times New Roman" w:hAnsi="Times New Roman" w:cs="Times New Roman"/>
                <w:b/>
                <w:bCs/>
                <w:i/>
                <w:iCs/>
                <w:sz w:val="24"/>
                <w:szCs w:val="24"/>
              </w:rPr>
              <w:t>HOC</w:t>
            </w:r>
          </w:p>
        </w:tc>
        <w:tc>
          <w:tcPr>
            <w:tcW w:w="962"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sz w:val="24"/>
                <w:szCs w:val="24"/>
              </w:rPr>
            </w:pPr>
            <w:r w:rsidRPr="00C35DF6">
              <w:rPr>
                <w:rFonts w:ascii="Times New Roman" w:hAnsi="Times New Roman" w:cs="Times New Roman"/>
                <w:b/>
                <w:bCs/>
                <w:i/>
                <w:iCs/>
                <w:sz w:val="24"/>
                <w:szCs w:val="24"/>
              </w:rPr>
              <w:t>LOC</w:t>
            </w:r>
          </w:p>
        </w:tc>
        <w:tc>
          <w:tcPr>
            <w:tcW w:w="1985"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sz w:val="24"/>
                <w:szCs w:val="24"/>
              </w:rPr>
            </w:pPr>
            <w:r w:rsidRPr="00C35DF6">
              <w:rPr>
                <w:rFonts w:ascii="Times New Roman" w:hAnsi="Times New Roman" w:cs="Times New Roman"/>
                <w:b/>
                <w:bCs/>
                <w:i/>
                <w:iCs/>
                <w:sz w:val="24"/>
                <w:szCs w:val="24"/>
              </w:rPr>
              <w:t>Outer loadings</w:t>
            </w:r>
          </w:p>
        </w:tc>
        <w:tc>
          <w:tcPr>
            <w:tcW w:w="1701"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sz w:val="24"/>
                <w:szCs w:val="24"/>
              </w:rPr>
            </w:pPr>
            <w:r w:rsidRPr="00C35DF6">
              <w:rPr>
                <w:rFonts w:ascii="Times New Roman" w:hAnsi="Times New Roman" w:cs="Times New Roman"/>
                <w:b/>
                <w:bCs/>
                <w:i/>
                <w:iCs/>
                <w:sz w:val="24"/>
                <w:szCs w:val="24"/>
              </w:rPr>
              <w:t>Outer weights</w:t>
            </w:r>
          </w:p>
        </w:tc>
        <w:tc>
          <w:tcPr>
            <w:tcW w:w="992"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sz w:val="24"/>
                <w:szCs w:val="24"/>
              </w:rPr>
            </w:pPr>
            <w:r w:rsidRPr="00C35DF6">
              <w:rPr>
                <w:rFonts w:ascii="Times New Roman" w:hAnsi="Times New Roman" w:cs="Times New Roman"/>
                <w:b/>
                <w:bCs/>
                <w:i/>
                <w:iCs/>
                <w:sz w:val="24"/>
                <w:szCs w:val="24"/>
              </w:rPr>
              <w:t>t-value</w:t>
            </w:r>
          </w:p>
        </w:tc>
        <w:tc>
          <w:tcPr>
            <w:tcW w:w="992"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sz w:val="24"/>
                <w:szCs w:val="24"/>
              </w:rPr>
            </w:pPr>
            <w:r w:rsidRPr="00C35DF6">
              <w:rPr>
                <w:rFonts w:ascii="Times New Roman" w:hAnsi="Times New Roman" w:cs="Times New Roman"/>
                <w:b/>
                <w:bCs/>
                <w:i/>
                <w:iCs/>
                <w:sz w:val="24"/>
                <w:szCs w:val="24"/>
              </w:rPr>
              <w:t>p-value</w:t>
            </w:r>
          </w:p>
        </w:tc>
        <w:tc>
          <w:tcPr>
            <w:tcW w:w="941" w:type="dxa"/>
            <w:tcBorders>
              <w:top w:val="single" w:sz="4" w:space="0" w:color="auto"/>
              <w:bottom w:val="single" w:sz="4" w:space="0" w:color="auto"/>
            </w:tcBorders>
            <w:shd w:val="clear" w:color="auto" w:fill="D9D9D9" w:themeFill="background1" w:themeFillShade="D9"/>
          </w:tcPr>
          <w:p w:rsidR="00A8754A" w:rsidRPr="00C35DF6" w:rsidRDefault="00A8754A" w:rsidP="00D87571">
            <w:pPr>
              <w:jc w:val="both"/>
              <w:rPr>
                <w:rFonts w:ascii="Times New Roman" w:hAnsi="Times New Roman" w:cs="Times New Roman"/>
                <w:b/>
                <w:bCs/>
                <w:i/>
                <w:iCs/>
                <w:sz w:val="24"/>
                <w:szCs w:val="24"/>
              </w:rPr>
            </w:pPr>
            <w:r w:rsidRPr="00C35DF6">
              <w:rPr>
                <w:rFonts w:ascii="Times New Roman" w:hAnsi="Times New Roman" w:cs="Times New Roman"/>
                <w:b/>
                <w:bCs/>
                <w:i/>
                <w:iCs/>
                <w:sz w:val="24"/>
                <w:szCs w:val="24"/>
              </w:rPr>
              <w:t>VIF</w:t>
            </w:r>
          </w:p>
        </w:tc>
      </w:tr>
      <w:tr w:rsidR="00A8754A" w:rsidTr="00D87571">
        <w:tc>
          <w:tcPr>
            <w:tcW w:w="1443" w:type="dxa"/>
            <w:vMerge w:val="restart"/>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ESG Performance</w:t>
            </w:r>
          </w:p>
        </w:tc>
        <w:tc>
          <w:tcPr>
            <w:tcW w:w="962"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EP</w:t>
            </w:r>
          </w:p>
        </w:tc>
        <w:tc>
          <w:tcPr>
            <w:tcW w:w="1985"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0.978</w:t>
            </w:r>
          </w:p>
        </w:tc>
        <w:tc>
          <w:tcPr>
            <w:tcW w:w="1701"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0.337</w:t>
            </w:r>
          </w:p>
        </w:tc>
        <w:tc>
          <w:tcPr>
            <w:tcW w:w="992"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2.304</w:t>
            </w:r>
          </w:p>
        </w:tc>
        <w:tc>
          <w:tcPr>
            <w:tcW w:w="992"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0.011</w:t>
            </w:r>
          </w:p>
        </w:tc>
        <w:tc>
          <w:tcPr>
            <w:tcW w:w="941"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3.535</w:t>
            </w:r>
          </w:p>
        </w:tc>
      </w:tr>
      <w:tr w:rsidR="00A8754A" w:rsidTr="00D87571">
        <w:tc>
          <w:tcPr>
            <w:tcW w:w="1443" w:type="dxa"/>
            <w:vMerge/>
          </w:tcPr>
          <w:p w:rsidR="00A8754A" w:rsidRDefault="00A8754A" w:rsidP="00D87571">
            <w:pPr>
              <w:jc w:val="both"/>
              <w:rPr>
                <w:rFonts w:ascii="Times New Roman" w:hAnsi="Times New Roman" w:cs="Times New Roman"/>
                <w:sz w:val="24"/>
                <w:szCs w:val="24"/>
              </w:rPr>
            </w:pPr>
          </w:p>
        </w:tc>
        <w:tc>
          <w:tcPr>
            <w:tcW w:w="962"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SP</w:t>
            </w:r>
          </w:p>
        </w:tc>
        <w:tc>
          <w:tcPr>
            <w:tcW w:w="198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0.978</w:t>
            </w:r>
          </w:p>
        </w:tc>
        <w:tc>
          <w:tcPr>
            <w:tcW w:w="1701"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0.358</w:t>
            </w:r>
          </w:p>
        </w:tc>
        <w:tc>
          <w:tcPr>
            <w:tcW w:w="992"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2.681</w:t>
            </w:r>
          </w:p>
        </w:tc>
        <w:tc>
          <w:tcPr>
            <w:tcW w:w="992"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0.004</w:t>
            </w:r>
          </w:p>
        </w:tc>
        <w:tc>
          <w:tcPr>
            <w:tcW w:w="941"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3.686</w:t>
            </w:r>
          </w:p>
        </w:tc>
      </w:tr>
      <w:tr w:rsidR="00A8754A" w:rsidTr="00D87571">
        <w:tc>
          <w:tcPr>
            <w:tcW w:w="1443" w:type="dxa"/>
            <w:vMerge/>
          </w:tcPr>
          <w:p w:rsidR="00A8754A" w:rsidRDefault="00A8754A" w:rsidP="00D87571">
            <w:pPr>
              <w:jc w:val="both"/>
              <w:rPr>
                <w:rFonts w:ascii="Times New Roman" w:hAnsi="Times New Roman" w:cs="Times New Roman"/>
                <w:sz w:val="24"/>
                <w:szCs w:val="24"/>
              </w:rPr>
            </w:pPr>
          </w:p>
        </w:tc>
        <w:tc>
          <w:tcPr>
            <w:tcW w:w="962"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GP</w:t>
            </w:r>
          </w:p>
        </w:tc>
        <w:tc>
          <w:tcPr>
            <w:tcW w:w="198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0.976</w:t>
            </w:r>
          </w:p>
        </w:tc>
        <w:tc>
          <w:tcPr>
            <w:tcW w:w="1701"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0.328</w:t>
            </w:r>
          </w:p>
        </w:tc>
        <w:tc>
          <w:tcPr>
            <w:tcW w:w="992"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2.377</w:t>
            </w:r>
          </w:p>
        </w:tc>
        <w:tc>
          <w:tcPr>
            <w:tcW w:w="992"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0.009</w:t>
            </w:r>
          </w:p>
        </w:tc>
        <w:tc>
          <w:tcPr>
            <w:tcW w:w="941"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3.756</w:t>
            </w:r>
          </w:p>
        </w:tc>
      </w:tr>
    </w:tbl>
    <w:p w:rsidR="00A8754A" w:rsidRPr="008C7048" w:rsidRDefault="00A8754A" w:rsidP="00A8754A">
      <w:pPr>
        <w:spacing w:after="120" w:line="360" w:lineRule="auto"/>
        <w:jc w:val="both"/>
        <w:rPr>
          <w:rFonts w:ascii="Times New Roman" w:hAnsi="Times New Roman" w:cs="Times New Roman"/>
          <w:sz w:val="24"/>
          <w:szCs w:val="24"/>
        </w:rPr>
      </w:pPr>
      <w:r w:rsidRPr="00C35DF6">
        <w:rPr>
          <w:rFonts w:ascii="Times New Roman" w:hAnsi="Times New Roman" w:cs="Times New Roman"/>
          <w:sz w:val="20"/>
          <w:szCs w:val="20"/>
        </w:rPr>
        <w:t>Source: Compiled by authors</w:t>
      </w: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VII. Path Co-efficient values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646"/>
        <w:gridCol w:w="943"/>
        <w:gridCol w:w="943"/>
        <w:gridCol w:w="1021"/>
        <w:gridCol w:w="943"/>
        <w:gridCol w:w="1233"/>
      </w:tblGrid>
      <w:tr w:rsidR="00A8754A" w:rsidTr="00D87571">
        <w:tc>
          <w:tcPr>
            <w:tcW w:w="1296" w:type="dxa"/>
            <w:tcBorders>
              <w:top w:val="single" w:sz="4" w:space="0" w:color="auto"/>
              <w:left w:val="nil"/>
              <w:bottom w:val="single" w:sz="4" w:space="0" w:color="auto"/>
            </w:tcBorders>
            <w:shd w:val="clear" w:color="auto" w:fill="D9D9D9" w:themeFill="background1" w:themeFillShade="D9"/>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Hypothesis</w:t>
            </w:r>
          </w:p>
        </w:tc>
        <w:tc>
          <w:tcPr>
            <w:tcW w:w="1843" w:type="dxa"/>
            <w:tcBorders>
              <w:top w:val="single" w:sz="4" w:space="0" w:color="auto"/>
              <w:bottom w:val="single" w:sz="4" w:space="0" w:color="auto"/>
            </w:tcBorders>
            <w:shd w:val="clear" w:color="auto" w:fill="D9D9D9" w:themeFill="background1" w:themeFillShade="D9"/>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Path analysis</w:t>
            </w:r>
          </w:p>
        </w:tc>
        <w:tc>
          <w:tcPr>
            <w:tcW w:w="1145" w:type="dxa"/>
            <w:tcBorders>
              <w:top w:val="single" w:sz="4" w:space="0" w:color="auto"/>
              <w:bottom w:val="single" w:sz="4" w:space="0" w:color="auto"/>
            </w:tcBorders>
            <w:shd w:val="clear" w:color="auto" w:fill="D9D9D9" w:themeFill="background1" w:themeFillShade="D9"/>
          </w:tcPr>
          <w:p w:rsidR="00A8754A" w:rsidRDefault="00A8754A" w:rsidP="00D87571">
            <w:pPr>
              <w:jc w:val="both"/>
              <w:rPr>
                <w:rFonts w:ascii="Times New Roman" w:hAnsi="Times New Roman" w:cs="Times New Roman"/>
                <w:sz w:val="24"/>
                <w:szCs w:val="24"/>
              </w:rPr>
            </w:pPr>
            <w:r w:rsidRPr="00BB415B">
              <w:rPr>
                <w:rFonts w:ascii="Times New Roman" w:hAnsi="Times New Roman" w:cs="Times New Roman"/>
                <w:sz w:val="24"/>
                <w:szCs w:val="24"/>
              </w:rPr>
              <w:t>Β</w:t>
            </w:r>
            <w:r>
              <w:rPr>
                <w:rFonts w:ascii="Times New Roman" w:hAnsi="Times New Roman" w:cs="Times New Roman"/>
                <w:sz w:val="24"/>
                <w:szCs w:val="24"/>
              </w:rPr>
              <w:t>-value</w:t>
            </w:r>
          </w:p>
        </w:tc>
        <w:tc>
          <w:tcPr>
            <w:tcW w:w="1145" w:type="dxa"/>
            <w:tcBorders>
              <w:top w:val="single" w:sz="4" w:space="0" w:color="auto"/>
              <w:bottom w:val="single" w:sz="4" w:space="0" w:color="auto"/>
            </w:tcBorders>
            <w:shd w:val="clear" w:color="auto" w:fill="D9D9D9" w:themeFill="background1" w:themeFillShade="D9"/>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SD</w:t>
            </w:r>
          </w:p>
        </w:tc>
        <w:tc>
          <w:tcPr>
            <w:tcW w:w="1177" w:type="dxa"/>
            <w:tcBorders>
              <w:top w:val="single" w:sz="4" w:space="0" w:color="auto"/>
              <w:bottom w:val="single" w:sz="4" w:space="0" w:color="auto"/>
            </w:tcBorders>
            <w:shd w:val="clear" w:color="auto" w:fill="D9D9D9" w:themeFill="background1" w:themeFillShade="D9"/>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t-value</w:t>
            </w:r>
          </w:p>
        </w:tc>
        <w:tc>
          <w:tcPr>
            <w:tcW w:w="1145" w:type="dxa"/>
            <w:tcBorders>
              <w:top w:val="single" w:sz="4" w:space="0" w:color="auto"/>
              <w:bottom w:val="single" w:sz="4" w:space="0" w:color="auto"/>
            </w:tcBorders>
            <w:shd w:val="clear" w:color="auto" w:fill="D9D9D9" w:themeFill="background1" w:themeFillShade="D9"/>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p-value</w:t>
            </w:r>
          </w:p>
        </w:tc>
        <w:tc>
          <w:tcPr>
            <w:tcW w:w="1265" w:type="dxa"/>
            <w:tcBorders>
              <w:top w:val="single" w:sz="4" w:space="0" w:color="auto"/>
              <w:bottom w:val="single" w:sz="4" w:space="0" w:color="auto"/>
              <w:right w:val="nil"/>
            </w:tcBorders>
            <w:shd w:val="clear" w:color="auto" w:fill="D9D9D9" w:themeFill="background1" w:themeFillShade="D9"/>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Decision</w:t>
            </w:r>
          </w:p>
        </w:tc>
      </w:tr>
      <w:tr w:rsidR="00A8754A" w:rsidTr="00D87571">
        <w:tc>
          <w:tcPr>
            <w:tcW w:w="1296" w:type="dxa"/>
            <w:tcBorders>
              <w:top w:val="single" w:sz="4" w:space="0" w:color="auto"/>
              <w:lef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H1</w:t>
            </w:r>
          </w:p>
        </w:tc>
        <w:tc>
          <w:tcPr>
            <w:tcW w:w="1843"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GHRM→ESG</w:t>
            </w:r>
          </w:p>
        </w:tc>
        <w:tc>
          <w:tcPr>
            <w:tcW w:w="1145"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0.380</w:t>
            </w:r>
          </w:p>
        </w:tc>
        <w:tc>
          <w:tcPr>
            <w:tcW w:w="1145"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0.041</w:t>
            </w:r>
          </w:p>
        </w:tc>
        <w:tc>
          <w:tcPr>
            <w:tcW w:w="1177"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9.319</w:t>
            </w:r>
          </w:p>
        </w:tc>
        <w:tc>
          <w:tcPr>
            <w:tcW w:w="1145" w:type="dxa"/>
            <w:tcBorders>
              <w:top w:val="single" w:sz="4" w:space="0" w:color="auto"/>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0.000</w:t>
            </w:r>
          </w:p>
        </w:tc>
        <w:tc>
          <w:tcPr>
            <w:tcW w:w="1265" w:type="dxa"/>
            <w:tcBorders>
              <w:top w:val="single" w:sz="4" w:space="0" w:color="auto"/>
              <w:righ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Supported</w:t>
            </w:r>
          </w:p>
        </w:tc>
      </w:tr>
      <w:tr w:rsidR="00A8754A" w:rsidTr="00D87571">
        <w:tc>
          <w:tcPr>
            <w:tcW w:w="1296" w:type="dxa"/>
            <w:tcBorders>
              <w:lef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H2</w:t>
            </w:r>
          </w:p>
        </w:tc>
        <w:tc>
          <w:tcPr>
            <w:tcW w:w="1843"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GHRM→GOCB</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0.599</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0.034</w:t>
            </w:r>
          </w:p>
        </w:tc>
        <w:tc>
          <w:tcPr>
            <w:tcW w:w="1177"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17.443</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0.000</w:t>
            </w:r>
          </w:p>
        </w:tc>
        <w:tc>
          <w:tcPr>
            <w:tcW w:w="1265" w:type="dxa"/>
            <w:tcBorders>
              <w:righ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Supported</w:t>
            </w:r>
          </w:p>
        </w:tc>
      </w:tr>
      <w:tr w:rsidR="00A8754A" w:rsidTr="00D87571">
        <w:tc>
          <w:tcPr>
            <w:tcW w:w="1296" w:type="dxa"/>
            <w:tcBorders>
              <w:lef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H3</w:t>
            </w:r>
          </w:p>
        </w:tc>
        <w:tc>
          <w:tcPr>
            <w:tcW w:w="1843"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GOCB→ESG</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0.457</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0.042</w:t>
            </w:r>
          </w:p>
        </w:tc>
        <w:tc>
          <w:tcPr>
            <w:tcW w:w="1177"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10.965</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0.001</w:t>
            </w:r>
          </w:p>
        </w:tc>
        <w:tc>
          <w:tcPr>
            <w:tcW w:w="1265" w:type="dxa"/>
            <w:tcBorders>
              <w:righ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Supported</w:t>
            </w:r>
          </w:p>
        </w:tc>
      </w:tr>
      <w:tr w:rsidR="00A8754A" w:rsidTr="00D87571">
        <w:tc>
          <w:tcPr>
            <w:tcW w:w="1296" w:type="dxa"/>
            <w:tcBorders>
              <w:lef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H5</w:t>
            </w:r>
          </w:p>
        </w:tc>
        <w:tc>
          <w:tcPr>
            <w:tcW w:w="1843"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BDAC</w:t>
            </w:r>
            <w:r w:rsidRPr="00857A26">
              <w:rPr>
                <w:rFonts w:ascii="Times New Roman" w:hAnsi="Times New Roman" w:cs="Times New Roman"/>
                <w:sz w:val="24"/>
                <w:szCs w:val="24"/>
              </w:rPr>
              <w:t>×</w:t>
            </w:r>
            <w:r>
              <w:rPr>
                <w:rFonts w:ascii="Times New Roman" w:hAnsi="Times New Roman" w:cs="Times New Roman"/>
                <w:sz w:val="24"/>
                <w:szCs w:val="24"/>
              </w:rPr>
              <w:t>GHRM→GOCB</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0.348</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0.042</w:t>
            </w:r>
          </w:p>
        </w:tc>
        <w:tc>
          <w:tcPr>
            <w:tcW w:w="1177"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5.227</w:t>
            </w:r>
          </w:p>
        </w:tc>
        <w:tc>
          <w:tcPr>
            <w:tcW w:w="1145" w:type="dxa"/>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0.000</w:t>
            </w:r>
          </w:p>
        </w:tc>
        <w:tc>
          <w:tcPr>
            <w:tcW w:w="1265" w:type="dxa"/>
            <w:tcBorders>
              <w:right w:val="nil"/>
            </w:tcBorders>
          </w:tcPr>
          <w:p w:rsidR="00A8754A" w:rsidRDefault="00A8754A" w:rsidP="00D87571">
            <w:pPr>
              <w:jc w:val="both"/>
              <w:rPr>
                <w:rFonts w:ascii="Times New Roman" w:hAnsi="Times New Roman" w:cs="Times New Roman"/>
                <w:sz w:val="24"/>
                <w:szCs w:val="24"/>
              </w:rPr>
            </w:pPr>
            <w:r>
              <w:rPr>
                <w:rFonts w:ascii="Times New Roman" w:hAnsi="Times New Roman" w:cs="Times New Roman"/>
                <w:sz w:val="24"/>
                <w:szCs w:val="24"/>
              </w:rPr>
              <w:t>Supported</w:t>
            </w:r>
          </w:p>
        </w:tc>
      </w:tr>
      <w:tr w:rsidR="00A8754A" w:rsidTr="00D87571">
        <w:tc>
          <w:tcPr>
            <w:tcW w:w="9016" w:type="dxa"/>
            <w:gridSpan w:val="7"/>
            <w:tcBorders>
              <w:left w:val="nil"/>
              <w:bottom w:val="single" w:sz="4" w:space="0" w:color="auto"/>
              <w:right w:val="nil"/>
            </w:tcBorders>
          </w:tcPr>
          <w:p w:rsidR="00A8754A" w:rsidRPr="002B22BC" w:rsidRDefault="00A8754A" w:rsidP="00D87571">
            <w:pPr>
              <w:jc w:val="both"/>
              <w:rPr>
                <w:rFonts w:ascii="Times New Roman" w:hAnsi="Times New Roman" w:cs="Times New Roman"/>
                <w:sz w:val="24"/>
                <w:szCs w:val="24"/>
              </w:rPr>
            </w:pPr>
            <w:r>
              <w:rPr>
                <w:rFonts w:ascii="Times New Roman" w:hAnsi="Times New Roman" w:cs="Times New Roman"/>
                <w:sz w:val="24"/>
                <w:szCs w:val="24"/>
              </w:rPr>
              <w:t>Note: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50.3% (GOCB), 56.8% (ESG Performance); Q</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49.6% (GOCB), 45.7% (ESG Performance)</w:t>
            </w:r>
          </w:p>
        </w:tc>
      </w:tr>
    </w:tbl>
    <w:p w:rsidR="00A8754A" w:rsidRPr="008C7048" w:rsidRDefault="00A8754A" w:rsidP="00A8754A">
      <w:pPr>
        <w:spacing w:after="120" w:line="360" w:lineRule="auto"/>
        <w:jc w:val="both"/>
        <w:rPr>
          <w:rFonts w:ascii="Times New Roman" w:hAnsi="Times New Roman" w:cs="Times New Roman"/>
          <w:sz w:val="24"/>
          <w:szCs w:val="24"/>
        </w:rPr>
      </w:pPr>
      <w:r w:rsidRPr="00C35DF6">
        <w:rPr>
          <w:rFonts w:ascii="Times New Roman" w:hAnsi="Times New Roman" w:cs="Times New Roman"/>
          <w:sz w:val="20"/>
          <w:szCs w:val="20"/>
        </w:rPr>
        <w:t>Source: Compiled by authors</w:t>
      </w: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VIII. Mediation Analysis</w:t>
      </w:r>
    </w:p>
    <w:tbl>
      <w:tblPr>
        <w:tblStyle w:val="TableGrid"/>
        <w:tblpPr w:leftFromText="180" w:rightFromText="180" w:vertAnchor="text" w:horzAnchor="margin" w:tblpXSpec="center" w:tblpY="11"/>
        <w:tblW w:w="11340" w:type="dxa"/>
        <w:tblLayout w:type="fixed"/>
        <w:tblLook w:val="04A0" w:firstRow="1" w:lastRow="0" w:firstColumn="1" w:lastColumn="0" w:noHBand="0" w:noVBand="1"/>
      </w:tblPr>
      <w:tblGrid>
        <w:gridCol w:w="787"/>
        <w:gridCol w:w="864"/>
        <w:gridCol w:w="722"/>
        <w:gridCol w:w="865"/>
        <w:gridCol w:w="722"/>
        <w:gridCol w:w="728"/>
        <w:gridCol w:w="1875"/>
        <w:gridCol w:w="722"/>
        <w:gridCol w:w="721"/>
        <w:gridCol w:w="698"/>
        <w:gridCol w:w="32"/>
        <w:gridCol w:w="690"/>
        <w:gridCol w:w="32"/>
        <w:gridCol w:w="749"/>
        <w:gridCol w:w="1133"/>
      </w:tblGrid>
      <w:tr w:rsidR="00A8754A" w:rsidRPr="009D7EB2" w:rsidTr="00D87571">
        <w:trPr>
          <w:trHeight w:val="375"/>
        </w:trPr>
        <w:tc>
          <w:tcPr>
            <w:tcW w:w="2373" w:type="dxa"/>
            <w:gridSpan w:val="3"/>
            <w:tcBorders>
              <w:top w:val="single" w:sz="4" w:space="0" w:color="auto"/>
              <w:left w:val="nil"/>
              <w:right w:val="single" w:sz="4" w:space="0" w:color="auto"/>
            </w:tcBorders>
            <w:shd w:val="clear" w:color="auto" w:fill="D9D9D9" w:themeFill="background1" w:themeFillShade="D9"/>
            <w:vAlign w:val="center"/>
          </w:tcPr>
          <w:p w:rsidR="00A8754A" w:rsidRPr="009D7EB2" w:rsidRDefault="00A8754A" w:rsidP="00D87571">
            <w:pPr>
              <w:spacing w:line="360" w:lineRule="auto"/>
              <w:jc w:val="center"/>
              <w:rPr>
                <w:rFonts w:cstheme="minorHAnsi"/>
                <w:b/>
                <w:bCs/>
                <w:sz w:val="20"/>
                <w:szCs w:val="20"/>
              </w:rPr>
            </w:pPr>
            <w:r w:rsidRPr="009D7EB2">
              <w:rPr>
                <w:rFonts w:cstheme="minorHAnsi"/>
                <w:b/>
                <w:bCs/>
                <w:sz w:val="20"/>
                <w:szCs w:val="20"/>
              </w:rPr>
              <w:t xml:space="preserve">Total </w:t>
            </w:r>
            <w:r>
              <w:rPr>
                <w:rFonts w:cstheme="minorHAnsi"/>
                <w:b/>
                <w:bCs/>
                <w:sz w:val="20"/>
                <w:szCs w:val="20"/>
              </w:rPr>
              <w:t>Indirect E</w:t>
            </w:r>
            <w:r w:rsidRPr="009D7EB2">
              <w:rPr>
                <w:rFonts w:cstheme="minorHAnsi"/>
                <w:b/>
                <w:bCs/>
                <w:sz w:val="20"/>
                <w:szCs w:val="20"/>
              </w:rPr>
              <w:t>ffect</w:t>
            </w:r>
            <w:r>
              <w:rPr>
                <w:rFonts w:cstheme="minorHAnsi"/>
                <w:b/>
                <w:bCs/>
                <w:sz w:val="20"/>
                <w:szCs w:val="20"/>
              </w:rPr>
              <w:t xml:space="preserve"> </w:t>
            </w:r>
            <w:r w:rsidRPr="009D7EB2">
              <w:rPr>
                <w:rFonts w:cstheme="minorHAnsi"/>
                <w:b/>
                <w:bCs/>
                <w:sz w:val="20"/>
                <w:szCs w:val="20"/>
              </w:rPr>
              <w:t>(</w:t>
            </w:r>
            <w:r>
              <w:rPr>
                <w:rFonts w:cstheme="minorHAnsi"/>
                <w:b/>
                <w:bCs/>
                <w:sz w:val="20"/>
                <w:szCs w:val="20"/>
              </w:rPr>
              <w:t>GHRM</w:t>
            </w:r>
            <w:r w:rsidRPr="009D7EB2">
              <w:rPr>
                <w:rFonts w:cstheme="minorHAnsi"/>
                <w:b/>
                <w:bCs/>
                <w:sz w:val="20"/>
                <w:szCs w:val="20"/>
              </w:rPr>
              <w:t xml:space="preserve">-&gt; </w:t>
            </w:r>
            <w:r>
              <w:rPr>
                <w:rFonts w:cstheme="minorHAnsi"/>
                <w:b/>
                <w:bCs/>
                <w:sz w:val="20"/>
                <w:szCs w:val="20"/>
              </w:rPr>
              <w:t>ESG</w:t>
            </w:r>
            <w:r w:rsidRPr="009D7EB2">
              <w:rPr>
                <w:rFonts w:cstheme="minorHAnsi"/>
                <w:b/>
                <w:bCs/>
                <w:sz w:val="20"/>
                <w:szCs w:val="20"/>
              </w:rPr>
              <w:t>)</w:t>
            </w:r>
          </w:p>
        </w:tc>
        <w:tc>
          <w:tcPr>
            <w:tcW w:w="2315" w:type="dxa"/>
            <w:gridSpan w:val="3"/>
            <w:tcBorders>
              <w:top w:val="single" w:sz="4" w:space="0" w:color="auto"/>
              <w:left w:val="single" w:sz="4" w:space="0" w:color="auto"/>
              <w:right w:val="single" w:sz="4" w:space="0" w:color="auto"/>
            </w:tcBorders>
            <w:shd w:val="clear" w:color="auto" w:fill="D9D9D9" w:themeFill="background1" w:themeFillShade="D9"/>
            <w:vAlign w:val="center"/>
          </w:tcPr>
          <w:p w:rsidR="00A8754A" w:rsidRPr="009D7EB2" w:rsidRDefault="00A8754A" w:rsidP="00D87571">
            <w:pPr>
              <w:spacing w:line="360" w:lineRule="auto"/>
              <w:jc w:val="center"/>
              <w:rPr>
                <w:rFonts w:cstheme="minorHAnsi"/>
                <w:b/>
                <w:bCs/>
                <w:sz w:val="20"/>
                <w:szCs w:val="20"/>
              </w:rPr>
            </w:pPr>
            <w:r w:rsidRPr="009D7EB2">
              <w:rPr>
                <w:rFonts w:cstheme="minorHAnsi"/>
                <w:b/>
                <w:bCs/>
                <w:sz w:val="20"/>
                <w:szCs w:val="20"/>
              </w:rPr>
              <w:t>Direct   effects</w:t>
            </w:r>
          </w:p>
        </w:tc>
        <w:tc>
          <w:tcPr>
            <w:tcW w:w="6652" w:type="dxa"/>
            <w:gridSpan w:val="9"/>
            <w:tcBorders>
              <w:top w:val="single" w:sz="4" w:space="0" w:color="auto"/>
              <w:left w:val="single" w:sz="4" w:space="0" w:color="auto"/>
              <w:right w:val="nil"/>
            </w:tcBorders>
            <w:shd w:val="clear" w:color="auto" w:fill="D9D9D9" w:themeFill="background1" w:themeFillShade="D9"/>
            <w:vAlign w:val="center"/>
          </w:tcPr>
          <w:p w:rsidR="00A8754A" w:rsidRPr="009D7EB2" w:rsidRDefault="00A8754A" w:rsidP="00D87571">
            <w:pPr>
              <w:spacing w:line="360" w:lineRule="auto"/>
              <w:jc w:val="center"/>
              <w:rPr>
                <w:rFonts w:cstheme="minorHAnsi"/>
                <w:b/>
                <w:bCs/>
                <w:sz w:val="20"/>
                <w:szCs w:val="20"/>
              </w:rPr>
            </w:pPr>
            <w:r w:rsidRPr="009D7EB2">
              <w:rPr>
                <w:rFonts w:cstheme="minorHAnsi"/>
                <w:b/>
                <w:bCs/>
                <w:sz w:val="20"/>
                <w:szCs w:val="20"/>
              </w:rPr>
              <w:t>Indirect effect</w:t>
            </w:r>
          </w:p>
        </w:tc>
      </w:tr>
      <w:tr w:rsidR="00A8754A" w:rsidRPr="009D7EB2" w:rsidTr="00D87571">
        <w:trPr>
          <w:trHeight w:val="154"/>
        </w:trPr>
        <w:tc>
          <w:tcPr>
            <w:tcW w:w="787" w:type="dxa"/>
            <w:tcBorders>
              <w:left w:val="nil"/>
              <w:right w:val="nil"/>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Coefficient</w:t>
            </w:r>
          </w:p>
        </w:tc>
        <w:tc>
          <w:tcPr>
            <w:tcW w:w="864" w:type="dxa"/>
            <w:tcBorders>
              <w:left w:val="nil"/>
              <w:right w:val="nil"/>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T-value</w:t>
            </w:r>
          </w:p>
        </w:tc>
        <w:tc>
          <w:tcPr>
            <w:tcW w:w="722" w:type="dxa"/>
            <w:tcBorders>
              <w:left w:val="nil"/>
              <w:right w:val="single" w:sz="4" w:space="0" w:color="auto"/>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P-value</w:t>
            </w:r>
          </w:p>
        </w:tc>
        <w:tc>
          <w:tcPr>
            <w:tcW w:w="865" w:type="dxa"/>
            <w:tcBorders>
              <w:left w:val="single" w:sz="4" w:space="0" w:color="auto"/>
              <w:right w:val="nil"/>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Coefficient</w:t>
            </w:r>
          </w:p>
        </w:tc>
        <w:tc>
          <w:tcPr>
            <w:tcW w:w="722" w:type="dxa"/>
            <w:tcBorders>
              <w:left w:val="nil"/>
              <w:right w:val="nil"/>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t-value</w:t>
            </w:r>
          </w:p>
        </w:tc>
        <w:tc>
          <w:tcPr>
            <w:tcW w:w="728" w:type="dxa"/>
            <w:tcBorders>
              <w:left w:val="nil"/>
              <w:right w:val="single" w:sz="4" w:space="0" w:color="auto"/>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P-value</w:t>
            </w:r>
          </w:p>
        </w:tc>
        <w:tc>
          <w:tcPr>
            <w:tcW w:w="1875" w:type="dxa"/>
            <w:tcBorders>
              <w:left w:val="single" w:sz="4" w:space="0" w:color="auto"/>
              <w:right w:val="single" w:sz="4" w:space="0" w:color="auto"/>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Hypothesis</w:t>
            </w:r>
          </w:p>
        </w:tc>
        <w:tc>
          <w:tcPr>
            <w:tcW w:w="722" w:type="dxa"/>
            <w:tcBorders>
              <w:left w:val="single" w:sz="4" w:space="0" w:color="auto"/>
              <w:right w:val="single" w:sz="4" w:space="0" w:color="auto"/>
            </w:tcBorders>
          </w:tcPr>
          <w:p w:rsidR="00A8754A" w:rsidRPr="00EC454F" w:rsidRDefault="00A8754A" w:rsidP="00D87571">
            <w:pPr>
              <w:spacing w:line="360" w:lineRule="auto"/>
              <w:jc w:val="center"/>
              <w:rPr>
                <w:rFonts w:cstheme="minorHAnsi"/>
                <w:b/>
                <w:bCs/>
                <w:sz w:val="18"/>
                <w:szCs w:val="18"/>
              </w:rPr>
            </w:pPr>
            <w:r>
              <w:rPr>
                <w:rFonts w:cstheme="minorHAnsi"/>
                <w:b/>
                <w:bCs/>
                <w:sz w:val="18"/>
                <w:szCs w:val="18"/>
              </w:rPr>
              <w:t>Coefficient</w:t>
            </w:r>
          </w:p>
        </w:tc>
        <w:tc>
          <w:tcPr>
            <w:tcW w:w="721" w:type="dxa"/>
            <w:tcBorders>
              <w:left w:val="single" w:sz="4" w:space="0" w:color="auto"/>
              <w:right w:val="single" w:sz="4" w:space="0" w:color="auto"/>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t-value</w:t>
            </w:r>
          </w:p>
        </w:tc>
        <w:tc>
          <w:tcPr>
            <w:tcW w:w="730" w:type="dxa"/>
            <w:gridSpan w:val="2"/>
            <w:tcBorders>
              <w:left w:val="single" w:sz="4" w:space="0" w:color="auto"/>
              <w:right w:val="nil"/>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P-value</w:t>
            </w:r>
          </w:p>
        </w:tc>
        <w:tc>
          <w:tcPr>
            <w:tcW w:w="1471" w:type="dxa"/>
            <w:gridSpan w:val="3"/>
            <w:tcBorders>
              <w:left w:val="nil"/>
              <w:bottom w:val="single" w:sz="4" w:space="0" w:color="auto"/>
              <w:right w:val="nil"/>
            </w:tcBorders>
          </w:tcPr>
          <w:p w:rsidR="00A8754A" w:rsidRPr="00EC454F" w:rsidRDefault="00A8754A" w:rsidP="00D87571">
            <w:pPr>
              <w:spacing w:line="360" w:lineRule="auto"/>
              <w:jc w:val="center"/>
              <w:rPr>
                <w:rFonts w:cstheme="minorHAnsi"/>
                <w:b/>
                <w:bCs/>
                <w:sz w:val="18"/>
                <w:szCs w:val="18"/>
              </w:rPr>
            </w:pPr>
            <w:r w:rsidRPr="00EC454F">
              <w:rPr>
                <w:rFonts w:cstheme="minorHAnsi"/>
                <w:b/>
                <w:bCs/>
                <w:sz w:val="18"/>
                <w:szCs w:val="18"/>
              </w:rPr>
              <w:t>Percentile bootstrap</w:t>
            </w:r>
          </w:p>
        </w:tc>
        <w:tc>
          <w:tcPr>
            <w:tcW w:w="1133" w:type="dxa"/>
            <w:tcBorders>
              <w:left w:val="nil"/>
            </w:tcBorders>
          </w:tcPr>
          <w:p w:rsidR="00A8754A" w:rsidRPr="00B91BDE" w:rsidRDefault="00A8754A" w:rsidP="00D87571">
            <w:pPr>
              <w:rPr>
                <w:b/>
                <w:bCs/>
              </w:rPr>
            </w:pPr>
            <w:r>
              <w:rPr>
                <w:b/>
                <w:bCs/>
                <w:sz w:val="18"/>
                <w:szCs w:val="18"/>
              </w:rPr>
              <w:t xml:space="preserve">Decision (Mediation type) </w:t>
            </w:r>
          </w:p>
        </w:tc>
      </w:tr>
      <w:tr w:rsidR="00A8754A" w:rsidRPr="009D7EB2" w:rsidTr="00D87571">
        <w:trPr>
          <w:trHeight w:val="173"/>
        </w:trPr>
        <w:tc>
          <w:tcPr>
            <w:tcW w:w="8704" w:type="dxa"/>
            <w:gridSpan w:val="10"/>
            <w:tcBorders>
              <w:left w:val="nil"/>
              <w:bottom w:val="single" w:sz="4" w:space="0" w:color="auto"/>
              <w:right w:val="single" w:sz="4" w:space="0" w:color="auto"/>
            </w:tcBorders>
          </w:tcPr>
          <w:p w:rsidR="00A8754A" w:rsidRPr="009D7EB2" w:rsidRDefault="00A8754A" w:rsidP="00D87571">
            <w:pPr>
              <w:spacing w:line="360" w:lineRule="auto"/>
              <w:jc w:val="center"/>
              <w:rPr>
                <w:rFonts w:cstheme="minorHAnsi"/>
                <w:b/>
                <w:bCs/>
                <w:sz w:val="20"/>
                <w:szCs w:val="20"/>
              </w:rPr>
            </w:pPr>
          </w:p>
        </w:tc>
        <w:tc>
          <w:tcPr>
            <w:tcW w:w="722" w:type="dxa"/>
            <w:gridSpan w:val="2"/>
            <w:tcBorders>
              <w:top w:val="single" w:sz="4" w:space="0" w:color="auto"/>
              <w:left w:val="single" w:sz="4" w:space="0" w:color="auto"/>
              <w:bottom w:val="single" w:sz="4" w:space="0" w:color="auto"/>
              <w:right w:val="nil"/>
            </w:tcBorders>
            <w:vAlign w:val="bottom"/>
          </w:tcPr>
          <w:p w:rsidR="00A8754A" w:rsidRPr="00EC454F" w:rsidRDefault="00A8754A" w:rsidP="00D87571">
            <w:pPr>
              <w:spacing w:line="360" w:lineRule="auto"/>
              <w:jc w:val="right"/>
              <w:rPr>
                <w:rFonts w:cstheme="minorHAnsi"/>
                <w:b/>
                <w:bCs/>
                <w:sz w:val="18"/>
                <w:szCs w:val="18"/>
              </w:rPr>
            </w:pPr>
            <w:r w:rsidRPr="00EC454F">
              <w:rPr>
                <w:rFonts w:cstheme="minorHAnsi"/>
                <w:b/>
                <w:bCs/>
                <w:sz w:val="18"/>
                <w:szCs w:val="18"/>
              </w:rPr>
              <w:t>Lower</w:t>
            </w:r>
          </w:p>
        </w:tc>
        <w:tc>
          <w:tcPr>
            <w:tcW w:w="781" w:type="dxa"/>
            <w:gridSpan w:val="2"/>
            <w:tcBorders>
              <w:top w:val="nil"/>
              <w:left w:val="nil"/>
              <w:bottom w:val="single" w:sz="4" w:space="0" w:color="auto"/>
              <w:right w:val="nil"/>
            </w:tcBorders>
            <w:vAlign w:val="bottom"/>
          </w:tcPr>
          <w:p w:rsidR="00A8754A" w:rsidRPr="00EC454F" w:rsidRDefault="00A8754A" w:rsidP="00D87571">
            <w:pPr>
              <w:spacing w:line="360" w:lineRule="auto"/>
              <w:jc w:val="right"/>
              <w:rPr>
                <w:rFonts w:cstheme="minorHAnsi"/>
                <w:b/>
                <w:bCs/>
                <w:sz w:val="18"/>
                <w:szCs w:val="18"/>
              </w:rPr>
            </w:pPr>
            <w:r w:rsidRPr="00EC454F">
              <w:rPr>
                <w:rFonts w:cstheme="minorHAnsi"/>
                <w:b/>
                <w:bCs/>
                <w:sz w:val="18"/>
                <w:szCs w:val="18"/>
              </w:rPr>
              <w:t>Upper</w:t>
            </w:r>
          </w:p>
        </w:tc>
        <w:tc>
          <w:tcPr>
            <w:tcW w:w="1133" w:type="dxa"/>
            <w:tcBorders>
              <w:left w:val="nil"/>
            </w:tcBorders>
          </w:tcPr>
          <w:p w:rsidR="00A8754A" w:rsidRPr="009D7EB2" w:rsidRDefault="00A8754A" w:rsidP="00D87571"/>
        </w:tc>
      </w:tr>
      <w:tr w:rsidR="00A8754A" w:rsidRPr="009D7EB2" w:rsidTr="00D87571">
        <w:trPr>
          <w:trHeight w:val="317"/>
        </w:trPr>
        <w:tc>
          <w:tcPr>
            <w:tcW w:w="787" w:type="dxa"/>
            <w:tcBorders>
              <w:left w:val="nil"/>
              <w:right w:val="nil"/>
            </w:tcBorders>
          </w:tcPr>
          <w:p w:rsidR="00A8754A" w:rsidRPr="009D7EB2" w:rsidRDefault="00A8754A" w:rsidP="00D87571">
            <w:pPr>
              <w:spacing w:line="360" w:lineRule="auto"/>
              <w:jc w:val="both"/>
              <w:rPr>
                <w:rFonts w:cstheme="minorHAnsi"/>
                <w:sz w:val="20"/>
                <w:szCs w:val="20"/>
              </w:rPr>
            </w:pPr>
            <w:r w:rsidRPr="009D7EB2">
              <w:rPr>
                <w:rFonts w:cstheme="minorHAnsi"/>
                <w:sz w:val="20"/>
                <w:szCs w:val="20"/>
              </w:rPr>
              <w:t>0.</w:t>
            </w:r>
            <w:r>
              <w:rPr>
                <w:rFonts w:cstheme="minorHAnsi"/>
                <w:sz w:val="20"/>
                <w:szCs w:val="20"/>
              </w:rPr>
              <w:t>653</w:t>
            </w:r>
          </w:p>
        </w:tc>
        <w:tc>
          <w:tcPr>
            <w:tcW w:w="864" w:type="dxa"/>
            <w:tcBorders>
              <w:left w:val="nil"/>
              <w:right w:val="nil"/>
            </w:tcBorders>
          </w:tcPr>
          <w:p w:rsidR="00A8754A" w:rsidRPr="00EC454F" w:rsidRDefault="00A8754A" w:rsidP="00D87571">
            <w:pPr>
              <w:spacing w:line="360" w:lineRule="auto"/>
              <w:jc w:val="both"/>
              <w:rPr>
                <w:rFonts w:cstheme="minorHAnsi"/>
                <w:sz w:val="18"/>
                <w:szCs w:val="18"/>
              </w:rPr>
            </w:pPr>
            <w:r>
              <w:rPr>
                <w:rFonts w:cstheme="minorHAnsi"/>
                <w:sz w:val="20"/>
                <w:szCs w:val="20"/>
              </w:rPr>
              <w:t>23.067</w:t>
            </w:r>
          </w:p>
        </w:tc>
        <w:tc>
          <w:tcPr>
            <w:tcW w:w="722" w:type="dxa"/>
            <w:tcBorders>
              <w:left w:val="nil"/>
              <w:right w:val="single" w:sz="4" w:space="0" w:color="auto"/>
            </w:tcBorders>
          </w:tcPr>
          <w:p w:rsidR="00A8754A" w:rsidRPr="009D7EB2" w:rsidRDefault="00A8754A" w:rsidP="00D87571">
            <w:pPr>
              <w:spacing w:line="360" w:lineRule="auto"/>
              <w:jc w:val="both"/>
              <w:rPr>
                <w:rFonts w:cstheme="minorHAnsi"/>
                <w:sz w:val="20"/>
                <w:szCs w:val="20"/>
              </w:rPr>
            </w:pPr>
            <w:r w:rsidRPr="009D7EB2">
              <w:rPr>
                <w:rFonts w:cstheme="minorHAnsi"/>
                <w:sz w:val="20"/>
                <w:szCs w:val="20"/>
              </w:rPr>
              <w:t>0.000</w:t>
            </w:r>
          </w:p>
        </w:tc>
        <w:tc>
          <w:tcPr>
            <w:tcW w:w="865" w:type="dxa"/>
            <w:tcBorders>
              <w:left w:val="single" w:sz="4" w:space="0" w:color="auto"/>
              <w:right w:val="nil"/>
            </w:tcBorders>
          </w:tcPr>
          <w:p w:rsidR="00A8754A" w:rsidRPr="009D7EB2" w:rsidRDefault="00A8754A" w:rsidP="00D87571">
            <w:pPr>
              <w:spacing w:line="360" w:lineRule="auto"/>
              <w:jc w:val="both"/>
              <w:rPr>
                <w:rFonts w:cstheme="minorHAnsi"/>
                <w:sz w:val="20"/>
                <w:szCs w:val="20"/>
              </w:rPr>
            </w:pPr>
            <w:r w:rsidRPr="009D7EB2">
              <w:rPr>
                <w:rFonts w:cstheme="minorHAnsi"/>
                <w:sz w:val="20"/>
                <w:szCs w:val="20"/>
              </w:rPr>
              <w:t>0.</w:t>
            </w:r>
            <w:r>
              <w:rPr>
                <w:rFonts w:cstheme="minorHAnsi"/>
                <w:sz w:val="20"/>
                <w:szCs w:val="20"/>
              </w:rPr>
              <w:t>380</w:t>
            </w:r>
          </w:p>
        </w:tc>
        <w:tc>
          <w:tcPr>
            <w:tcW w:w="722" w:type="dxa"/>
            <w:tcBorders>
              <w:left w:val="nil"/>
              <w:right w:val="nil"/>
            </w:tcBorders>
          </w:tcPr>
          <w:p w:rsidR="00A8754A" w:rsidRPr="00B318B8" w:rsidRDefault="00A8754A" w:rsidP="00D87571">
            <w:pPr>
              <w:spacing w:line="360" w:lineRule="auto"/>
              <w:jc w:val="both"/>
              <w:rPr>
                <w:rFonts w:cstheme="minorHAnsi"/>
                <w:sz w:val="20"/>
                <w:szCs w:val="20"/>
              </w:rPr>
            </w:pPr>
            <w:r>
              <w:rPr>
                <w:sz w:val="20"/>
                <w:szCs w:val="20"/>
              </w:rPr>
              <w:t>9</w:t>
            </w:r>
            <w:r w:rsidRPr="00B318B8">
              <w:rPr>
                <w:sz w:val="20"/>
                <w:szCs w:val="20"/>
              </w:rPr>
              <w:t>.</w:t>
            </w:r>
            <w:r>
              <w:rPr>
                <w:sz w:val="20"/>
                <w:szCs w:val="20"/>
              </w:rPr>
              <w:t>3</w:t>
            </w:r>
            <w:r w:rsidRPr="00B318B8">
              <w:rPr>
                <w:sz w:val="20"/>
                <w:szCs w:val="20"/>
              </w:rPr>
              <w:t>1</w:t>
            </w:r>
            <w:r>
              <w:rPr>
                <w:sz w:val="20"/>
                <w:szCs w:val="20"/>
              </w:rPr>
              <w:t>9</w:t>
            </w:r>
          </w:p>
        </w:tc>
        <w:tc>
          <w:tcPr>
            <w:tcW w:w="728" w:type="dxa"/>
            <w:tcBorders>
              <w:left w:val="nil"/>
              <w:right w:val="single" w:sz="4" w:space="0" w:color="auto"/>
            </w:tcBorders>
          </w:tcPr>
          <w:p w:rsidR="00A8754A" w:rsidRPr="00B318B8" w:rsidRDefault="00A8754A" w:rsidP="00D87571">
            <w:pPr>
              <w:spacing w:line="360" w:lineRule="auto"/>
              <w:jc w:val="both"/>
              <w:rPr>
                <w:rFonts w:cstheme="minorHAnsi"/>
                <w:sz w:val="20"/>
                <w:szCs w:val="20"/>
              </w:rPr>
            </w:pPr>
            <w:r w:rsidRPr="00B318B8">
              <w:rPr>
                <w:sz w:val="20"/>
                <w:szCs w:val="20"/>
              </w:rPr>
              <w:t>0.00</w:t>
            </w:r>
            <w:r>
              <w:rPr>
                <w:sz w:val="20"/>
                <w:szCs w:val="20"/>
              </w:rPr>
              <w:t>0</w:t>
            </w:r>
          </w:p>
        </w:tc>
        <w:tc>
          <w:tcPr>
            <w:tcW w:w="1875" w:type="dxa"/>
            <w:tcBorders>
              <w:left w:val="single" w:sz="4" w:space="0" w:color="auto"/>
              <w:right w:val="nil"/>
            </w:tcBorders>
          </w:tcPr>
          <w:p w:rsidR="00A8754A" w:rsidRPr="006F7249" w:rsidRDefault="00A8754A" w:rsidP="00D87571">
            <w:pPr>
              <w:spacing w:line="360" w:lineRule="auto"/>
              <w:jc w:val="both"/>
              <w:rPr>
                <w:rFonts w:cstheme="minorHAnsi"/>
                <w:sz w:val="18"/>
                <w:szCs w:val="18"/>
              </w:rPr>
            </w:pPr>
            <w:r w:rsidRPr="006F7249">
              <w:rPr>
                <w:rFonts w:cstheme="minorHAnsi"/>
                <w:sz w:val="18"/>
                <w:szCs w:val="18"/>
              </w:rPr>
              <w:t>H</w:t>
            </w:r>
            <w:r>
              <w:rPr>
                <w:rFonts w:cstheme="minorHAnsi"/>
                <w:sz w:val="18"/>
                <w:szCs w:val="18"/>
                <w:vertAlign w:val="subscript"/>
              </w:rPr>
              <w:t>4</w:t>
            </w:r>
            <w:r w:rsidRPr="006F7249">
              <w:rPr>
                <w:rFonts w:cstheme="minorHAnsi"/>
                <w:sz w:val="18"/>
                <w:szCs w:val="18"/>
              </w:rPr>
              <w:t>:</w:t>
            </w:r>
            <w:r>
              <w:rPr>
                <w:rFonts w:cstheme="minorHAnsi"/>
                <w:sz w:val="18"/>
                <w:szCs w:val="18"/>
              </w:rPr>
              <w:t xml:space="preserve"> GHRM</w:t>
            </w:r>
            <w:r w:rsidRPr="006F7249">
              <w:rPr>
                <w:rFonts w:cstheme="minorHAnsi"/>
                <w:sz w:val="18"/>
                <w:szCs w:val="18"/>
              </w:rPr>
              <w:t>-&gt;</w:t>
            </w:r>
            <w:r>
              <w:rPr>
                <w:rFonts w:cstheme="minorHAnsi"/>
                <w:sz w:val="18"/>
                <w:szCs w:val="18"/>
              </w:rPr>
              <w:t>GOCB</w:t>
            </w:r>
            <w:r w:rsidRPr="006F7249">
              <w:rPr>
                <w:rFonts w:cstheme="minorHAnsi"/>
                <w:sz w:val="18"/>
                <w:szCs w:val="18"/>
              </w:rPr>
              <w:t>-&gt;</w:t>
            </w:r>
            <w:r>
              <w:rPr>
                <w:rFonts w:cstheme="minorHAnsi"/>
                <w:sz w:val="18"/>
                <w:szCs w:val="18"/>
              </w:rPr>
              <w:t>ESG</w:t>
            </w:r>
          </w:p>
        </w:tc>
        <w:tc>
          <w:tcPr>
            <w:tcW w:w="722" w:type="dxa"/>
            <w:tcBorders>
              <w:top w:val="nil"/>
              <w:left w:val="nil"/>
              <w:bottom w:val="single" w:sz="4" w:space="0" w:color="auto"/>
              <w:right w:val="nil"/>
            </w:tcBorders>
          </w:tcPr>
          <w:p w:rsidR="00A8754A" w:rsidRPr="00211C11" w:rsidRDefault="00A8754A" w:rsidP="00D87571">
            <w:pPr>
              <w:spacing w:line="360" w:lineRule="auto"/>
              <w:jc w:val="both"/>
              <w:rPr>
                <w:rFonts w:cstheme="minorHAnsi"/>
                <w:sz w:val="20"/>
                <w:szCs w:val="20"/>
              </w:rPr>
            </w:pPr>
            <w:r w:rsidRPr="00211C11">
              <w:rPr>
                <w:sz w:val="20"/>
                <w:szCs w:val="20"/>
              </w:rPr>
              <w:t>0.</w:t>
            </w:r>
            <w:r>
              <w:rPr>
                <w:sz w:val="20"/>
                <w:szCs w:val="20"/>
              </w:rPr>
              <w:t>273</w:t>
            </w:r>
          </w:p>
        </w:tc>
        <w:tc>
          <w:tcPr>
            <w:tcW w:w="721" w:type="dxa"/>
            <w:tcBorders>
              <w:top w:val="nil"/>
              <w:left w:val="nil"/>
              <w:bottom w:val="single" w:sz="4" w:space="0" w:color="auto"/>
              <w:right w:val="nil"/>
            </w:tcBorders>
          </w:tcPr>
          <w:p w:rsidR="00A8754A" w:rsidRPr="00211C11" w:rsidRDefault="00A8754A" w:rsidP="00D87571">
            <w:pPr>
              <w:spacing w:line="360" w:lineRule="auto"/>
              <w:jc w:val="both"/>
              <w:rPr>
                <w:rFonts w:cstheme="minorHAnsi"/>
                <w:sz w:val="20"/>
                <w:szCs w:val="20"/>
              </w:rPr>
            </w:pPr>
            <w:r>
              <w:rPr>
                <w:sz w:val="20"/>
                <w:szCs w:val="20"/>
              </w:rPr>
              <w:t>9.292</w:t>
            </w:r>
          </w:p>
        </w:tc>
        <w:tc>
          <w:tcPr>
            <w:tcW w:w="730" w:type="dxa"/>
            <w:gridSpan w:val="2"/>
            <w:tcBorders>
              <w:top w:val="nil"/>
              <w:left w:val="nil"/>
              <w:bottom w:val="single" w:sz="4" w:space="0" w:color="auto"/>
              <w:right w:val="nil"/>
            </w:tcBorders>
          </w:tcPr>
          <w:p w:rsidR="00A8754A" w:rsidRPr="00211C11" w:rsidRDefault="00A8754A" w:rsidP="00D87571">
            <w:pPr>
              <w:spacing w:line="360" w:lineRule="auto"/>
              <w:jc w:val="both"/>
              <w:rPr>
                <w:rFonts w:cstheme="minorHAnsi"/>
                <w:sz w:val="20"/>
                <w:szCs w:val="20"/>
              </w:rPr>
            </w:pPr>
            <w:r w:rsidRPr="00211C11">
              <w:rPr>
                <w:sz w:val="20"/>
                <w:szCs w:val="20"/>
              </w:rPr>
              <w:t>0</w:t>
            </w:r>
            <w:r>
              <w:rPr>
                <w:sz w:val="20"/>
                <w:szCs w:val="20"/>
              </w:rPr>
              <w:t>.001</w:t>
            </w:r>
          </w:p>
        </w:tc>
        <w:tc>
          <w:tcPr>
            <w:tcW w:w="722" w:type="dxa"/>
            <w:gridSpan w:val="2"/>
            <w:tcBorders>
              <w:left w:val="nil"/>
              <w:right w:val="nil"/>
            </w:tcBorders>
          </w:tcPr>
          <w:p w:rsidR="00A8754A" w:rsidRPr="00EA464F" w:rsidRDefault="00A8754A" w:rsidP="00D87571">
            <w:pPr>
              <w:spacing w:line="360" w:lineRule="auto"/>
              <w:jc w:val="both"/>
              <w:rPr>
                <w:rFonts w:cstheme="minorHAnsi"/>
                <w:sz w:val="20"/>
                <w:szCs w:val="20"/>
              </w:rPr>
            </w:pPr>
            <w:r w:rsidRPr="00EA464F">
              <w:rPr>
                <w:sz w:val="20"/>
                <w:szCs w:val="20"/>
              </w:rPr>
              <w:t>0.</w:t>
            </w:r>
            <w:r>
              <w:rPr>
                <w:sz w:val="20"/>
                <w:szCs w:val="20"/>
              </w:rPr>
              <w:t>22</w:t>
            </w:r>
            <w:r w:rsidRPr="00EA464F">
              <w:rPr>
                <w:sz w:val="20"/>
                <w:szCs w:val="20"/>
              </w:rPr>
              <w:t>7</w:t>
            </w:r>
          </w:p>
        </w:tc>
        <w:tc>
          <w:tcPr>
            <w:tcW w:w="749" w:type="dxa"/>
            <w:tcBorders>
              <w:left w:val="nil"/>
              <w:right w:val="nil"/>
            </w:tcBorders>
          </w:tcPr>
          <w:p w:rsidR="00A8754A" w:rsidRPr="00EA464F" w:rsidRDefault="00A8754A" w:rsidP="00D87571">
            <w:pPr>
              <w:spacing w:line="360" w:lineRule="auto"/>
              <w:jc w:val="both"/>
              <w:rPr>
                <w:rFonts w:cstheme="minorHAnsi"/>
                <w:sz w:val="20"/>
                <w:szCs w:val="20"/>
              </w:rPr>
            </w:pPr>
            <w:r w:rsidRPr="00EA464F">
              <w:rPr>
                <w:sz w:val="20"/>
                <w:szCs w:val="20"/>
              </w:rPr>
              <w:t>0.3</w:t>
            </w:r>
            <w:r>
              <w:rPr>
                <w:sz w:val="20"/>
                <w:szCs w:val="20"/>
              </w:rPr>
              <w:t>2</w:t>
            </w:r>
            <w:r w:rsidRPr="00EA464F">
              <w:rPr>
                <w:sz w:val="20"/>
                <w:szCs w:val="20"/>
              </w:rPr>
              <w:t>4</w:t>
            </w:r>
          </w:p>
        </w:tc>
        <w:tc>
          <w:tcPr>
            <w:tcW w:w="1133" w:type="dxa"/>
            <w:tcBorders>
              <w:left w:val="nil"/>
            </w:tcBorders>
          </w:tcPr>
          <w:p w:rsidR="00A8754A" w:rsidRPr="00C92C64" w:rsidRDefault="00A8754A" w:rsidP="00D87571">
            <w:pPr>
              <w:rPr>
                <w:sz w:val="18"/>
                <w:szCs w:val="18"/>
              </w:rPr>
            </w:pPr>
            <w:r w:rsidRPr="00C92C64">
              <w:rPr>
                <w:sz w:val="18"/>
                <w:szCs w:val="18"/>
              </w:rPr>
              <w:t xml:space="preserve">Partial </w:t>
            </w:r>
          </w:p>
        </w:tc>
      </w:tr>
    </w:tbl>
    <w:p w:rsidR="00A8754A" w:rsidRDefault="00A8754A" w:rsidP="00A8754A">
      <w:pPr>
        <w:spacing w:after="0" w:line="360" w:lineRule="auto"/>
        <w:jc w:val="both"/>
        <w:rPr>
          <w:rFonts w:ascii="Times New Roman" w:hAnsi="Times New Roman" w:cs="Times New Roman"/>
          <w:sz w:val="24"/>
          <w:szCs w:val="24"/>
        </w:rPr>
      </w:pPr>
      <w:r w:rsidRPr="00C35DF6">
        <w:rPr>
          <w:rFonts w:ascii="Times New Roman" w:hAnsi="Times New Roman" w:cs="Times New Roman"/>
          <w:sz w:val="20"/>
          <w:szCs w:val="20"/>
        </w:rPr>
        <w:t>Source: Compiled by authors</w:t>
      </w:r>
    </w:p>
    <w:p w:rsidR="00A8754A" w:rsidRPr="008C7048" w:rsidRDefault="00A8754A" w:rsidP="00A8754A">
      <w:pPr>
        <w:spacing w:after="0" w:line="360" w:lineRule="auto"/>
        <w:jc w:val="both"/>
        <w:rPr>
          <w:rFonts w:ascii="Times New Roman" w:hAnsi="Times New Roman" w:cs="Times New Roman"/>
          <w:sz w:val="24"/>
          <w:szCs w:val="24"/>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rPr>
          <w:rFonts w:ascii="Times New Roman" w:hAnsi="Times New Roman" w:cs="Times New Roman"/>
          <w:b/>
          <w:sz w:val="24"/>
          <w:lang w:val="en-US"/>
        </w:rPr>
      </w:pPr>
    </w:p>
    <w:p w:rsidR="00A8754A" w:rsidRDefault="00A8754A" w:rsidP="00A87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IX. Moderated Mediation</w:t>
      </w:r>
    </w:p>
    <w:tbl>
      <w:tblPr>
        <w:tblStyle w:val="TableGrid"/>
        <w:tblW w:w="10933" w:type="dxa"/>
        <w:tblInd w:w="-11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1469"/>
        <w:gridCol w:w="1595"/>
        <w:gridCol w:w="1640"/>
        <w:gridCol w:w="944"/>
      </w:tblGrid>
      <w:tr w:rsidR="00A8754A" w:rsidRPr="00861D4D" w:rsidTr="00D87571">
        <w:trPr>
          <w:trHeight w:val="505"/>
        </w:trPr>
        <w:tc>
          <w:tcPr>
            <w:tcW w:w="0" w:type="auto"/>
            <w:tcBorders>
              <w:top w:val="single" w:sz="4" w:space="0" w:color="auto"/>
              <w:bottom w:val="single" w:sz="4" w:space="0" w:color="auto"/>
            </w:tcBorders>
            <w:shd w:val="clear" w:color="auto" w:fill="D9D9D9" w:themeFill="background1" w:themeFillShade="D9"/>
            <w:vAlign w:val="center"/>
          </w:tcPr>
          <w:p w:rsidR="00A8754A" w:rsidRPr="000E477F" w:rsidRDefault="00A8754A" w:rsidP="00D87571">
            <w:pPr>
              <w:jc w:val="center"/>
              <w:rPr>
                <w:rFonts w:ascii="Times New Roman" w:hAnsi="Times New Roman" w:cs="Times New Roman"/>
                <w:b/>
                <w:bCs/>
                <w:lang w:val="en-US"/>
              </w:rPr>
            </w:pPr>
            <w:r w:rsidRPr="000E477F">
              <w:rPr>
                <w:rFonts w:ascii="Times New Roman" w:hAnsi="Times New Roman" w:cs="Times New Roman"/>
                <w:b/>
                <w:bCs/>
                <w:lang w:val="en-US"/>
              </w:rPr>
              <w:t>Moderated Indirect Relationship</w:t>
            </w:r>
          </w:p>
        </w:tc>
        <w:tc>
          <w:tcPr>
            <w:tcW w:w="0" w:type="auto"/>
            <w:tcBorders>
              <w:top w:val="single" w:sz="4" w:space="0" w:color="auto"/>
              <w:bottom w:val="single" w:sz="4" w:space="0" w:color="auto"/>
            </w:tcBorders>
            <w:shd w:val="clear" w:color="auto" w:fill="D9D9D9" w:themeFill="background1" w:themeFillShade="D9"/>
            <w:vAlign w:val="center"/>
          </w:tcPr>
          <w:p w:rsidR="00A8754A" w:rsidRPr="000E477F" w:rsidRDefault="00A8754A" w:rsidP="00D87571">
            <w:pPr>
              <w:jc w:val="center"/>
              <w:rPr>
                <w:rFonts w:ascii="Times New Roman" w:hAnsi="Times New Roman" w:cs="Times New Roman"/>
                <w:b/>
                <w:bCs/>
                <w:lang w:val="en-US"/>
              </w:rPr>
            </w:pPr>
            <w:r w:rsidRPr="000E477F">
              <w:rPr>
                <w:rFonts w:ascii="Times New Roman" w:hAnsi="Times New Roman" w:cs="Times New Roman"/>
                <w:b/>
                <w:bCs/>
                <w:lang w:val="en-US"/>
              </w:rPr>
              <w:t>Direct Effect</w:t>
            </w:r>
          </w:p>
        </w:tc>
        <w:tc>
          <w:tcPr>
            <w:tcW w:w="0" w:type="auto"/>
            <w:tcBorders>
              <w:top w:val="single" w:sz="4" w:space="0" w:color="auto"/>
              <w:bottom w:val="single" w:sz="4" w:space="0" w:color="auto"/>
            </w:tcBorders>
            <w:shd w:val="clear" w:color="auto" w:fill="D9D9D9" w:themeFill="background1" w:themeFillShade="D9"/>
            <w:vAlign w:val="center"/>
          </w:tcPr>
          <w:p w:rsidR="00A8754A" w:rsidRPr="000E477F" w:rsidRDefault="00A8754A" w:rsidP="00D87571">
            <w:pPr>
              <w:jc w:val="center"/>
              <w:rPr>
                <w:rFonts w:ascii="Times New Roman" w:hAnsi="Times New Roman" w:cs="Times New Roman"/>
                <w:b/>
                <w:bCs/>
                <w:lang w:val="en-US"/>
              </w:rPr>
            </w:pPr>
            <w:r w:rsidRPr="000E477F">
              <w:rPr>
                <w:rFonts w:ascii="Times New Roman" w:hAnsi="Times New Roman" w:cs="Times New Roman"/>
                <w:b/>
                <w:bCs/>
                <w:lang w:val="en-US"/>
              </w:rPr>
              <w:t>Indirect effect</w:t>
            </w:r>
          </w:p>
        </w:tc>
        <w:tc>
          <w:tcPr>
            <w:tcW w:w="0" w:type="auto"/>
            <w:tcBorders>
              <w:top w:val="single" w:sz="4" w:space="0" w:color="auto"/>
              <w:bottom w:val="single" w:sz="4" w:space="0" w:color="auto"/>
            </w:tcBorders>
            <w:shd w:val="clear" w:color="auto" w:fill="D9D9D9" w:themeFill="background1" w:themeFillShade="D9"/>
            <w:vAlign w:val="center"/>
          </w:tcPr>
          <w:p w:rsidR="00A8754A" w:rsidRPr="000E477F" w:rsidRDefault="00A8754A" w:rsidP="00D87571">
            <w:pPr>
              <w:jc w:val="center"/>
              <w:rPr>
                <w:rFonts w:ascii="Times New Roman" w:hAnsi="Times New Roman" w:cs="Times New Roman"/>
                <w:b/>
                <w:bCs/>
                <w:lang w:val="en-US"/>
              </w:rPr>
            </w:pPr>
            <w:r w:rsidRPr="000E477F">
              <w:rPr>
                <w:rFonts w:ascii="Times New Roman" w:hAnsi="Times New Roman" w:cs="Times New Roman"/>
                <w:b/>
                <w:bCs/>
                <w:lang w:val="en-US"/>
              </w:rPr>
              <w:t>CI: Low /High</w:t>
            </w:r>
          </w:p>
        </w:tc>
        <w:tc>
          <w:tcPr>
            <w:tcW w:w="0" w:type="auto"/>
            <w:tcBorders>
              <w:top w:val="single" w:sz="4" w:space="0" w:color="auto"/>
              <w:bottom w:val="single" w:sz="4" w:space="0" w:color="auto"/>
            </w:tcBorders>
            <w:shd w:val="clear" w:color="auto" w:fill="D9D9D9" w:themeFill="background1" w:themeFillShade="D9"/>
            <w:vAlign w:val="center"/>
          </w:tcPr>
          <w:p w:rsidR="00A8754A" w:rsidRPr="000E477F" w:rsidRDefault="00A8754A" w:rsidP="00D87571">
            <w:pPr>
              <w:jc w:val="center"/>
              <w:rPr>
                <w:rFonts w:ascii="Times New Roman" w:hAnsi="Times New Roman" w:cs="Times New Roman"/>
                <w:b/>
                <w:bCs/>
                <w:lang w:val="en-US"/>
              </w:rPr>
            </w:pPr>
            <w:r w:rsidRPr="000E477F">
              <w:rPr>
                <w:rFonts w:ascii="Times New Roman" w:hAnsi="Times New Roman" w:cs="Times New Roman"/>
                <w:b/>
                <w:bCs/>
                <w:lang w:val="en-US"/>
              </w:rPr>
              <w:t>p-value</w:t>
            </w:r>
          </w:p>
        </w:tc>
      </w:tr>
      <w:tr w:rsidR="00A8754A" w:rsidRPr="00861D4D" w:rsidTr="00D87571">
        <w:trPr>
          <w:trHeight w:val="505"/>
        </w:trPr>
        <w:tc>
          <w:tcPr>
            <w:tcW w:w="0" w:type="auto"/>
            <w:tcBorders>
              <w:top w:val="single" w:sz="4" w:space="0" w:color="auto"/>
            </w:tcBorders>
          </w:tcPr>
          <w:p w:rsidR="00A8754A" w:rsidRPr="00861D4D" w:rsidRDefault="00A8754A" w:rsidP="00D87571">
            <w:pPr>
              <w:rPr>
                <w:rFonts w:ascii="Times New Roman" w:hAnsi="Times New Roman" w:cs="Times New Roman"/>
                <w:lang w:val="en-US"/>
              </w:rPr>
            </w:pPr>
            <w:r w:rsidRPr="00861D4D">
              <w:rPr>
                <w:rFonts w:ascii="Times New Roman" w:hAnsi="Times New Roman" w:cs="Times New Roman"/>
                <w:lang w:val="en-US"/>
              </w:rPr>
              <w:t>GHRM</w:t>
            </w:r>
            <w:r w:rsidRPr="00861D4D">
              <w:rPr>
                <w:rFonts w:ascii="Times New Roman" w:hAnsi="Times New Roman" w:cs="Times New Roman"/>
              </w:rPr>
              <w:t>→</w:t>
            </w:r>
            <w:r w:rsidRPr="00861D4D">
              <w:rPr>
                <w:rFonts w:ascii="Times New Roman" w:hAnsi="Times New Roman" w:cs="Times New Roman"/>
                <w:lang w:val="en-US"/>
              </w:rPr>
              <w:t>GOCB</w:t>
            </w:r>
            <w:r w:rsidRPr="00861D4D">
              <w:rPr>
                <w:rFonts w:ascii="Times New Roman" w:hAnsi="Times New Roman" w:cs="Times New Roman"/>
              </w:rPr>
              <w:t>→</w:t>
            </w:r>
            <w:r w:rsidRPr="00861D4D">
              <w:rPr>
                <w:rFonts w:ascii="Times New Roman" w:hAnsi="Times New Roman" w:cs="Times New Roman"/>
                <w:lang w:val="en-US"/>
              </w:rPr>
              <w:t>ESG</w:t>
            </w:r>
          </w:p>
        </w:tc>
        <w:tc>
          <w:tcPr>
            <w:tcW w:w="0" w:type="auto"/>
            <w:tcBorders>
              <w:top w:val="single" w:sz="4" w:space="0" w:color="auto"/>
            </w:tcBorders>
            <w:vAlign w:val="center"/>
          </w:tcPr>
          <w:p w:rsidR="00A8754A" w:rsidRPr="00861D4D" w:rsidRDefault="00A8754A" w:rsidP="00D87571">
            <w:pPr>
              <w:jc w:val="center"/>
              <w:rPr>
                <w:rFonts w:ascii="Times New Roman" w:hAnsi="Times New Roman" w:cs="Times New Roman"/>
                <w:lang w:val="en-US"/>
              </w:rPr>
            </w:pPr>
            <w:r w:rsidRPr="00861D4D">
              <w:rPr>
                <w:rFonts w:ascii="Times New Roman" w:hAnsi="Times New Roman" w:cs="Times New Roman"/>
                <w:lang w:val="en-US"/>
              </w:rPr>
              <w:t>0.</w:t>
            </w:r>
            <w:r>
              <w:rPr>
                <w:rFonts w:ascii="Times New Roman" w:hAnsi="Times New Roman" w:cs="Times New Roman"/>
                <w:lang w:val="en-US"/>
              </w:rPr>
              <w:t>380</w:t>
            </w:r>
          </w:p>
          <w:p w:rsidR="00A8754A" w:rsidRPr="00861D4D" w:rsidRDefault="00A8754A" w:rsidP="00D87571">
            <w:pPr>
              <w:jc w:val="center"/>
              <w:rPr>
                <w:rFonts w:ascii="Times New Roman" w:hAnsi="Times New Roman" w:cs="Times New Roman"/>
                <w:lang w:val="en-US"/>
              </w:rPr>
            </w:pPr>
            <w:r w:rsidRPr="00861D4D">
              <w:rPr>
                <w:rFonts w:ascii="Times New Roman" w:hAnsi="Times New Roman" w:cs="Times New Roman"/>
                <w:lang w:val="en-US"/>
              </w:rPr>
              <w:t>(</w:t>
            </w:r>
            <w:r>
              <w:rPr>
                <w:rFonts w:ascii="Times New Roman" w:hAnsi="Times New Roman" w:cs="Times New Roman"/>
                <w:lang w:val="en-US"/>
              </w:rPr>
              <w:t>9.319</w:t>
            </w:r>
            <w:r w:rsidRPr="00861D4D">
              <w:rPr>
                <w:rFonts w:ascii="Times New Roman" w:hAnsi="Times New Roman" w:cs="Times New Roman"/>
                <w:lang w:val="en-US"/>
              </w:rPr>
              <w:t>)</w:t>
            </w:r>
          </w:p>
        </w:tc>
        <w:tc>
          <w:tcPr>
            <w:tcW w:w="0" w:type="auto"/>
            <w:tcBorders>
              <w:top w:val="single" w:sz="4" w:space="0" w:color="auto"/>
            </w:tcBorders>
            <w:vAlign w:val="center"/>
          </w:tcPr>
          <w:p w:rsidR="00A8754A" w:rsidRPr="00861D4D" w:rsidRDefault="00A8754A" w:rsidP="00D87571">
            <w:pPr>
              <w:jc w:val="center"/>
              <w:rPr>
                <w:rFonts w:ascii="Times New Roman" w:hAnsi="Times New Roman" w:cs="Times New Roman"/>
                <w:lang w:val="en-US"/>
              </w:rPr>
            </w:pPr>
            <w:r w:rsidRPr="00861D4D">
              <w:rPr>
                <w:rFonts w:ascii="Times New Roman" w:hAnsi="Times New Roman" w:cs="Times New Roman"/>
                <w:lang w:val="en-US"/>
              </w:rPr>
              <w:t>0.273</w:t>
            </w:r>
          </w:p>
          <w:p w:rsidR="00A8754A" w:rsidRPr="00861D4D" w:rsidRDefault="00A8754A" w:rsidP="00D87571">
            <w:pPr>
              <w:jc w:val="center"/>
              <w:rPr>
                <w:rFonts w:ascii="Times New Roman" w:hAnsi="Times New Roman" w:cs="Times New Roman"/>
                <w:lang w:val="en-US"/>
              </w:rPr>
            </w:pPr>
            <w:r w:rsidRPr="00861D4D">
              <w:rPr>
                <w:rFonts w:ascii="Times New Roman" w:hAnsi="Times New Roman" w:cs="Times New Roman"/>
                <w:lang w:val="en-US"/>
              </w:rPr>
              <w:t>(</w:t>
            </w:r>
            <w:r>
              <w:rPr>
                <w:rFonts w:ascii="Times New Roman" w:hAnsi="Times New Roman" w:cs="Times New Roman"/>
                <w:lang w:val="en-US"/>
              </w:rPr>
              <w:t>9.292</w:t>
            </w:r>
            <w:r w:rsidRPr="00861D4D">
              <w:rPr>
                <w:rFonts w:ascii="Times New Roman" w:hAnsi="Times New Roman" w:cs="Times New Roman"/>
                <w:lang w:val="en-US"/>
              </w:rPr>
              <w:t>)</w:t>
            </w:r>
          </w:p>
        </w:tc>
        <w:tc>
          <w:tcPr>
            <w:tcW w:w="0" w:type="auto"/>
            <w:tcBorders>
              <w:top w:val="single" w:sz="4" w:space="0" w:color="auto"/>
            </w:tcBorders>
            <w:vAlign w:val="center"/>
          </w:tcPr>
          <w:p w:rsidR="00A8754A" w:rsidRPr="00861D4D" w:rsidRDefault="00A8754A" w:rsidP="00D87571">
            <w:pPr>
              <w:jc w:val="center"/>
              <w:rPr>
                <w:rFonts w:ascii="Times New Roman" w:hAnsi="Times New Roman" w:cs="Times New Roman"/>
                <w:lang w:val="en-US"/>
              </w:rPr>
            </w:pPr>
            <w:r w:rsidRPr="00861D4D">
              <w:rPr>
                <w:rFonts w:ascii="Times New Roman" w:hAnsi="Times New Roman" w:cs="Times New Roman"/>
                <w:lang w:val="en-US"/>
              </w:rPr>
              <w:t>0.2</w:t>
            </w:r>
            <w:r>
              <w:rPr>
                <w:rFonts w:ascii="Times New Roman" w:hAnsi="Times New Roman" w:cs="Times New Roman"/>
                <w:lang w:val="en-US"/>
              </w:rPr>
              <w:t>27/</w:t>
            </w:r>
            <w:r w:rsidRPr="00861D4D">
              <w:rPr>
                <w:rFonts w:ascii="Times New Roman" w:hAnsi="Times New Roman" w:cs="Times New Roman"/>
                <w:lang w:val="en-US"/>
              </w:rPr>
              <w:t>0.3</w:t>
            </w:r>
            <w:r>
              <w:rPr>
                <w:rFonts w:ascii="Times New Roman" w:hAnsi="Times New Roman" w:cs="Times New Roman"/>
                <w:lang w:val="en-US"/>
              </w:rPr>
              <w:t>24</w:t>
            </w:r>
          </w:p>
        </w:tc>
        <w:tc>
          <w:tcPr>
            <w:tcW w:w="0" w:type="auto"/>
            <w:tcBorders>
              <w:top w:val="single" w:sz="4" w:space="0" w:color="auto"/>
            </w:tcBorders>
            <w:vAlign w:val="center"/>
          </w:tcPr>
          <w:p w:rsidR="00A8754A" w:rsidRPr="00861D4D" w:rsidRDefault="00A8754A" w:rsidP="00D87571">
            <w:pPr>
              <w:jc w:val="center"/>
              <w:rPr>
                <w:rFonts w:ascii="Times New Roman" w:hAnsi="Times New Roman" w:cs="Times New Roman"/>
                <w:lang w:val="en-US"/>
              </w:rPr>
            </w:pPr>
            <w:r w:rsidRPr="00861D4D">
              <w:rPr>
                <w:rFonts w:ascii="Times New Roman" w:hAnsi="Times New Roman" w:cs="Times New Roman"/>
                <w:lang w:val="en-US"/>
              </w:rPr>
              <w:t>0.000</w:t>
            </w:r>
          </w:p>
        </w:tc>
      </w:tr>
      <w:tr w:rsidR="00A8754A" w:rsidRPr="00861D4D" w:rsidTr="00D87571">
        <w:trPr>
          <w:trHeight w:val="252"/>
        </w:trPr>
        <w:tc>
          <w:tcPr>
            <w:tcW w:w="0" w:type="auto"/>
          </w:tcPr>
          <w:p w:rsidR="00A8754A" w:rsidRPr="00861D4D" w:rsidRDefault="00A8754A" w:rsidP="00D87571">
            <w:pPr>
              <w:rPr>
                <w:rFonts w:ascii="Times New Roman" w:hAnsi="Times New Roman" w:cs="Times New Roman"/>
                <w:b/>
                <w:bCs/>
                <w:i/>
                <w:iCs/>
                <w:lang w:val="en-US"/>
              </w:rPr>
            </w:pPr>
            <w:r w:rsidRPr="00861D4D">
              <w:rPr>
                <w:rFonts w:ascii="Times New Roman" w:hAnsi="Times New Roman" w:cs="Times New Roman"/>
                <w:b/>
                <w:bCs/>
                <w:i/>
                <w:iCs/>
                <w:lang w:val="en-US"/>
              </w:rPr>
              <w:t xml:space="preserve">Probing Moderated Indirect Relationship  </w:t>
            </w:r>
          </w:p>
        </w:tc>
        <w:tc>
          <w:tcPr>
            <w:tcW w:w="0" w:type="auto"/>
            <w:vMerge w:val="restart"/>
            <w:vAlign w:val="center"/>
          </w:tcPr>
          <w:p w:rsidR="00A8754A" w:rsidRPr="00861D4D" w:rsidRDefault="00A8754A" w:rsidP="00D87571">
            <w:pPr>
              <w:jc w:val="center"/>
              <w:rPr>
                <w:rFonts w:ascii="Times New Roman" w:hAnsi="Times New Roman" w:cs="Times New Roman"/>
                <w:lang w:val="en-US"/>
              </w:rPr>
            </w:pPr>
          </w:p>
        </w:tc>
        <w:tc>
          <w:tcPr>
            <w:tcW w:w="0" w:type="auto"/>
            <w:gridSpan w:val="3"/>
            <w:vAlign w:val="center"/>
          </w:tcPr>
          <w:p w:rsidR="00A8754A" w:rsidRPr="00861D4D" w:rsidRDefault="00A8754A" w:rsidP="00D87571">
            <w:pPr>
              <w:jc w:val="center"/>
              <w:rPr>
                <w:rFonts w:ascii="Times New Roman" w:hAnsi="Times New Roman" w:cs="Times New Roman"/>
                <w:lang w:val="en-US"/>
              </w:rPr>
            </w:pPr>
          </w:p>
        </w:tc>
      </w:tr>
      <w:tr w:rsidR="00A8754A" w:rsidRPr="00861D4D" w:rsidTr="00D87571">
        <w:trPr>
          <w:trHeight w:val="505"/>
        </w:trPr>
        <w:tc>
          <w:tcPr>
            <w:tcW w:w="0" w:type="auto"/>
          </w:tcPr>
          <w:p w:rsidR="00A8754A" w:rsidRPr="00861D4D" w:rsidRDefault="00A8754A" w:rsidP="00D87571">
            <w:pPr>
              <w:rPr>
                <w:rFonts w:ascii="Times New Roman" w:hAnsi="Times New Roman" w:cs="Times New Roman"/>
                <w:lang w:val="en-US"/>
              </w:rPr>
            </w:pPr>
            <w:r w:rsidRPr="00861D4D">
              <w:rPr>
                <w:rFonts w:ascii="Times New Roman" w:hAnsi="Times New Roman" w:cs="Times New Roman"/>
                <w:lang w:val="en-US"/>
              </w:rPr>
              <w:t xml:space="preserve">Low Level of </w:t>
            </w:r>
            <w:r>
              <w:rPr>
                <w:rFonts w:ascii="Times New Roman" w:hAnsi="Times New Roman" w:cs="Times New Roman"/>
                <w:lang w:val="en-US"/>
              </w:rPr>
              <w:t>Big Data Analytical Capability (BDAC)</w:t>
            </w:r>
          </w:p>
        </w:tc>
        <w:tc>
          <w:tcPr>
            <w:tcW w:w="0" w:type="auto"/>
            <w:vMerge/>
            <w:vAlign w:val="center"/>
          </w:tcPr>
          <w:p w:rsidR="00A8754A" w:rsidRPr="00861D4D" w:rsidRDefault="00A8754A" w:rsidP="00D87571">
            <w:pPr>
              <w:jc w:val="center"/>
              <w:rPr>
                <w:rFonts w:ascii="Times New Roman" w:hAnsi="Times New Roman" w:cs="Times New Roman"/>
                <w:lang w:val="en-US"/>
              </w:rPr>
            </w:pPr>
          </w:p>
        </w:tc>
        <w:tc>
          <w:tcPr>
            <w:tcW w:w="0" w:type="auto"/>
            <w:vAlign w:val="center"/>
          </w:tcPr>
          <w:p w:rsidR="00A8754A" w:rsidRDefault="00A8754A" w:rsidP="00D87571">
            <w:pPr>
              <w:jc w:val="center"/>
              <w:rPr>
                <w:rFonts w:ascii="Times New Roman" w:hAnsi="Times New Roman" w:cs="Times New Roman"/>
                <w:lang w:val="en-US"/>
              </w:rPr>
            </w:pPr>
            <w:r>
              <w:rPr>
                <w:rFonts w:ascii="Times New Roman" w:hAnsi="Times New Roman" w:cs="Times New Roman"/>
                <w:lang w:val="en-US"/>
              </w:rPr>
              <w:t>0.114</w:t>
            </w:r>
          </w:p>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(2.886)</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0.062/0.171</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0.000</w:t>
            </w:r>
          </w:p>
        </w:tc>
      </w:tr>
      <w:tr w:rsidR="00A8754A" w:rsidRPr="00861D4D" w:rsidTr="00D87571">
        <w:trPr>
          <w:trHeight w:val="505"/>
        </w:trPr>
        <w:tc>
          <w:tcPr>
            <w:tcW w:w="0" w:type="auto"/>
          </w:tcPr>
          <w:p w:rsidR="00A8754A" w:rsidRPr="00861D4D" w:rsidRDefault="00A8754A" w:rsidP="00D87571">
            <w:pPr>
              <w:rPr>
                <w:rFonts w:ascii="Times New Roman" w:hAnsi="Times New Roman" w:cs="Times New Roman"/>
                <w:lang w:val="en-US"/>
              </w:rPr>
            </w:pPr>
            <w:r w:rsidRPr="00861D4D">
              <w:rPr>
                <w:rFonts w:ascii="Times New Roman" w:hAnsi="Times New Roman" w:cs="Times New Roman"/>
                <w:lang w:val="en-US"/>
              </w:rPr>
              <w:t xml:space="preserve">High Level of </w:t>
            </w:r>
            <w:r>
              <w:rPr>
                <w:rFonts w:ascii="Times New Roman" w:hAnsi="Times New Roman" w:cs="Times New Roman"/>
                <w:lang w:val="en-US"/>
              </w:rPr>
              <w:t>Big Data Analytical Capability (BDAC)</w:t>
            </w:r>
          </w:p>
        </w:tc>
        <w:tc>
          <w:tcPr>
            <w:tcW w:w="0" w:type="auto"/>
            <w:vMerge/>
            <w:vAlign w:val="center"/>
          </w:tcPr>
          <w:p w:rsidR="00A8754A" w:rsidRPr="00861D4D" w:rsidRDefault="00A8754A" w:rsidP="00D87571">
            <w:pPr>
              <w:jc w:val="center"/>
              <w:rPr>
                <w:rFonts w:ascii="Times New Roman" w:hAnsi="Times New Roman" w:cs="Times New Roman"/>
                <w:lang w:val="en-US"/>
              </w:rPr>
            </w:pPr>
          </w:p>
        </w:tc>
        <w:tc>
          <w:tcPr>
            <w:tcW w:w="0" w:type="auto"/>
            <w:vAlign w:val="center"/>
          </w:tcPr>
          <w:p w:rsidR="00A8754A" w:rsidRDefault="00A8754A" w:rsidP="00D87571">
            <w:pPr>
              <w:jc w:val="center"/>
              <w:rPr>
                <w:rFonts w:ascii="Times New Roman" w:hAnsi="Times New Roman" w:cs="Times New Roman"/>
                <w:lang w:val="en-US"/>
              </w:rPr>
            </w:pPr>
            <w:r>
              <w:rPr>
                <w:rFonts w:ascii="Times New Roman" w:hAnsi="Times New Roman" w:cs="Times New Roman"/>
                <w:lang w:val="en-US"/>
              </w:rPr>
              <w:t>0.432</w:t>
            </w:r>
          </w:p>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(8.552)</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0.359/0.521</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0.000</w:t>
            </w:r>
          </w:p>
        </w:tc>
      </w:tr>
      <w:tr w:rsidR="00A8754A" w:rsidRPr="00861D4D" w:rsidTr="00D87571">
        <w:trPr>
          <w:trHeight w:val="505"/>
        </w:trPr>
        <w:tc>
          <w:tcPr>
            <w:tcW w:w="0" w:type="auto"/>
          </w:tcPr>
          <w:p w:rsidR="00A8754A" w:rsidRPr="00861D4D" w:rsidRDefault="00A8754A" w:rsidP="00D87571">
            <w:pPr>
              <w:rPr>
                <w:rFonts w:ascii="Times New Roman" w:hAnsi="Times New Roman" w:cs="Times New Roman"/>
                <w:lang w:val="en-US"/>
              </w:rPr>
            </w:pPr>
            <w:r w:rsidRPr="00861D4D">
              <w:rPr>
                <w:rFonts w:ascii="Times New Roman" w:hAnsi="Times New Roman" w:cs="Times New Roman"/>
                <w:lang w:val="en-US"/>
              </w:rPr>
              <w:t xml:space="preserve">Mean Level of </w:t>
            </w:r>
            <w:r>
              <w:rPr>
                <w:rFonts w:ascii="Times New Roman" w:hAnsi="Times New Roman" w:cs="Times New Roman"/>
                <w:lang w:val="en-US"/>
              </w:rPr>
              <w:t>Big Data Analytical Capability (BDAC)</w:t>
            </w:r>
          </w:p>
        </w:tc>
        <w:tc>
          <w:tcPr>
            <w:tcW w:w="0" w:type="auto"/>
            <w:vMerge/>
            <w:vAlign w:val="center"/>
          </w:tcPr>
          <w:p w:rsidR="00A8754A" w:rsidRPr="00861D4D" w:rsidRDefault="00A8754A" w:rsidP="00D87571">
            <w:pPr>
              <w:jc w:val="center"/>
              <w:rPr>
                <w:rFonts w:ascii="Times New Roman" w:hAnsi="Times New Roman" w:cs="Times New Roman"/>
                <w:lang w:val="en-US"/>
              </w:rPr>
            </w:pPr>
          </w:p>
        </w:tc>
        <w:tc>
          <w:tcPr>
            <w:tcW w:w="0" w:type="auto"/>
            <w:vAlign w:val="center"/>
          </w:tcPr>
          <w:p w:rsidR="00A8754A" w:rsidRDefault="00A8754A" w:rsidP="00D87571">
            <w:pPr>
              <w:jc w:val="center"/>
              <w:rPr>
                <w:rFonts w:ascii="Times New Roman" w:hAnsi="Times New Roman" w:cs="Times New Roman"/>
                <w:lang w:val="en-US"/>
              </w:rPr>
            </w:pPr>
            <w:r>
              <w:rPr>
                <w:rFonts w:ascii="Times New Roman" w:hAnsi="Times New Roman" w:cs="Times New Roman"/>
                <w:lang w:val="en-US"/>
              </w:rPr>
              <w:t>0.273</w:t>
            </w:r>
          </w:p>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(9.292)</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0.227/0.324</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0.000</w:t>
            </w:r>
          </w:p>
        </w:tc>
      </w:tr>
      <w:tr w:rsidR="00A8754A" w:rsidRPr="00861D4D" w:rsidTr="00D87571">
        <w:trPr>
          <w:trHeight w:val="505"/>
        </w:trPr>
        <w:tc>
          <w:tcPr>
            <w:tcW w:w="0" w:type="auto"/>
          </w:tcPr>
          <w:p w:rsidR="00A8754A" w:rsidRPr="00861D4D" w:rsidRDefault="00A8754A" w:rsidP="00D87571">
            <w:pPr>
              <w:rPr>
                <w:rFonts w:ascii="Times New Roman" w:hAnsi="Times New Roman" w:cs="Times New Roman"/>
                <w:lang w:val="en-US"/>
              </w:rPr>
            </w:pPr>
            <w:r w:rsidRPr="00861D4D">
              <w:rPr>
                <w:rFonts w:ascii="Times New Roman" w:hAnsi="Times New Roman" w:cs="Times New Roman"/>
                <w:lang w:val="en-US"/>
              </w:rPr>
              <w:t xml:space="preserve">Index of Moderated Mediation </w:t>
            </w:r>
          </w:p>
        </w:tc>
        <w:tc>
          <w:tcPr>
            <w:tcW w:w="0" w:type="auto"/>
            <w:vMerge/>
            <w:vAlign w:val="center"/>
          </w:tcPr>
          <w:p w:rsidR="00A8754A" w:rsidRPr="00861D4D" w:rsidRDefault="00A8754A" w:rsidP="00D87571">
            <w:pPr>
              <w:jc w:val="center"/>
              <w:rPr>
                <w:rFonts w:ascii="Times New Roman" w:hAnsi="Times New Roman" w:cs="Times New Roman"/>
                <w:lang w:val="en-US"/>
              </w:rPr>
            </w:pPr>
          </w:p>
        </w:tc>
        <w:tc>
          <w:tcPr>
            <w:tcW w:w="0" w:type="auto"/>
            <w:vAlign w:val="center"/>
          </w:tcPr>
          <w:p w:rsidR="00A8754A" w:rsidRDefault="00A8754A" w:rsidP="00D87571">
            <w:pPr>
              <w:jc w:val="center"/>
              <w:rPr>
                <w:rFonts w:ascii="Times New Roman" w:hAnsi="Times New Roman" w:cs="Times New Roman"/>
                <w:lang w:val="en-US"/>
              </w:rPr>
            </w:pPr>
            <w:r>
              <w:rPr>
                <w:rFonts w:ascii="Times New Roman" w:hAnsi="Times New Roman" w:cs="Times New Roman"/>
                <w:lang w:val="en-US"/>
              </w:rPr>
              <w:t>0.159</w:t>
            </w:r>
          </w:p>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(4.59)</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0.117/0.212</w:t>
            </w:r>
          </w:p>
        </w:tc>
        <w:tc>
          <w:tcPr>
            <w:tcW w:w="0" w:type="auto"/>
            <w:vAlign w:val="center"/>
          </w:tcPr>
          <w:p w:rsidR="00A8754A" w:rsidRPr="00861D4D" w:rsidRDefault="00A8754A" w:rsidP="00D87571">
            <w:pPr>
              <w:jc w:val="center"/>
              <w:rPr>
                <w:rFonts w:ascii="Times New Roman" w:hAnsi="Times New Roman" w:cs="Times New Roman"/>
                <w:lang w:val="en-US"/>
              </w:rPr>
            </w:pPr>
            <w:r>
              <w:rPr>
                <w:rFonts w:ascii="Times New Roman" w:hAnsi="Times New Roman" w:cs="Times New Roman"/>
                <w:lang w:val="en-US"/>
              </w:rPr>
              <w:t>0.000</w:t>
            </w:r>
          </w:p>
        </w:tc>
      </w:tr>
    </w:tbl>
    <w:p w:rsidR="00A8754A" w:rsidRPr="008C7048" w:rsidRDefault="00A8754A" w:rsidP="00A8754A">
      <w:pPr>
        <w:spacing w:after="0" w:line="360" w:lineRule="auto"/>
        <w:jc w:val="both"/>
        <w:rPr>
          <w:rFonts w:ascii="Times New Roman" w:hAnsi="Times New Roman" w:cs="Times New Roman"/>
          <w:sz w:val="24"/>
          <w:szCs w:val="24"/>
        </w:rPr>
      </w:pPr>
      <w:r w:rsidRPr="00C35DF6">
        <w:rPr>
          <w:rFonts w:ascii="Times New Roman" w:hAnsi="Times New Roman" w:cs="Times New Roman"/>
          <w:sz w:val="20"/>
          <w:szCs w:val="20"/>
        </w:rPr>
        <w:t>Source: Compiled by authors</w:t>
      </w:r>
    </w:p>
    <w:p w:rsidR="00A8754A" w:rsidRDefault="00A8754A" w:rsidP="00A8754A">
      <w:pPr>
        <w:spacing w:line="360" w:lineRule="auto"/>
        <w:jc w:val="both"/>
        <w:rPr>
          <w:rFonts w:ascii="Times New Roman" w:hAnsi="Times New Roman" w:cs="Times New Roman"/>
          <w:sz w:val="24"/>
          <w:szCs w:val="24"/>
        </w:rPr>
      </w:pPr>
    </w:p>
    <w:p w:rsidR="00A8754A" w:rsidRPr="00A8754A" w:rsidRDefault="00A8754A" w:rsidP="00A8754A">
      <w:pPr>
        <w:rPr>
          <w:rFonts w:ascii="Times New Roman" w:hAnsi="Times New Roman" w:cs="Times New Roman"/>
          <w:b/>
          <w:sz w:val="24"/>
          <w:lang w:val="en-US"/>
        </w:rPr>
      </w:pPr>
      <w:bookmarkStart w:id="0" w:name="_GoBack"/>
      <w:bookmarkEnd w:id="0"/>
    </w:p>
    <w:sectPr w:rsidR="00A8754A" w:rsidRPr="00A87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E9"/>
    <w:rsid w:val="00193EE9"/>
    <w:rsid w:val="009D31AD"/>
    <w:rsid w:val="00A8754A"/>
    <w:rsid w:val="00E861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4B7F"/>
  <w15:chartTrackingRefBased/>
  <w15:docId w15:val="{52AA63C1-03E9-4FCF-B7A4-5513B1A8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2037</Words>
  <Characters>11615</Characters>
  <Application>Microsoft Office Word</Application>
  <DocSecurity>0</DocSecurity>
  <Lines>96</Lines>
  <Paragraphs>27</Paragraphs>
  <ScaleCrop>false</ScaleCrop>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2026-05-05T06:06:00Z</dcterms:created>
  <dcterms:modified xsi:type="dcterms:W3CDTF">2026-05-05T06:10:00Z</dcterms:modified>
</cp:coreProperties>
</file>