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9C2ED">
      <w:pPr>
        <w:spacing w:after="0" w:line="360" w:lineRule="auto"/>
        <w:rPr>
          <w:rFonts w:ascii="Times New Roman" w:hAnsi="Times New Roman" w:eastAsia="Times New Roman" w:cs="Times New Roman"/>
          <w:b/>
          <w:szCs w:val="24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Cs w:val="24"/>
        </w:rPr>
        <w:t>Table 2. Primary and secondary outcomes before and after PSM</w:t>
      </w:r>
    </w:p>
    <w:tbl>
      <w:tblPr>
        <w:tblStyle w:val="25"/>
        <w:tblpPr w:leftFromText="180" w:rightFromText="180" w:vertAnchor="text" w:horzAnchor="page" w:tblpXSpec="center" w:tblpY="189"/>
        <w:tblW w:w="4871" w:type="pct"/>
        <w:jc w:val="center"/>
        <w:tblBorders>
          <w:top w:val="single" w:color="000000" w:sz="12" w:space="0"/>
          <w:left w:val="single" w:color="auto" w:sz="4" w:space="0"/>
          <w:bottom w:val="single" w:color="000000" w:sz="12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4"/>
        <w:gridCol w:w="1887"/>
        <w:gridCol w:w="1615"/>
        <w:gridCol w:w="969"/>
        <w:gridCol w:w="1446"/>
        <w:gridCol w:w="1390"/>
        <w:gridCol w:w="1036"/>
      </w:tblGrid>
      <w:tr w14:paraId="674BEC2A">
        <w:trPr>
          <w:trHeight w:val="378" w:hRule="atLeast"/>
          <w:jc w:val="center"/>
        </w:trPr>
        <w:tc>
          <w:tcPr>
            <w:tcW w:w="449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 w14:paraId="6AE7F38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3502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 w14:paraId="5F75B444">
            <w:pPr>
              <w:widowControl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Before PSM</w:t>
            </w:r>
          </w:p>
        </w:tc>
        <w:tc>
          <w:tcPr>
            <w:tcW w:w="96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 w14:paraId="4191803A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 w14:paraId="05F0FDA7">
            <w:pPr>
              <w:widowControl w:val="0"/>
              <w:tabs>
                <w:tab w:val="center" w:pos="3399"/>
                <w:tab w:val="left" w:pos="5068"/>
              </w:tabs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After PSM</w:t>
            </w:r>
          </w:p>
        </w:tc>
        <w:tc>
          <w:tcPr>
            <w:tcW w:w="103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 w14:paraId="093F9536">
            <w:pPr>
              <w:widowControl w:val="0"/>
              <w:tabs>
                <w:tab w:val="center" w:pos="3399"/>
                <w:tab w:val="left" w:pos="5068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4D353454">
        <w:trPr>
          <w:trHeight w:val="693" w:hRule="atLeast"/>
          <w:jc w:val="center"/>
        </w:trPr>
        <w:tc>
          <w:tcPr>
            <w:tcW w:w="449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 w14:paraId="66B00642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 w14:paraId="09ED0D9D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NB</w:t>
            </w:r>
          </w:p>
          <w:p w14:paraId="662FE845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n=116</w:t>
            </w:r>
          </w:p>
        </w:tc>
        <w:tc>
          <w:tcPr>
            <w:tcW w:w="161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 w14:paraId="56EE8DA9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NB+GA</w:t>
            </w:r>
          </w:p>
          <w:p w14:paraId="18BD6A2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n=119</w:t>
            </w:r>
          </w:p>
        </w:tc>
        <w:tc>
          <w:tcPr>
            <w:tcW w:w="96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 w14:paraId="359D56BF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p-value</w:t>
            </w:r>
          </w:p>
        </w:tc>
        <w:tc>
          <w:tcPr>
            <w:tcW w:w="144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 w14:paraId="7015A04C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NB</w:t>
            </w:r>
          </w:p>
          <w:p w14:paraId="08B3655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n=70</w:t>
            </w:r>
          </w:p>
        </w:tc>
        <w:tc>
          <w:tcPr>
            <w:tcW w:w="139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 w14:paraId="6542A8DE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NB+GA</w:t>
            </w:r>
          </w:p>
          <w:p w14:paraId="495541B0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n=70</w:t>
            </w:r>
          </w:p>
        </w:tc>
        <w:tc>
          <w:tcPr>
            <w:tcW w:w="103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 w14:paraId="66C5CC22"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p-value</w:t>
            </w:r>
          </w:p>
        </w:tc>
      </w:tr>
      <w:tr w14:paraId="15C0C7B5">
        <w:trPr>
          <w:trHeight w:val="522" w:hRule="atLeast"/>
          <w:jc w:val="center"/>
        </w:trPr>
        <w:tc>
          <w:tcPr>
            <w:tcW w:w="4494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0D255DA6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Bold" w:cs="Times New Roman"/>
                <w:b/>
                <w:szCs w:val="24"/>
              </w:rPr>
              <w:t>Primary outcome</w:t>
            </w:r>
          </w:p>
        </w:tc>
        <w:tc>
          <w:tcPr>
            <w:tcW w:w="1887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6D8668B1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615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586B41C4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969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25C6D299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446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5789FB9E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6386B38A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036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41A2987D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59E24C81">
        <w:trPr>
          <w:trHeight w:val="499" w:hRule="atLeast"/>
          <w:jc w:val="center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14:paraId="1FBA2B7F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  <w:t xml:space="preserve">Postoperative </w:t>
            </w:r>
            <w:r>
              <w:rPr>
                <w:rFonts w:ascii="Times New Roman" w:hAnsi="Times New Roman" w:eastAsia="Times New Roman" w:cs="Times New Roman"/>
                <w:szCs w:val="24"/>
              </w:rPr>
              <w:t>Cardiovascular events, n (%)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14:paraId="44235837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31 (26.7%)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1AFC0ED9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17 (14.3%)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52D25EA4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0.03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85A22D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14 (20.0%)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00AB8812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12 (17.1%)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4F8FC76C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0.83</w:t>
            </w:r>
          </w:p>
        </w:tc>
      </w:tr>
      <w:tr w14:paraId="33A45C07">
        <w:trPr>
          <w:trHeight w:val="499" w:hRule="atLeast"/>
          <w:jc w:val="center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14:paraId="599DE719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 Regular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Components of cardiovascular events, n (%)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14:paraId="19B79C0D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 Regular" w:cs="Times New Roman"/>
                <w:szCs w:val="24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33EA5CC4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 Regular" w:cs="Times New Roman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0F58DF7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7541081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 Regular" w:cs="Times New Roman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5F09DB2F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 Regular" w:cs="Times New Roman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182A8E5E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17E46BB8">
        <w:trPr>
          <w:trHeight w:val="751" w:hRule="atLeast"/>
          <w:jc w:val="center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14:paraId="436B5501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Myocardial injury after non-cardiac surgery, n (%)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14:paraId="07A8E6C0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17 (14.7%)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75A90FFD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12 (10.1%)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71D75E9C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E5570B1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6 (8.6%)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5ED13767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8 (11.4%)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1B474310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04438F84">
        <w:trPr>
          <w:trHeight w:val="499" w:hRule="atLeast"/>
          <w:jc w:val="center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14:paraId="31054072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Congestive heart failure</w:t>
            </w:r>
            <w:r>
              <w:rPr>
                <w:rFonts w:ascii="Times New Roman" w:hAnsi="Times New Roman" w:eastAsia="Times New Roman" w:cs="Times New Roman"/>
                <w:szCs w:val="24"/>
              </w:rPr>
              <w:t>, n (%)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14:paraId="31861DA5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4 (3.4%)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012C20AE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0 (0%)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4EE6F9B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A3C5039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4 (5.7%)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16DE618E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0 (0%)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6C514150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41D13B47">
        <w:trPr>
          <w:trHeight w:val="499" w:hRule="atLeast"/>
          <w:jc w:val="center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14:paraId="2EE576F9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Myocardial infarction, n (%)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14:paraId="3411F4E4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3 (2.6%)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FEC9EC7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1 (0.8%)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3940ADE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171A092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0 (0%)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7F29C42C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1 (1.4%)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0057C29A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36328B95">
        <w:trPr>
          <w:trHeight w:val="499" w:hRule="atLeast"/>
          <w:jc w:val="center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14:paraId="12DBE884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New atrial fibrillation, n (%)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14:paraId="1973CA06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1 (0.9%)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0A1A1941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1 (0.8%)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26479A9F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4038E98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1 (1.4%)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378225FA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1 (1.4%)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16F7A99C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3B7BD7BD">
        <w:trPr>
          <w:trHeight w:val="499" w:hRule="atLeast"/>
          <w:jc w:val="center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14:paraId="4C2198A9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Cardiovascular death, n (%)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14:paraId="3FEA7AD0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5 (4.3%)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1765B3A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2 (1.7%)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5496757E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B26502C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2 (2.9%)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77DE62F3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1 (1.4%)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2987029C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1800CA16">
        <w:trPr>
          <w:trHeight w:val="872" w:hRule="atLeast"/>
          <w:jc w:val="center"/>
        </w:trPr>
        <w:tc>
          <w:tcPr>
            <w:tcW w:w="44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91048ED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 Regular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Stroke, n (%)</w:t>
            </w:r>
          </w:p>
          <w:p w14:paraId="20CA68B8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0200C4D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1 (0.9%)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88494F4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1 (0.8%)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1532A35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E871DB9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1 (1.4%)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08C46AF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Regular" w:cs="Times New Roman"/>
                <w:szCs w:val="24"/>
              </w:rPr>
              <w:t>1 (1.4%)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0806072">
            <w:pPr>
              <w:widowControl w:val="0"/>
              <w:tabs>
                <w:tab w:val="left" w:pos="3424"/>
              </w:tabs>
              <w:spacing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1AE82BD4">
        <w:trPr>
          <w:trHeight w:val="473" w:hRule="atLeast"/>
          <w:jc w:val="center"/>
        </w:trPr>
        <w:tc>
          <w:tcPr>
            <w:tcW w:w="449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1556B35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 Bold" w:cs="Times New Roman"/>
                <w:b/>
                <w:szCs w:val="24"/>
              </w:rPr>
              <w:t>Secondary outcomes</w:t>
            </w:r>
          </w:p>
        </w:tc>
        <w:tc>
          <w:tcPr>
            <w:tcW w:w="188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4FEB973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B1D71E0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3A69D60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9F06796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6C294B2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1CF5B23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</w:p>
        </w:tc>
      </w:tr>
      <w:tr w14:paraId="1DEB1781">
        <w:trPr>
          <w:trHeight w:val="466" w:hRule="atLeast"/>
          <w:jc w:val="center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14:paraId="57E61CE3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In-hospital mortality rate, n (%)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14:paraId="31EF0523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5 (4.3%)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39A4CCEF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2 (1.7%)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0256AFAA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29DC122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2 (2.9%)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09070DEC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 (1.4%)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6EADD5AC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1.00</w:t>
            </w:r>
          </w:p>
        </w:tc>
      </w:tr>
      <w:tr w14:paraId="4373463E">
        <w:trPr>
          <w:trHeight w:val="568" w:hRule="atLeast"/>
          <w:jc w:val="center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14:paraId="70AD2D8C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Length of hospital stay (day), median (IQR)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14:paraId="112B3A97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12.00 </w:t>
            </w:r>
          </w:p>
          <w:p w14:paraId="63DE1DF5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(7.0, 18.3)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4BE52D34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9.00 </w:t>
            </w:r>
          </w:p>
          <w:p w14:paraId="63A373DE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(7.0, 18.0)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10A0E7D0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0.33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02A95A8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11.50</w:t>
            </w:r>
          </w:p>
          <w:p w14:paraId="315FD7A1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 (6.0, 17.0)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7F387A52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9.00</w:t>
            </w:r>
          </w:p>
          <w:p w14:paraId="639F0930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 xml:space="preserve"> (7.0, 17.5)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67304FD3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ascii="Times New Roman" w:hAnsi="Times New Roman" w:eastAsia="Times New Roman" w:cs="Times New Roman"/>
                <w:szCs w:val="24"/>
              </w:rPr>
              <w:t>0.87</w:t>
            </w:r>
          </w:p>
        </w:tc>
      </w:tr>
      <w:tr w14:paraId="76FB4F18">
        <w:trPr>
          <w:trHeight w:val="582" w:hRule="atLeast"/>
          <w:jc w:val="center"/>
        </w:trPr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14:paraId="329F2758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  <w:t>IOH</w:t>
            </w:r>
            <w:r>
              <w:rPr>
                <w:rFonts w:ascii="Times New Roman" w:hAnsi="Times New Roman" w:eastAsia="Times New Roman" w:cs="Times New Roman"/>
                <w:szCs w:val="24"/>
              </w:rPr>
              <w:t>, n (%)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14:paraId="415FB208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:lang w:val="en-US" w:eastAsia="zh-CN"/>
              </w:rPr>
              <w:t>4.00</w:t>
            </w:r>
            <w:r>
              <w:rPr>
                <w:rFonts w:hint="default" w:ascii="Times New Roman" w:hAnsi="Times New Roman" w:eastAsia="宋体" w:cs="Times New Roman"/>
                <w:szCs w:val="24"/>
                <w:lang w:val="en-US" w:eastAsia="zh-CN"/>
              </w:rPr>
              <w:t>(3.4%)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503C6A51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  <w:t>37(31.1%)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3ADA22FE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  <w:t>&lt;0.001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9A55CEF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  <w:t>0(0%)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4FFB8AB3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  <w:t>26(37.1%)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1EA55B9F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  <w:t>&lt;0.001</w:t>
            </w:r>
          </w:p>
        </w:tc>
      </w:tr>
      <w:tr w14:paraId="1F2C2949">
        <w:trPr>
          <w:trHeight w:val="728" w:hRule="atLeast"/>
          <w:jc w:val="center"/>
        </w:trPr>
        <w:tc>
          <w:tcPr>
            <w:tcW w:w="4494" w:type="dxa"/>
            <w:tcBorders>
              <w:top w:val="nil"/>
              <w:left w:val="nil"/>
              <w:right w:val="nil"/>
            </w:tcBorders>
          </w:tcPr>
          <w:p w14:paraId="52A65D54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Times New Roman" w:cs="Times New Roman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Cs w:val="24"/>
                <w:lang w:val="en-US" w:eastAsia="zh-CN"/>
              </w:rPr>
              <w:t>Cumulative duration of hypotension(min)</w:t>
            </w:r>
          </w:p>
          <w:p w14:paraId="1A706CF2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Cs w:val="24"/>
                <w:lang w:val="en-US" w:eastAsia="zh-CN"/>
              </w:rPr>
              <w:t>,median(IQR)</w:t>
            </w:r>
          </w:p>
          <w:p w14:paraId="6354F9B3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</w:pPr>
          </w:p>
        </w:tc>
        <w:tc>
          <w:tcPr>
            <w:tcW w:w="1887" w:type="dxa"/>
            <w:tcBorders>
              <w:top w:val="nil"/>
              <w:left w:val="nil"/>
              <w:right w:val="nil"/>
            </w:tcBorders>
          </w:tcPr>
          <w:p w14:paraId="0741EF34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宋体" w:cs="Times New Roman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4"/>
                <w:lang w:val="en-US" w:eastAsia="zh-CN"/>
              </w:rPr>
              <w:t>0(0.0,0.0)</w:t>
            </w: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14:paraId="71815AC6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  <w:t>0(0.0,5.0)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</w:tcPr>
          <w:p w14:paraId="49B831CF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  <w:t>&lt;0.001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</w:tcPr>
          <w:p w14:paraId="3767695D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Cs w:val="24"/>
                <w:lang w:val="en-US" w:eastAsia="zh-CN"/>
              </w:rPr>
              <w:t>0(0.0,0.0)</w:t>
            </w:r>
          </w:p>
        </w:tc>
        <w:tc>
          <w:tcPr>
            <w:tcW w:w="1390" w:type="dxa"/>
            <w:tcBorders>
              <w:top w:val="nil"/>
              <w:left w:val="nil"/>
              <w:right w:val="nil"/>
            </w:tcBorders>
          </w:tcPr>
          <w:p w14:paraId="59DE1BCF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  <w:t>0(0.0,5.0)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</w:tcPr>
          <w:p w14:paraId="304D1B9C">
            <w:pPr>
              <w:widowControl w:val="0"/>
              <w:tabs>
                <w:tab w:val="left" w:pos="3424"/>
              </w:tabs>
              <w:spacing w:after="0" w:line="360" w:lineRule="auto"/>
              <w:jc w:val="left"/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Cs w:val="24"/>
                <w:lang w:val="en-US"/>
              </w:rPr>
              <w:t>&lt;0.001</w:t>
            </w:r>
          </w:p>
        </w:tc>
      </w:tr>
    </w:tbl>
    <w:p w14:paraId="09DA7FB2">
      <w:pPr>
        <w:spacing w:after="0" w:line="360" w:lineRule="auto"/>
        <w:jc w:val="both"/>
        <w:rPr>
          <w:rFonts w:ascii="Times New Roman" w:hAnsi="Times New Roman" w:eastAsia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  <w:t>p-values for any cardiovascular events and in-hospital mortality rate were calculated using two-tailed χ2 and Fisher’s exact tests, while those for length of hospital stay were computed using the Mann–Whitney test.</w:t>
      </w:r>
    </w:p>
    <w:p w14:paraId="385A8447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szCs w:val="24"/>
          <w:lang w:val="en-US"/>
        </w:rPr>
      </w:pPr>
      <w:r>
        <w:rPr>
          <w:rFonts w:ascii="Times New Roman" w:hAnsi="Times New Roman" w:eastAsia="Times New Roman" w:cs="Times New Roman"/>
          <w:szCs w:val="24"/>
        </w:rPr>
        <w:t xml:space="preserve">NB, nerve block; NB+GA: nerve block combined with general anesthesia; PSM, propensity score matching; IQR, interquartile range </w:t>
      </w:r>
      <w:r>
        <w:rPr>
          <w:rFonts w:hint="default" w:ascii="Times New Roman" w:hAnsi="Times New Roman" w:eastAsia="Times New Roman" w:cs="Times New Roman"/>
          <w:szCs w:val="24"/>
          <w:lang w:val="en-US"/>
        </w:rPr>
        <w:t>;</w:t>
      </w:r>
    </w:p>
    <w:p w14:paraId="253F7818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szCs w:val="24"/>
          <w:lang w:val="en-US"/>
        </w:rPr>
        <w:t>IOH,</w:t>
      </w:r>
      <w:r>
        <w:rPr>
          <w:rFonts w:hint="default" w:ascii="Times New Roman" w:hAnsi="Times New Roman" w:eastAsia="Times New Roman" w:cs="Times New Roman"/>
          <w:szCs w:val="24"/>
          <w:lang w:val="en-US" w:eastAsia="zh-CN"/>
        </w:rPr>
        <w:t>Intraoperative hypotension</w:t>
      </w:r>
    </w:p>
    <w:p w14:paraId="0951080F">
      <w:pPr>
        <w:spacing w:after="0" w:line="360" w:lineRule="auto"/>
        <w:jc w:val="both"/>
        <w:rPr>
          <w:rFonts w:hint="default" w:ascii="Times New Roman" w:hAnsi="Times New Roman" w:eastAsia="宋体" w:cs="Times New Roman"/>
          <w:szCs w:val="24"/>
          <w:lang w:val="en-US" w:eastAsia="zh-CN"/>
        </w:rPr>
      </w:pPr>
    </w:p>
    <w:p w14:paraId="039163C6">
      <w:pPr>
        <w:spacing w:line="360" w:lineRule="auto"/>
        <w:rPr>
          <w:rFonts w:ascii="Times New Roman" w:hAnsi="Times New Roman" w:cs="Times New Roman"/>
          <w:szCs w:val="24"/>
        </w:rPr>
      </w:pPr>
    </w:p>
    <w:sectPr>
      <w:pgSz w:w="15840" w:h="12240" w:orient="landscape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bordersDoNotSurroundHeader w:val="0"/>
  <w:bordersDoNotSurroundFooter w:val="0"/>
  <w:hideSpellingErrors/>
  <w:hideGrammaticalErrors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e0NDY0sLA0NzAwMDJS0lEKTi0uzszPAykwrgUAlDembSwAAAA="/>
  </w:docVars>
  <w:rsids>
    <w:rsidRoot w:val="00304F44"/>
    <w:rsid w:val="002820B7"/>
    <w:rsid w:val="00287021"/>
    <w:rsid w:val="002C1922"/>
    <w:rsid w:val="002D5ABA"/>
    <w:rsid w:val="002F4FA3"/>
    <w:rsid w:val="00304F44"/>
    <w:rsid w:val="00313862"/>
    <w:rsid w:val="004062ED"/>
    <w:rsid w:val="0050672E"/>
    <w:rsid w:val="00525FB8"/>
    <w:rsid w:val="0059616F"/>
    <w:rsid w:val="006043D7"/>
    <w:rsid w:val="00616A74"/>
    <w:rsid w:val="006B3F9C"/>
    <w:rsid w:val="006D2B5D"/>
    <w:rsid w:val="008547A4"/>
    <w:rsid w:val="00893D91"/>
    <w:rsid w:val="008C0E1A"/>
    <w:rsid w:val="008D7A45"/>
    <w:rsid w:val="0091784D"/>
    <w:rsid w:val="009D4348"/>
    <w:rsid w:val="00A21290"/>
    <w:rsid w:val="00A60DF9"/>
    <w:rsid w:val="00C64527"/>
    <w:rsid w:val="00C67FEE"/>
    <w:rsid w:val="00C84196"/>
    <w:rsid w:val="00D000EC"/>
    <w:rsid w:val="00E15374"/>
    <w:rsid w:val="00E328D4"/>
    <w:rsid w:val="00E703D4"/>
    <w:rsid w:val="0EFFCBC9"/>
    <w:rsid w:val="58D9A220"/>
    <w:rsid w:val="6DF3F64D"/>
    <w:rsid w:val="6E27E618"/>
    <w:rsid w:val="6F6F95A8"/>
    <w:rsid w:val="6FE20692"/>
    <w:rsid w:val="7D77F443"/>
    <w:rsid w:val="7ECFBDCF"/>
    <w:rsid w:val="7FD3193E"/>
    <w:rsid w:val="DFEF660F"/>
    <w:rsid w:val="FDDF0D76"/>
    <w:rsid w:val="FFB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99" w:semiHidden="0" w:name="heading 2"/>
    <w:lsdException w:unhideWhenUsed="0" w:uiPriority="99" w:semiHidden="0" w:name="heading 3"/>
    <w:lsdException w:unhideWhenUsed="0" w:uiPriority="99" w:semiHidden="0" w:name="heading 4"/>
    <w:lsdException w:unhideWhenUsed="0" w:uiPriority="99" w:semiHidden="0" w:name="heading 5"/>
    <w:lsdException w:unhideWhenUsed="0" w:uiPriority="99" w:semiHidden="0" w:name="heading 6"/>
    <w:lsdException w:unhideWhenUsed="0" w:uiPriority="99" w:semiHidden="0" w:name="heading 7"/>
    <w:lsdException w:unhideWhenUsed="0" w:uiPriority="99" w:semiHidden="0" w:name="heading 8"/>
    <w:lsdException w:unhideWhenUsed="0" w:uiPriority="9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nhideWhenUsed="0" w:uiPriority="0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0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0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="Calibri" w:hAnsi="Calibri" w:eastAsia="Calibri" w:cs="Calibri"/>
      <w:sz w:val="24"/>
      <w:lang w:val="en-US" w:eastAsia="en-US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</w:rPr>
  </w:style>
  <w:style w:type="character" w:default="1" w:styleId="26">
    <w:name w:val="Default Paragraph Font"/>
    <w:semiHidden/>
    <w:unhideWhenUsed/>
    <w:uiPriority w:val="1"/>
  </w:style>
  <w:style w:type="table" w:default="1" w:styleId="2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uiPriority w:val="0"/>
  </w:style>
  <w:style w:type="paragraph" w:styleId="4">
    <w:name w:val="List 3"/>
    <w:basedOn w:val="1"/>
    <w:uiPriority w:val="0"/>
    <w:pPr>
      <w:spacing w:line="360" w:lineRule="auto"/>
      <w:ind w:left="1200" w:hanging="400"/>
      <w:jc w:val="both"/>
    </w:pPr>
    <w:rPr>
      <w:sz w:val="22"/>
    </w:rPr>
  </w:style>
  <w:style w:type="paragraph" w:styleId="5">
    <w:name w:val="toc 7"/>
    <w:basedOn w:val="1"/>
    <w:uiPriority w:val="0"/>
    <w:pPr>
      <w:spacing w:line="330" w:lineRule="exact"/>
    </w:pPr>
  </w:style>
  <w:style w:type="paragraph" w:styleId="6">
    <w:name w:val="caption"/>
    <w:basedOn w:val="1"/>
    <w:uiPriority w:val="0"/>
    <w:pPr>
      <w:shd w:val="clear" w:color="auto" w:fill="FFF5ED"/>
      <w:spacing w:before="240" w:line="349" w:lineRule="auto"/>
      <w:jc w:val="both"/>
    </w:pPr>
    <w:rPr>
      <w:sz w:val="22"/>
    </w:rPr>
  </w:style>
  <w:style w:type="paragraph" w:styleId="7">
    <w:name w:val="annotation text"/>
    <w:basedOn w:val="1"/>
    <w:uiPriority w:val="0"/>
    <w:pPr>
      <w:spacing w:after="0"/>
    </w:pPr>
    <w:rPr>
      <w:sz w:val="20"/>
    </w:rPr>
  </w:style>
  <w:style w:type="paragraph" w:styleId="8">
    <w:name w:val="List 2"/>
    <w:basedOn w:val="1"/>
    <w:uiPriority w:val="0"/>
    <w:pPr>
      <w:spacing w:line="360" w:lineRule="auto"/>
      <w:ind w:left="800" w:hanging="400"/>
      <w:jc w:val="both"/>
    </w:pPr>
    <w:rPr>
      <w:sz w:val="22"/>
    </w:rPr>
  </w:style>
  <w:style w:type="paragraph" w:styleId="9">
    <w:name w:val="Block Text"/>
    <w:basedOn w:val="1"/>
    <w:uiPriority w:val="0"/>
    <w:pPr>
      <w:spacing w:line="360" w:lineRule="auto"/>
      <w:ind w:left="1200"/>
    </w:pPr>
    <w:rPr>
      <w:sz w:val="22"/>
    </w:rPr>
  </w:style>
  <w:style w:type="paragraph" w:styleId="10">
    <w:name w:val="toc 5"/>
    <w:basedOn w:val="1"/>
    <w:uiPriority w:val="0"/>
    <w:pPr>
      <w:spacing w:line="330" w:lineRule="exact"/>
    </w:pPr>
  </w:style>
  <w:style w:type="paragraph" w:styleId="11">
    <w:name w:val="toc 3"/>
    <w:basedOn w:val="1"/>
    <w:uiPriority w:val="0"/>
    <w:pPr>
      <w:spacing w:line="360" w:lineRule="auto"/>
    </w:pPr>
    <w:rPr>
      <w:sz w:val="22"/>
    </w:rPr>
  </w:style>
  <w:style w:type="paragraph" w:styleId="12">
    <w:name w:val="toc 8"/>
    <w:basedOn w:val="1"/>
    <w:uiPriority w:val="0"/>
    <w:pPr>
      <w:spacing w:line="330" w:lineRule="exact"/>
    </w:pPr>
  </w:style>
  <w:style w:type="paragraph" w:styleId="13">
    <w:name w:val="endnote text"/>
    <w:basedOn w:val="1"/>
    <w:uiPriority w:val="0"/>
  </w:style>
  <w:style w:type="paragraph" w:styleId="14">
    <w:name w:val="Balloon Text"/>
    <w:basedOn w:val="1"/>
    <w:link w:val="88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5">
    <w:name w:val="toc 4"/>
    <w:basedOn w:val="1"/>
    <w:uiPriority w:val="0"/>
    <w:pPr>
      <w:spacing w:line="330" w:lineRule="exact"/>
    </w:pPr>
  </w:style>
  <w:style w:type="paragraph" w:styleId="16">
    <w:name w:val="Subtitle"/>
    <w:basedOn w:val="1"/>
    <w:qFormat/>
    <w:uiPriority w:val="0"/>
    <w:pPr>
      <w:spacing w:line="208" w:lineRule="auto"/>
    </w:pPr>
    <w:rPr>
      <w:sz w:val="38"/>
    </w:rPr>
  </w:style>
  <w:style w:type="paragraph" w:styleId="17">
    <w:name w:val="List"/>
    <w:basedOn w:val="1"/>
    <w:uiPriority w:val="0"/>
    <w:pPr>
      <w:spacing w:line="360" w:lineRule="auto"/>
      <w:ind w:left="400" w:hanging="400"/>
      <w:jc w:val="both"/>
    </w:pPr>
    <w:rPr>
      <w:sz w:val="22"/>
    </w:rPr>
  </w:style>
  <w:style w:type="paragraph" w:styleId="18">
    <w:name w:val="footnote text"/>
    <w:basedOn w:val="1"/>
    <w:uiPriority w:val="0"/>
  </w:style>
  <w:style w:type="paragraph" w:styleId="19">
    <w:name w:val="toc 6"/>
    <w:basedOn w:val="1"/>
    <w:uiPriority w:val="0"/>
    <w:pPr>
      <w:spacing w:line="330" w:lineRule="exact"/>
    </w:pPr>
  </w:style>
  <w:style w:type="paragraph" w:styleId="20">
    <w:name w:val="List 5"/>
    <w:basedOn w:val="1"/>
    <w:uiPriority w:val="0"/>
    <w:pPr>
      <w:spacing w:line="360" w:lineRule="auto"/>
      <w:ind w:left="1800" w:hanging="400"/>
    </w:pPr>
    <w:rPr>
      <w:sz w:val="22"/>
    </w:rPr>
  </w:style>
  <w:style w:type="paragraph" w:styleId="21">
    <w:name w:val="toc 2"/>
    <w:basedOn w:val="1"/>
    <w:uiPriority w:val="0"/>
    <w:pPr>
      <w:spacing w:line="330" w:lineRule="auto"/>
    </w:pPr>
  </w:style>
  <w:style w:type="paragraph" w:styleId="22">
    <w:name w:val="toc 9"/>
    <w:basedOn w:val="1"/>
    <w:uiPriority w:val="0"/>
    <w:pPr>
      <w:spacing w:line="330" w:lineRule="exact"/>
    </w:pPr>
  </w:style>
  <w:style w:type="paragraph" w:styleId="23">
    <w:name w:val="List 4"/>
    <w:basedOn w:val="1"/>
    <w:uiPriority w:val="0"/>
    <w:pPr>
      <w:spacing w:line="360" w:lineRule="auto"/>
      <w:ind w:left="1600" w:hanging="400"/>
    </w:pPr>
    <w:rPr>
      <w:sz w:val="22"/>
    </w:rPr>
  </w:style>
  <w:style w:type="table" w:styleId="25">
    <w:name w:val="Table Grid"/>
    <w:basedOn w:val="2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7">
    <w:name w:val="Strong"/>
    <w:basedOn w:val="26"/>
    <w:uiPriority w:val="99"/>
    <w:rPr>
      <w:b/>
    </w:rPr>
  </w:style>
  <w:style w:type="character" w:styleId="28">
    <w:name w:val="endnote reference"/>
    <w:basedOn w:val="26"/>
    <w:uiPriority w:val="0"/>
    <w:rPr>
      <w:vertAlign w:val="superscript"/>
    </w:rPr>
  </w:style>
  <w:style w:type="character" w:styleId="29">
    <w:name w:val="Hyperlink"/>
    <w:basedOn w:val="26"/>
    <w:uiPriority w:val="0"/>
    <w:rPr>
      <w:color w:val="0563C1"/>
    </w:rPr>
  </w:style>
  <w:style w:type="character" w:styleId="30">
    <w:name w:val="annotation reference"/>
    <w:basedOn w:val="26"/>
    <w:uiPriority w:val="0"/>
    <w:rPr>
      <w:sz w:val="16"/>
    </w:rPr>
  </w:style>
  <w:style w:type="character" w:styleId="31">
    <w:name w:val="footnote reference"/>
    <w:basedOn w:val="26"/>
    <w:uiPriority w:val="0"/>
    <w:rPr>
      <w:vertAlign w:val="superscript"/>
    </w:rPr>
  </w:style>
  <w:style w:type="table" w:customStyle="1" w:styleId="32">
    <w:name w:val="Old Default Table Style"/>
    <w:uiPriority w:val="0"/>
    <w:tblPr>
      <w:tblCellMar>
        <w:top w:w="0" w:type="dxa"/>
        <w:bottom w:w="0" w:type="dxa"/>
      </w:tblCellMar>
    </w:tblPr>
  </w:style>
  <w:style w:type="paragraph" w:customStyle="1" w:styleId="33">
    <w:name w:val="Formula"/>
    <w:basedOn w:val="1"/>
    <w:uiPriority w:val="0"/>
    <w:pPr>
      <w:shd w:val="clear" w:color="auto" w:fill="FFF5ED"/>
      <w:spacing w:before="120" w:after="120" w:line="360" w:lineRule="auto"/>
    </w:pPr>
    <w:rPr>
      <w:sz w:val="22"/>
    </w:rPr>
  </w:style>
  <w:style w:type="character" w:customStyle="1" w:styleId="34">
    <w:name w:val="Publisher"/>
    <w:basedOn w:val="26"/>
    <w:uiPriority w:val="0"/>
    <w:rPr>
      <w:shd w:val="clear" w:color="auto" w:fill="F2DDFF"/>
    </w:rPr>
  </w:style>
  <w:style w:type="character" w:customStyle="1" w:styleId="35">
    <w:name w:val="Miscellaneous"/>
    <w:basedOn w:val="26"/>
    <w:uiPriority w:val="0"/>
    <w:rPr>
      <w:shd w:val="clear" w:color="auto" w:fill="F0F0F0"/>
    </w:rPr>
  </w:style>
  <w:style w:type="paragraph" w:customStyle="1" w:styleId="36">
    <w:name w:val="Surtitle"/>
    <w:basedOn w:val="1"/>
    <w:qFormat/>
    <w:uiPriority w:val="0"/>
    <w:pPr>
      <w:spacing w:line="208" w:lineRule="auto"/>
    </w:pPr>
    <w:rPr>
      <w:sz w:val="38"/>
    </w:rPr>
  </w:style>
  <w:style w:type="character" w:customStyle="1" w:styleId="37">
    <w:name w:val="Page Numbers"/>
    <w:basedOn w:val="26"/>
    <w:uiPriority w:val="0"/>
    <w:rPr>
      <w:shd w:val="clear" w:color="auto" w:fill="FFEDF0"/>
    </w:rPr>
  </w:style>
  <w:style w:type="paragraph" w:customStyle="1" w:styleId="38">
    <w:name w:val="Correspondence"/>
    <w:basedOn w:val="1"/>
    <w:uiPriority w:val="0"/>
    <w:pPr>
      <w:shd w:val="clear" w:color="auto" w:fill="F3F7F9"/>
      <w:spacing w:before="240" w:after="120" w:line="396" w:lineRule="auto"/>
      <w:ind w:left="400" w:hanging="400"/>
    </w:pPr>
    <w:rPr>
      <w:sz w:val="20"/>
    </w:rPr>
  </w:style>
  <w:style w:type="character" w:customStyle="1" w:styleId="39">
    <w:name w:val="Glossary Term"/>
    <w:basedOn w:val="26"/>
    <w:uiPriority w:val="0"/>
    <w:rPr>
      <w:shd w:val="clear" w:color="auto" w:fill="FFCFD7"/>
    </w:rPr>
  </w:style>
  <w:style w:type="character" w:customStyle="1" w:styleId="40">
    <w:name w:val="Database Link"/>
    <w:basedOn w:val="26"/>
    <w:uiPriority w:val="0"/>
    <w:rPr>
      <w:shd w:val="clear" w:color="auto" w:fill="AFBEFF"/>
    </w:rPr>
  </w:style>
  <w:style w:type="character" w:customStyle="1" w:styleId="41">
    <w:name w:val="Source"/>
    <w:basedOn w:val="26"/>
    <w:uiPriority w:val="0"/>
    <w:rPr>
      <w:shd w:val="clear" w:color="auto" w:fill="C1EDFF"/>
    </w:rPr>
  </w:style>
  <w:style w:type="character" w:customStyle="1" w:styleId="42">
    <w:name w:val="Cross-reference"/>
    <w:basedOn w:val="26"/>
    <w:uiPriority w:val="0"/>
    <w:rPr>
      <w:shd w:val="clear" w:color="auto" w:fill="FFE3C9"/>
    </w:rPr>
  </w:style>
  <w:style w:type="paragraph" w:customStyle="1" w:styleId="43">
    <w:name w:val="Table Body"/>
    <w:basedOn w:val="1"/>
    <w:uiPriority w:val="0"/>
    <w:pPr>
      <w:spacing w:line="396" w:lineRule="auto"/>
    </w:pPr>
    <w:rPr>
      <w:sz w:val="20"/>
    </w:rPr>
  </w:style>
  <w:style w:type="paragraph" w:customStyle="1" w:styleId="44">
    <w:name w:val="Annotation"/>
    <w:basedOn w:val="1"/>
    <w:uiPriority w:val="0"/>
    <w:pPr>
      <w:spacing w:line="360" w:lineRule="auto"/>
      <w:ind w:left="400"/>
    </w:pPr>
    <w:rPr>
      <w:sz w:val="22"/>
    </w:rPr>
  </w:style>
  <w:style w:type="paragraph" w:customStyle="1" w:styleId="45">
    <w:name w:val="Keywords"/>
    <w:basedOn w:val="1"/>
    <w:uiPriority w:val="0"/>
    <w:pPr>
      <w:spacing w:line="396" w:lineRule="auto"/>
      <w:ind w:left="1000"/>
    </w:pPr>
    <w:rPr>
      <w:sz w:val="20"/>
    </w:rPr>
  </w:style>
  <w:style w:type="character" w:customStyle="1" w:styleId="46">
    <w:name w:val="Organization"/>
    <w:basedOn w:val="26"/>
    <w:uiPriority w:val="0"/>
    <w:rPr>
      <w:shd w:val="clear" w:color="auto" w:fill="D1FFB5"/>
    </w:rPr>
  </w:style>
  <w:style w:type="character" w:customStyle="1" w:styleId="47">
    <w:name w:val="Family Name"/>
    <w:basedOn w:val="26"/>
    <w:uiPriority w:val="0"/>
    <w:rPr>
      <w:shd w:val="clear" w:color="auto" w:fill="88F4BE"/>
    </w:rPr>
  </w:style>
  <w:style w:type="paragraph" w:customStyle="1" w:styleId="48">
    <w:name w:val="Quotation Source"/>
    <w:basedOn w:val="1"/>
    <w:uiPriority w:val="0"/>
    <w:pPr>
      <w:spacing w:after="170" w:line="360" w:lineRule="auto"/>
      <w:ind w:left="1200"/>
      <w:jc w:val="right"/>
    </w:pPr>
    <w:rPr>
      <w:sz w:val="22"/>
    </w:rPr>
  </w:style>
  <w:style w:type="paragraph" w:customStyle="1" w:styleId="49">
    <w:name w:val="Affiliation"/>
    <w:basedOn w:val="1"/>
    <w:uiPriority w:val="0"/>
    <w:pPr>
      <w:shd w:val="clear" w:color="auto" w:fill="F4FFED"/>
      <w:spacing w:before="240" w:after="120" w:line="396" w:lineRule="auto"/>
      <w:ind w:left="400" w:hanging="400"/>
    </w:pPr>
    <w:rPr>
      <w:sz w:val="20"/>
    </w:rPr>
  </w:style>
  <w:style w:type="paragraph" w:customStyle="1" w:styleId="50">
    <w:name w:val="Copyright"/>
    <w:basedOn w:val="1"/>
    <w:uiPriority w:val="0"/>
    <w:pPr>
      <w:shd w:val="clear" w:color="auto" w:fill="E9F9FF"/>
    </w:pPr>
    <w:rPr>
      <w:sz w:val="18"/>
    </w:rPr>
  </w:style>
  <w:style w:type="character" w:customStyle="1" w:styleId="51">
    <w:name w:val="City"/>
    <w:basedOn w:val="26"/>
    <w:uiPriority w:val="0"/>
    <w:rPr>
      <w:shd w:val="clear" w:color="auto" w:fill="D7D7D7"/>
    </w:rPr>
  </w:style>
  <w:style w:type="character" w:customStyle="1" w:styleId="52">
    <w:name w:val="Name Scientific"/>
    <w:basedOn w:val="26"/>
    <w:uiPriority w:val="0"/>
    <w:rPr>
      <w:shd w:val="clear" w:color="auto" w:fill="91E0FF"/>
    </w:rPr>
  </w:style>
  <w:style w:type="character" w:customStyle="1" w:styleId="53">
    <w:name w:val="Year"/>
    <w:basedOn w:val="26"/>
    <w:uiPriority w:val="0"/>
    <w:rPr>
      <w:shd w:val="clear" w:color="auto" w:fill="FFF9C9"/>
    </w:rPr>
  </w:style>
  <w:style w:type="character" w:customStyle="1" w:styleId="54">
    <w:name w:val="Heading:"/>
    <w:basedOn w:val="26"/>
    <w:uiPriority w:val="0"/>
    <w:rPr>
      <w:color w:val="5B89C1"/>
    </w:rPr>
  </w:style>
  <w:style w:type="paragraph" w:customStyle="1" w:styleId="55">
    <w:name w:val="Authors"/>
    <w:basedOn w:val="1"/>
    <w:uiPriority w:val="0"/>
    <w:pPr>
      <w:spacing w:before="360" w:after="120" w:line="283" w:lineRule="auto"/>
    </w:pPr>
    <w:rPr>
      <w:sz w:val="28"/>
    </w:rPr>
  </w:style>
  <w:style w:type="paragraph" w:customStyle="1" w:styleId="56">
    <w:name w:val="Table Note"/>
    <w:basedOn w:val="1"/>
    <w:uiPriority w:val="0"/>
    <w:rPr>
      <w:sz w:val="18"/>
    </w:rPr>
  </w:style>
  <w:style w:type="paragraph" w:customStyle="1" w:styleId="57">
    <w:name w:val="Reference"/>
    <w:basedOn w:val="1"/>
    <w:uiPriority w:val="0"/>
    <w:pPr>
      <w:spacing w:after="320" w:line="360" w:lineRule="auto"/>
      <w:ind w:left="400" w:hanging="400"/>
      <w:jc w:val="both"/>
    </w:pPr>
    <w:rPr>
      <w:sz w:val="22"/>
    </w:rPr>
  </w:style>
  <w:style w:type="paragraph" w:customStyle="1" w:styleId="58">
    <w:name w:val="Abstract"/>
    <w:basedOn w:val="1"/>
    <w:uiPriority w:val="0"/>
    <w:pPr>
      <w:spacing w:line="360" w:lineRule="auto"/>
      <w:ind w:left="1440" w:right="1440"/>
      <w:jc w:val="both"/>
    </w:pPr>
    <w:rPr>
      <w:sz w:val="22"/>
    </w:rPr>
  </w:style>
  <w:style w:type="paragraph" w:customStyle="1" w:styleId="59">
    <w:name w:val="List 8"/>
    <w:basedOn w:val="1"/>
    <w:uiPriority w:val="0"/>
    <w:pPr>
      <w:spacing w:line="360" w:lineRule="auto"/>
      <w:ind w:left="1980" w:hanging="400"/>
    </w:pPr>
    <w:rPr>
      <w:sz w:val="22"/>
    </w:rPr>
  </w:style>
  <w:style w:type="paragraph" w:customStyle="1" w:styleId="60">
    <w:name w:val="Biography"/>
    <w:basedOn w:val="1"/>
    <w:uiPriority w:val="0"/>
    <w:pPr>
      <w:shd w:val="clear" w:color="auto" w:fill="EEFEF4"/>
      <w:spacing w:line="396" w:lineRule="auto"/>
    </w:pPr>
    <w:rPr>
      <w:sz w:val="20"/>
    </w:rPr>
  </w:style>
  <w:style w:type="character" w:customStyle="1" w:styleId="61">
    <w:name w:val="Country"/>
    <w:basedOn w:val="26"/>
    <w:uiPriority w:val="0"/>
    <w:rPr>
      <w:shd w:val="clear" w:color="auto" w:fill="97C5D1"/>
    </w:rPr>
  </w:style>
  <w:style w:type="paragraph" w:customStyle="1" w:styleId="62">
    <w:name w:val="List 7"/>
    <w:basedOn w:val="1"/>
    <w:uiPriority w:val="0"/>
    <w:pPr>
      <w:spacing w:line="360" w:lineRule="auto"/>
      <w:ind w:left="1920" w:hanging="400"/>
    </w:pPr>
    <w:rPr>
      <w:sz w:val="22"/>
    </w:rPr>
  </w:style>
  <w:style w:type="paragraph" w:customStyle="1" w:styleId="63">
    <w:name w:val="Note"/>
    <w:basedOn w:val="1"/>
    <w:uiPriority w:val="0"/>
    <w:pPr>
      <w:shd w:val="clear" w:color="auto" w:fill="EDF0FF"/>
      <w:spacing w:line="432" w:lineRule="auto"/>
    </w:pPr>
    <w:rPr>
      <w:sz w:val="20"/>
    </w:rPr>
  </w:style>
  <w:style w:type="character" w:customStyle="1" w:styleId="64">
    <w:name w:val="Article Title"/>
    <w:basedOn w:val="26"/>
    <w:qFormat/>
    <w:uiPriority w:val="0"/>
    <w:rPr>
      <w:shd w:val="clear" w:color="auto" w:fill="E9F9FF"/>
    </w:rPr>
  </w:style>
  <w:style w:type="paragraph" w:customStyle="1" w:styleId="65">
    <w:name w:val="Acknowledgements"/>
    <w:basedOn w:val="1"/>
    <w:uiPriority w:val="0"/>
    <w:pPr>
      <w:shd w:val="clear" w:color="auto" w:fill="F9EDFF"/>
      <w:spacing w:line="396" w:lineRule="auto"/>
      <w:jc w:val="both"/>
    </w:pPr>
    <w:rPr>
      <w:sz w:val="20"/>
    </w:rPr>
  </w:style>
  <w:style w:type="character" w:customStyle="1" w:styleId="66">
    <w:name w:val="Conference"/>
    <w:basedOn w:val="26"/>
    <w:uiPriority w:val="0"/>
    <w:rPr>
      <w:shd w:val="clear" w:color="auto" w:fill="FFAFBC"/>
    </w:rPr>
  </w:style>
  <w:style w:type="paragraph" w:customStyle="1" w:styleId="67">
    <w:name w:val="List 6"/>
    <w:basedOn w:val="1"/>
    <w:uiPriority w:val="0"/>
    <w:pPr>
      <w:spacing w:line="360" w:lineRule="auto"/>
      <w:ind w:left="1860" w:hanging="400"/>
    </w:pPr>
    <w:rPr>
      <w:sz w:val="22"/>
    </w:rPr>
  </w:style>
  <w:style w:type="character" w:customStyle="1" w:styleId="68">
    <w:name w:val="Given Name"/>
    <w:basedOn w:val="26"/>
    <w:uiPriority w:val="0"/>
    <w:rPr>
      <w:shd w:val="clear" w:color="auto" w:fill="D0FCE2"/>
    </w:rPr>
  </w:style>
  <w:style w:type="paragraph" w:customStyle="1" w:styleId="69">
    <w:name w:val="Table Head"/>
    <w:basedOn w:val="1"/>
    <w:uiPriority w:val="0"/>
    <w:pPr>
      <w:shd w:val="clear" w:color="auto" w:fill="FFEDFA"/>
    </w:pPr>
    <w:rPr>
      <w:sz w:val="20"/>
    </w:rPr>
  </w:style>
  <w:style w:type="paragraph" w:customStyle="1" w:styleId="70">
    <w:name w:val="Abstract Subheading"/>
    <w:basedOn w:val="1"/>
    <w:next w:val="1"/>
    <w:uiPriority w:val="0"/>
    <w:pPr>
      <w:keepNext/>
      <w:keepLines/>
      <w:ind w:left="1440"/>
      <w:outlineLvl w:val="8"/>
    </w:pPr>
    <w:rPr>
      <w:sz w:val="22"/>
    </w:rPr>
  </w:style>
  <w:style w:type="character" w:customStyle="1" w:styleId="71">
    <w:name w:val="Issue Number"/>
    <w:basedOn w:val="26"/>
    <w:uiPriority w:val="0"/>
    <w:rPr>
      <w:shd w:val="clear" w:color="auto" w:fill="CDD5FF"/>
    </w:rPr>
  </w:style>
  <w:style w:type="character" w:customStyle="1" w:styleId="72">
    <w:name w:val="Label"/>
    <w:basedOn w:val="26"/>
    <w:uiPriority w:val="0"/>
    <w:rPr>
      <w:shd w:val="clear" w:color="auto" w:fill="FFC391"/>
      <w:vertAlign w:val="baseline"/>
    </w:rPr>
  </w:style>
  <w:style w:type="character" w:customStyle="1" w:styleId="73">
    <w:name w:val="Postcode"/>
    <w:basedOn w:val="26"/>
    <w:uiPriority w:val="0"/>
    <w:rPr>
      <w:shd w:val="clear" w:color="auto" w:fill="BEBEBE"/>
    </w:rPr>
  </w:style>
  <w:style w:type="character" w:customStyle="1" w:styleId="74">
    <w:name w:val="Region"/>
    <w:basedOn w:val="26"/>
    <w:uiPriority w:val="0"/>
    <w:rPr>
      <w:shd w:val="clear" w:color="auto" w:fill="D8E9EE"/>
    </w:rPr>
  </w:style>
  <w:style w:type="paragraph" w:customStyle="1" w:styleId="75">
    <w:name w:val="Chapter Number"/>
    <w:basedOn w:val="1"/>
    <w:uiPriority w:val="0"/>
  </w:style>
  <w:style w:type="character" w:customStyle="1" w:styleId="76">
    <w:name w:val="Location"/>
    <w:basedOn w:val="26"/>
    <w:uiPriority w:val="0"/>
    <w:rPr>
      <w:shd w:val="clear" w:color="auto" w:fill="F9EDFF"/>
    </w:rPr>
  </w:style>
  <w:style w:type="character" w:customStyle="1" w:styleId="77">
    <w:name w:val="Grant ID"/>
    <w:basedOn w:val="26"/>
    <w:uiPriority w:val="0"/>
    <w:rPr>
      <w:shd w:val="clear" w:color="auto" w:fill="DDA5FF"/>
    </w:rPr>
  </w:style>
  <w:style w:type="paragraph" w:customStyle="1" w:styleId="78">
    <w:name w:val="Glossary"/>
    <w:basedOn w:val="1"/>
    <w:uiPriority w:val="0"/>
    <w:pPr>
      <w:shd w:val="clear" w:color="auto" w:fill="FFEDF0"/>
      <w:spacing w:before="120" w:after="120" w:line="432" w:lineRule="auto"/>
    </w:pPr>
    <w:rPr>
      <w:sz w:val="20"/>
    </w:rPr>
  </w:style>
  <w:style w:type="paragraph" w:customStyle="1" w:styleId="79">
    <w:name w:val="Table List"/>
    <w:basedOn w:val="1"/>
    <w:uiPriority w:val="0"/>
    <w:pPr>
      <w:ind w:left="300" w:hanging="300"/>
    </w:pPr>
    <w:rPr>
      <w:sz w:val="20"/>
    </w:rPr>
  </w:style>
  <w:style w:type="character" w:customStyle="1" w:styleId="80">
    <w:name w:val="Gene Sequence"/>
    <w:basedOn w:val="26"/>
    <w:uiPriority w:val="0"/>
    <w:rPr>
      <w:shd w:val="clear" w:color="auto" w:fill="FFCDF2"/>
    </w:rPr>
  </w:style>
  <w:style w:type="character" w:customStyle="1" w:styleId="81">
    <w:name w:val="Volume Number"/>
    <w:basedOn w:val="26"/>
    <w:uiPriority w:val="0"/>
    <w:rPr>
      <w:shd w:val="clear" w:color="auto" w:fill="EDF0FF"/>
    </w:rPr>
  </w:style>
  <w:style w:type="paragraph" w:customStyle="1" w:styleId="82">
    <w:name w:val="Statement"/>
    <w:basedOn w:val="1"/>
    <w:uiPriority w:val="0"/>
    <w:pPr>
      <w:ind w:left="900"/>
    </w:pPr>
    <w:rPr>
      <w:sz w:val="22"/>
    </w:rPr>
  </w:style>
  <w:style w:type="paragraph" w:customStyle="1" w:styleId="83">
    <w:name w:val="Quotation"/>
    <w:basedOn w:val="1"/>
    <w:uiPriority w:val="0"/>
    <w:pPr>
      <w:spacing w:line="360" w:lineRule="auto"/>
      <w:ind w:left="1200" w:right="1200"/>
      <w:jc w:val="both"/>
    </w:pPr>
    <w:rPr>
      <w:sz w:val="22"/>
    </w:rPr>
  </w:style>
  <w:style w:type="character" w:customStyle="1" w:styleId="84">
    <w:name w:val="Edition"/>
    <w:basedOn w:val="26"/>
    <w:uiPriority w:val="0"/>
    <w:rPr>
      <w:shd w:val="clear" w:color="auto" w:fill="FFF6A4"/>
    </w:rPr>
  </w:style>
  <w:style w:type="paragraph" w:customStyle="1" w:styleId="85">
    <w:name w:val="List 9"/>
    <w:basedOn w:val="1"/>
    <w:uiPriority w:val="0"/>
    <w:pPr>
      <w:ind w:left="1200" w:hanging="600"/>
      <w:jc w:val="both"/>
    </w:pPr>
    <w:rPr>
      <w:rFonts w:ascii="Times New Roman" w:hAnsi="Times New Roman" w:eastAsia="Times New Roman" w:cs="Times New Roman"/>
      <w:sz w:val="22"/>
    </w:rPr>
  </w:style>
  <w:style w:type="paragraph" w:customStyle="1" w:styleId="86">
    <w:name w:val="List 1"/>
    <w:basedOn w:val="1"/>
    <w:uiPriority w:val="0"/>
    <w:pPr>
      <w:ind w:left="1200" w:hanging="600"/>
      <w:jc w:val="both"/>
    </w:pPr>
    <w:rPr>
      <w:rFonts w:ascii="Times New Roman" w:hAnsi="Times New Roman" w:eastAsia="Times New Roman" w:cs="Times New Roman"/>
      <w:sz w:val="22"/>
    </w:rPr>
  </w:style>
  <w:style w:type="paragraph" w:customStyle="1" w:styleId="87">
    <w:name w:val="Revision"/>
    <w:hidden/>
    <w:uiPriority w:val="99"/>
    <w:rPr>
      <w:rFonts w:ascii="Calibri" w:hAnsi="Calibri" w:eastAsia="Calibri" w:cs="Calibri"/>
      <w:sz w:val="24"/>
      <w:lang w:val="en-US" w:eastAsia="en-US" w:bidi="ar-SA"/>
    </w:rPr>
  </w:style>
  <w:style w:type="character" w:customStyle="1" w:styleId="88">
    <w:name w:val="Balloon Text Char"/>
    <w:basedOn w:val="26"/>
    <w:link w:val="14"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198</Words>
  <Characters>1131</Characters>
  <Lines>9</Lines>
  <Paragraphs>2</Paragraphs>
  <TotalTime>1</TotalTime>
  <ScaleCrop>false</ScaleCrop>
  <LinksUpToDate>false</LinksUpToDate>
  <CharactersWithSpaces>1327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2025-11-21T02:31:00Z</dcterms:created>
  <dc:creator>Data</dc:creator>
  <cp:lastModifiedBy>ZHDF</cp:lastModifiedBy>
  <dcterms:modified xsi:type="dcterms:W3CDTF">2025-11-24T17:30:03Z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/>
  </property>
  <property fmtid="{D5CDD505-2E9C-101B-9397-08002B2CF9AE}" pid="14" name="Subject">
    <vt:lpwstr/>
  </property>
  <property fmtid="{D5CDD505-2E9C-101B-9397-08002B2CF9AE}" pid="15" name="Merops word count">
    <vt:lpwstr>109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1</vt:lpwstr>
  </property>
  <property fmtid="{D5CDD505-2E9C-101B-9397-08002B2CF9AE}" pid="20" name="Merops figures count">
    <vt:lpwstr>0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0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merops/preset-v1/american-medical-association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crm_547a63ff-20da-4946-98ce-1c00e32e4834.docx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MG-Session/On-20251118/I:72949f32-510c-4500-b5f2-01fa10e6a7fa</vt:lpwstr>
  </property>
  <property fmtid="{D5CDD505-2E9C-101B-9397-08002B2CF9AE}" pid="32" name="Merops processed date">
    <vt:lpwstr>2025/11/18 09:52:34 AM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KSOProductBuildVer">
    <vt:lpwstr>2052-6.13.2.8918</vt:lpwstr>
  </property>
  <property fmtid="{D5CDD505-2E9C-101B-9397-08002B2CF9AE}" pid="36" name="ICV">
    <vt:lpwstr>897EAC7E4EBB4B41AAF81A693F4BA935_41</vt:lpwstr>
  </property>
  <property fmtid="{D5CDD505-2E9C-101B-9397-08002B2CF9AE}" pid="37" name="Merops comment count">
    <vt:lpwstr>0</vt:lpwstr>
  </property>
  <property fmtid="{D5CDD505-2E9C-101B-9397-08002B2CF9AE}" pid="38" name="Merops change count">
    <vt:lpwstr>0</vt:lpwstr>
  </property>
</Properties>
</file>