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75360">
      <w:pPr>
        <w:spacing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4"/>
          <w:szCs w:val="24"/>
        </w:rPr>
        <w:t>Effect of nerve block alone versus combined general anesthesia and nerve block on the incidence of postoperative cardiovascular events in patients undergoing diabetic foot amputation: A retrospective propensity score-matched study</w:t>
      </w:r>
    </w:p>
    <w:p w14:paraId="0BA831F8">
      <w:pPr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0F1E3F8">
      <w:pPr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First author: </w:t>
      </w:r>
      <w:r>
        <w:rPr>
          <w:rFonts w:ascii="Times New Roman" w:hAnsi="Times New Roman" w:cs="Times New Roman"/>
          <w:sz w:val="24"/>
          <w:szCs w:val="24"/>
        </w:rPr>
        <w:t>Xuanfang Zhu</w:t>
      </w:r>
    </w:p>
    <w:p w14:paraId="7E377F5B">
      <w:pPr>
        <w:spacing w:line="360" w:lineRule="auto"/>
        <w:rPr>
          <w:rFonts w:ascii="Times New Roman" w:hAnsi="Times New Roman" w:eastAsia="Times New Roman Bold" w:cs="Times New Roman"/>
          <w:b/>
          <w:sz w:val="24"/>
          <w:szCs w:val="24"/>
        </w:rPr>
      </w:pPr>
    </w:p>
    <w:p w14:paraId="06F14797">
      <w:pPr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 Bold" w:cs="Times New Roman"/>
          <w:b/>
          <w:sz w:val="24"/>
          <w:szCs w:val="24"/>
        </w:rPr>
        <w:t>SDC, Table 1. Definitions of postoperative cardiovascular events.</w:t>
      </w:r>
    </w:p>
    <w:tbl>
      <w:tblPr>
        <w:tblStyle w:val="25"/>
        <w:tblW w:w="9078" w:type="dxa"/>
        <w:tblInd w:w="-1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5"/>
        <w:gridCol w:w="6233"/>
      </w:tblGrid>
      <w:tr w14:paraId="71DE59B2">
        <w:trPr>
          <w:trHeight w:val="325" w:hRule="atLeast"/>
        </w:trPr>
        <w:tc>
          <w:tcPr>
            <w:tcW w:w="2845" w:type="dxa"/>
          </w:tcPr>
          <w:p w14:paraId="71541031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Outcome</w:t>
            </w:r>
          </w:p>
        </w:tc>
        <w:tc>
          <w:tcPr>
            <w:tcW w:w="6233" w:type="dxa"/>
          </w:tcPr>
          <w:p w14:paraId="40FE2BAD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Definitions</w:t>
            </w:r>
          </w:p>
        </w:tc>
      </w:tr>
      <w:tr w14:paraId="352FDCA9">
        <w:trPr>
          <w:trHeight w:val="3159" w:hRule="atLeast"/>
        </w:trPr>
        <w:tc>
          <w:tcPr>
            <w:tcW w:w="2845" w:type="dxa"/>
          </w:tcPr>
          <w:p w14:paraId="7A23F74C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Myocardial injury after non-cardiac surgery</w:t>
            </w:r>
          </w:p>
        </w:tc>
        <w:tc>
          <w:tcPr>
            <w:tcW w:w="6233" w:type="dxa"/>
          </w:tcPr>
          <w:p w14:paraId="50D325B4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Diagnosis requires both of the following:</w:t>
            </w:r>
          </w:p>
          <w:p w14:paraId="4F5A5769">
            <w:pPr>
              <w:numPr>
                <w:ilvl w:val="0"/>
                <w:numId w:val="1"/>
              </w:num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A postoperative high-sensitivity cardiac troponin I (cTnI) (hs-cTnI) &gt;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0.030 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  <w:lang w:val="en-US" w:eastAsia="zh-CN"/>
              </w:rPr>
              <w:t>ug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cTnI </w:t>
            </w: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0.05 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  <w:lang w:val="en-US" w:eastAsia="zh-CN"/>
              </w:rPr>
              <w:t>ug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7D83BFF">
            <w:pPr>
              <w:numPr>
                <w:ilvl w:val="0"/>
                <w:numId w:val="1"/>
              </w:num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 xml:space="preserve">Non-ischemic causes of troponin elevation, including chronic elevation, pulmonary embolism, sepsis, and cardioversion, can be excluded. </w:t>
            </w:r>
          </w:p>
          <w:p w14:paraId="1D829236">
            <w:pPr>
              <w:spacing w:after="240" w:line="360" w:lineRule="auto"/>
              <w:ind w:left="105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To exclude chronic troponin elevation, a ≥20% increase of hs-cTnI or cTnI level from preoperative baseline is required.</w:t>
            </w:r>
          </w:p>
        </w:tc>
      </w:tr>
      <w:tr w14:paraId="04BF4D6A">
        <w:trPr>
          <w:trHeight w:val="2214" w:hRule="atLeast"/>
        </w:trPr>
        <w:tc>
          <w:tcPr>
            <w:tcW w:w="2845" w:type="dxa"/>
          </w:tcPr>
          <w:p w14:paraId="08311E55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Myocardial infarction</w:t>
            </w:r>
          </w:p>
        </w:tc>
        <w:tc>
          <w:tcPr>
            <w:tcW w:w="6233" w:type="dxa"/>
          </w:tcPr>
          <w:p w14:paraId="5F655BAC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 xml:space="preserve">Diagnosis requires both myocardial injury after non-cardiac surgery and at least one of the following: </w:t>
            </w:r>
          </w:p>
          <w:p w14:paraId="4E7AC98C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A. Ischemic signs or symptoms (i.e., chest, arm, neck, or jaw discomfort; shortness of breath; or pulmonary edema).</w:t>
            </w:r>
          </w:p>
          <w:p w14:paraId="28A571C7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 xml:space="preserve">B. New or presumed new electrocardiography changes indicative of ischemia (i.e., ST segment elevation ≥2 mm in leads V1, V2, or V3 or ≥1 mm in the other leads; ST segment depression ≥1 mm; or symmetric inversion of T waves ≥1 mm) in at least two contiguous leads. </w:t>
            </w:r>
          </w:p>
          <w:p w14:paraId="5792E78F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C. New left bundle branch block.</w:t>
            </w:r>
          </w:p>
          <w:p w14:paraId="39CA41C6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 xml:space="preserve">D. Development of pathologic Q waves in any two contiguous leads that were ≥30 ms. </w:t>
            </w:r>
          </w:p>
          <w:p w14:paraId="1F4A2731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E. New cardiac wall motion abnormality on echocardiography or new fixed defect on radionuclide imaging.</w:t>
            </w:r>
          </w:p>
          <w:p w14:paraId="56EAB219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F. Identification of intracoronary thrombus on angiography or autopsy.</w:t>
            </w:r>
          </w:p>
        </w:tc>
      </w:tr>
      <w:tr w14:paraId="07DCAD08">
        <w:trPr>
          <w:trHeight w:val="2214" w:hRule="atLeast"/>
        </w:trPr>
        <w:tc>
          <w:tcPr>
            <w:tcW w:w="2845" w:type="dxa"/>
          </w:tcPr>
          <w:p w14:paraId="3A09974D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Coronary revascularization</w:t>
            </w:r>
          </w:p>
        </w:tc>
        <w:tc>
          <w:tcPr>
            <w:tcW w:w="6233" w:type="dxa"/>
          </w:tcPr>
          <w:p w14:paraId="1CFE3CDE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Defined as percutaneous coronary intervention or coronary artery bypass graft surgery.</w:t>
            </w:r>
          </w:p>
          <w:p w14:paraId="6071C698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</w:p>
        </w:tc>
      </w:tr>
      <w:tr w14:paraId="11DA1001">
        <w:trPr>
          <w:trHeight w:val="2214" w:hRule="atLeast"/>
        </w:trPr>
        <w:tc>
          <w:tcPr>
            <w:tcW w:w="2845" w:type="dxa"/>
          </w:tcPr>
          <w:p w14:paraId="37E6D064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Congestive heart failure</w:t>
            </w:r>
          </w:p>
        </w:tc>
        <w:tc>
          <w:tcPr>
            <w:tcW w:w="6233" w:type="dxa"/>
          </w:tcPr>
          <w:p w14:paraId="2CD566EB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Diagnosis requires at least one of the following clinical signs (i.e., an elevated jugular venous pressure, respiratory rales/crackles, crepitations</w:t>
            </w:r>
            <w:r>
              <w:rPr>
                <w:rFonts w:hint="default" w:ascii="Times New Roman" w:hAnsi="Times New Roman" w:eastAsia="Times New Roman Regular" w:cs="Times New Roman"/>
                <w:sz w:val="24"/>
                <w:szCs w:val="24"/>
                <w:lang w:val="en-US"/>
              </w:rPr>
              <w:t>,or presence of S3</w:t>
            </w: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) and at least one of the following radiographic findings (i.e.,vascular redistribution, interstitial pulmonary edema, or frank alveolar pulmonary edema).</w:t>
            </w:r>
          </w:p>
        </w:tc>
      </w:tr>
      <w:tr w14:paraId="3BD06EA5">
        <w:trPr>
          <w:trHeight w:val="954" w:hRule="atLeast"/>
        </w:trPr>
        <w:tc>
          <w:tcPr>
            <w:tcW w:w="2845" w:type="dxa"/>
          </w:tcPr>
          <w:p w14:paraId="75A4A68A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New atrial fibrillation</w:t>
            </w:r>
          </w:p>
        </w:tc>
        <w:tc>
          <w:tcPr>
            <w:tcW w:w="6233" w:type="dxa"/>
          </w:tcPr>
          <w:p w14:paraId="4895F478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New onset of atrial fibrillation or flutter lasting at least 30 s or for the duration of the electrocardiography recording (if &lt;30 s).</w:t>
            </w:r>
          </w:p>
        </w:tc>
      </w:tr>
      <w:tr w14:paraId="5576423D">
        <w:trPr>
          <w:trHeight w:val="1584" w:hRule="atLeast"/>
        </w:trPr>
        <w:tc>
          <w:tcPr>
            <w:tcW w:w="2845" w:type="dxa"/>
          </w:tcPr>
          <w:p w14:paraId="46317B9E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Cardiac arrest</w:t>
            </w:r>
          </w:p>
          <w:p w14:paraId="736047C5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</w:p>
        </w:tc>
        <w:tc>
          <w:tcPr>
            <w:tcW w:w="6233" w:type="dxa"/>
          </w:tcPr>
          <w:p w14:paraId="4FAE3592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Either documented or presumed ventricular fibrillation, sustained ventricular tachycardia, asystole, or pulseless electrical activity requiring cardiopulmonary resuscitation, pharmacological therapy, or cardiac defibrillation.</w:t>
            </w:r>
          </w:p>
          <w:p w14:paraId="6949F62E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</w:p>
        </w:tc>
      </w:tr>
      <w:tr w14:paraId="66F28858">
        <w:trPr>
          <w:trHeight w:val="1594" w:hRule="atLeast"/>
        </w:trPr>
        <w:tc>
          <w:tcPr>
            <w:tcW w:w="2845" w:type="dxa"/>
          </w:tcPr>
          <w:p w14:paraId="34D7FDD8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Stroke</w:t>
            </w:r>
          </w:p>
        </w:tc>
        <w:tc>
          <w:tcPr>
            <w:tcW w:w="6233" w:type="dxa"/>
          </w:tcPr>
          <w:p w14:paraId="5D321F95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New cerebral infarction or hemorrhage on computed tomography or magnetic resonance imaging scan; or new focal neurological deficit, suspected to be vascular in origin, with signs/symptoms lasting ≥24 h.</w:t>
            </w:r>
          </w:p>
        </w:tc>
      </w:tr>
      <w:tr w14:paraId="7325D0F4">
        <w:trPr>
          <w:trHeight w:val="1594" w:hRule="atLeast"/>
        </w:trPr>
        <w:tc>
          <w:tcPr>
            <w:tcW w:w="2845" w:type="dxa"/>
          </w:tcPr>
          <w:p w14:paraId="0165836C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Pulmonary embolism</w:t>
            </w:r>
          </w:p>
          <w:p w14:paraId="2E6F657B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</w:p>
        </w:tc>
        <w:tc>
          <w:tcPr>
            <w:tcW w:w="6233" w:type="dxa"/>
          </w:tcPr>
          <w:p w14:paraId="0294EFB6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 xml:space="preserve">Diagnosis requires any one of the following: </w:t>
            </w:r>
          </w:p>
          <w:p w14:paraId="26BCD7CC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A. A high probability ventilation/perfusion lung scan.</w:t>
            </w:r>
          </w:p>
          <w:p w14:paraId="35AF718F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B. An intraluminal filling defect of a segmental or larger artery on a helical computed tomography scan.</w:t>
            </w:r>
          </w:p>
          <w:p w14:paraId="26A455E0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C. An intraluminal filling defect on pulmonary angiography.</w:t>
            </w:r>
          </w:p>
          <w:p w14:paraId="097F4925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D. A positive diagnostic test for deep venous thrombosis (e.g., positive compression ultrasound) and one of the following: non-diagnostic (i.e., low or intermediate probability) ventilation/perfusion lung scan or a non-diagnostic (i.e., subsegmental defects or technically inadequate study) helical computed tomography scan.</w:t>
            </w:r>
          </w:p>
        </w:tc>
      </w:tr>
      <w:tr w14:paraId="53892A78">
        <w:trPr>
          <w:trHeight w:val="1594" w:hRule="atLeast"/>
        </w:trPr>
        <w:tc>
          <w:tcPr>
            <w:tcW w:w="2845" w:type="dxa"/>
          </w:tcPr>
          <w:p w14:paraId="0CCE098B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Cardiovascular death</w:t>
            </w:r>
          </w:p>
        </w:tc>
        <w:tc>
          <w:tcPr>
            <w:tcW w:w="6233" w:type="dxa"/>
          </w:tcPr>
          <w:p w14:paraId="5750D85C">
            <w:pPr>
              <w:spacing w:after="240" w:line="360" w:lineRule="auto"/>
              <w:rPr>
                <w:rFonts w:ascii="Times New Roman" w:hAnsi="Times New Roman" w:eastAsia="Times New Roman Regular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 w:val="24"/>
                <w:szCs w:val="24"/>
              </w:rPr>
              <w:t>Mortality with a possible cardiovascular cause, including deaths after myocardial infarction, coronary revascularization, arrhythmia, cardiac arrest, heart failure, pulmonary embolism and stroke, and all-cause mortality.</w:t>
            </w:r>
          </w:p>
        </w:tc>
      </w:tr>
    </w:tbl>
    <w:p w14:paraId="502F30C2">
      <w:pPr>
        <w:spacing w:after="240" w:line="360" w:lineRule="auto"/>
        <w:rPr>
          <w:rFonts w:ascii="Times New Roman" w:hAnsi="Times New Roman" w:eastAsia="Times New Roman Regular" w:cs="Times New Roman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EA6B9C"/>
    <w:multiLevelType w:val="multilevel"/>
    <w:tmpl w:val="57EA6B9C"/>
    <w:lvl w:ilvl="0" w:tentative="0">
      <w:start w:val="1"/>
      <w:numFmt w:val="upperLetter"/>
      <w:lvlText w:val="%1."/>
      <w:lvlJc w:val="left"/>
      <w:pPr>
        <w:ind w:left="105" w:firstLine="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revisionView w:markup="0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e0NDE1Nzc2tLQwNTJQ0lEKTi0uzszPAykwqgUAhKoi8ywAAAA="/>
  </w:docVars>
  <w:rsids>
    <w:rsidRoot w:val="008316FD"/>
    <w:rsid w:val="00033F7C"/>
    <w:rsid w:val="0009607E"/>
    <w:rsid w:val="000A651A"/>
    <w:rsid w:val="000A731A"/>
    <w:rsid w:val="002555AD"/>
    <w:rsid w:val="00274D4D"/>
    <w:rsid w:val="002920F8"/>
    <w:rsid w:val="002A4F68"/>
    <w:rsid w:val="002F53DA"/>
    <w:rsid w:val="00361BA8"/>
    <w:rsid w:val="00372BB6"/>
    <w:rsid w:val="003A2A70"/>
    <w:rsid w:val="00424565"/>
    <w:rsid w:val="00471E78"/>
    <w:rsid w:val="004A174F"/>
    <w:rsid w:val="004F2F3D"/>
    <w:rsid w:val="00550D14"/>
    <w:rsid w:val="0057000B"/>
    <w:rsid w:val="005866CB"/>
    <w:rsid w:val="005B2E68"/>
    <w:rsid w:val="005F4B0A"/>
    <w:rsid w:val="00603984"/>
    <w:rsid w:val="00657009"/>
    <w:rsid w:val="0066770A"/>
    <w:rsid w:val="007B4182"/>
    <w:rsid w:val="008316FD"/>
    <w:rsid w:val="00831D2F"/>
    <w:rsid w:val="00856CD2"/>
    <w:rsid w:val="0099081C"/>
    <w:rsid w:val="00993590"/>
    <w:rsid w:val="0099618B"/>
    <w:rsid w:val="009B7485"/>
    <w:rsid w:val="009D4348"/>
    <w:rsid w:val="009E7108"/>
    <w:rsid w:val="00A86C09"/>
    <w:rsid w:val="00B021BC"/>
    <w:rsid w:val="00B13DBB"/>
    <w:rsid w:val="00B23612"/>
    <w:rsid w:val="00B554C6"/>
    <w:rsid w:val="00BD1008"/>
    <w:rsid w:val="00BF27EB"/>
    <w:rsid w:val="00C216FD"/>
    <w:rsid w:val="00C317B1"/>
    <w:rsid w:val="00C5088D"/>
    <w:rsid w:val="00C654CB"/>
    <w:rsid w:val="00C67FEE"/>
    <w:rsid w:val="00C71F4D"/>
    <w:rsid w:val="00DF4F89"/>
    <w:rsid w:val="00F32933"/>
    <w:rsid w:val="00F56650"/>
    <w:rsid w:val="00F74BAD"/>
    <w:rsid w:val="00FF04ED"/>
    <w:rsid w:val="3FBFB79F"/>
    <w:rsid w:val="7D67241A"/>
    <w:rsid w:val="BFDFC470"/>
    <w:rsid w:val="E7BC92CD"/>
    <w:rsid w:val="EF8FA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nhideWhenUsed="0" w:uiPriority="99" w:semiHidden="0" w:name="heading 2"/>
    <w:lsdException w:unhideWhenUsed="0" w:uiPriority="99" w:semiHidden="0" w:name="heading 3"/>
    <w:lsdException w:unhideWhenUsed="0" w:uiPriority="99" w:semiHidden="0" w:name="heading 4"/>
    <w:lsdException w:unhideWhenUsed="0" w:uiPriority="99" w:semiHidden="0" w:name="heading 5"/>
    <w:lsdException w:unhideWhenUsed="0" w:uiPriority="99" w:semiHidden="0" w:name="heading 6"/>
    <w:lsdException w:unhideWhenUsed="0" w:uiPriority="99" w:semiHidden="0" w:name="heading 7"/>
    <w:lsdException w:unhideWhenUsed="0" w:uiPriority="99" w:semiHidden="0" w:name="heading 8"/>
    <w:lsdException w:unhideWhenUsed="0" w:uiPriority="9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nhideWhenUsed="0" w:uiPriority="0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0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0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1"/>
      <w:lang w:val="en-US" w:eastAsia="en-US" w:bidi="ar-SA"/>
    </w:rPr>
  </w:style>
  <w:style w:type="character" w:default="1" w:styleId="26">
    <w:name w:val="Default Paragraph Font"/>
    <w:semiHidden/>
    <w:unhideWhenUsed/>
    <w:uiPriority w:val="1"/>
  </w:style>
  <w:style w:type="table" w:default="1" w:styleId="2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uiPriority w:val="0"/>
    <w:pPr>
      <w:spacing w:line="360" w:lineRule="auto"/>
      <w:ind w:left="1200" w:hanging="400"/>
    </w:pPr>
    <w:rPr>
      <w:sz w:val="22"/>
    </w:rPr>
  </w:style>
  <w:style w:type="paragraph" w:styleId="3">
    <w:name w:val="toc 7"/>
    <w:basedOn w:val="1"/>
    <w:uiPriority w:val="0"/>
    <w:pPr>
      <w:spacing w:line="330" w:lineRule="exact"/>
    </w:pPr>
  </w:style>
  <w:style w:type="paragraph" w:styleId="4">
    <w:name w:val="caption"/>
    <w:basedOn w:val="1"/>
    <w:uiPriority w:val="0"/>
    <w:pPr>
      <w:shd w:val="clear" w:color="auto" w:fill="FFF5ED"/>
      <w:spacing w:before="240" w:line="349" w:lineRule="auto"/>
    </w:pPr>
    <w:rPr>
      <w:sz w:val="22"/>
    </w:rPr>
  </w:style>
  <w:style w:type="paragraph" w:styleId="5">
    <w:name w:val="annotation text"/>
    <w:basedOn w:val="1"/>
    <w:link w:val="88"/>
    <w:uiPriority w:val="0"/>
    <w:pPr>
      <w:jc w:val="left"/>
    </w:pPr>
    <w:rPr>
      <w:sz w:val="20"/>
    </w:rPr>
  </w:style>
  <w:style w:type="paragraph" w:styleId="6">
    <w:name w:val="List 2"/>
    <w:basedOn w:val="1"/>
    <w:uiPriority w:val="0"/>
    <w:pPr>
      <w:spacing w:line="360" w:lineRule="auto"/>
      <w:ind w:left="800" w:hanging="400"/>
    </w:pPr>
    <w:rPr>
      <w:sz w:val="22"/>
    </w:rPr>
  </w:style>
  <w:style w:type="paragraph" w:styleId="7">
    <w:name w:val="Block Text"/>
    <w:basedOn w:val="1"/>
    <w:uiPriority w:val="0"/>
    <w:pPr>
      <w:spacing w:after="160" w:line="360" w:lineRule="auto"/>
      <w:ind w:left="1200"/>
    </w:pPr>
    <w:rPr>
      <w:sz w:val="22"/>
    </w:rPr>
  </w:style>
  <w:style w:type="paragraph" w:styleId="8">
    <w:name w:val="toc 5"/>
    <w:basedOn w:val="1"/>
    <w:uiPriority w:val="0"/>
    <w:pPr>
      <w:spacing w:line="330" w:lineRule="exact"/>
    </w:pPr>
  </w:style>
  <w:style w:type="paragraph" w:styleId="9">
    <w:name w:val="toc 3"/>
    <w:basedOn w:val="1"/>
    <w:uiPriority w:val="0"/>
    <w:pPr>
      <w:spacing w:line="360" w:lineRule="auto"/>
    </w:pPr>
    <w:rPr>
      <w:sz w:val="22"/>
    </w:rPr>
  </w:style>
  <w:style w:type="paragraph" w:styleId="10">
    <w:name w:val="toc 8"/>
    <w:basedOn w:val="1"/>
    <w:uiPriority w:val="0"/>
    <w:pPr>
      <w:spacing w:line="330" w:lineRule="exact"/>
    </w:pPr>
  </w:style>
  <w:style w:type="paragraph" w:styleId="11">
    <w:name w:val="endnote text"/>
    <w:basedOn w:val="1"/>
    <w:uiPriority w:val="0"/>
  </w:style>
  <w:style w:type="paragraph" w:styleId="12">
    <w:name w:val="Balloon Text"/>
    <w:basedOn w:val="1"/>
    <w:link w:val="90"/>
    <w:uiPriority w:val="99"/>
    <w:rPr>
      <w:rFonts w:ascii="Segoe UI" w:hAnsi="Segoe UI" w:cs="Segoe UI"/>
      <w:sz w:val="18"/>
      <w:szCs w:val="18"/>
    </w:rPr>
  </w:style>
  <w:style w:type="paragraph" w:styleId="13">
    <w:name w:val="toc 1"/>
    <w:basedOn w:val="1"/>
    <w:uiPriority w:val="0"/>
    <w:pPr>
      <w:spacing w:line="305" w:lineRule="auto"/>
    </w:pPr>
    <w:rPr>
      <w:sz w:val="26"/>
    </w:rPr>
  </w:style>
  <w:style w:type="paragraph" w:styleId="14">
    <w:name w:val="toc 4"/>
    <w:basedOn w:val="1"/>
    <w:uiPriority w:val="0"/>
    <w:pPr>
      <w:spacing w:line="330" w:lineRule="exact"/>
    </w:pPr>
  </w:style>
  <w:style w:type="paragraph" w:styleId="15">
    <w:name w:val="Subtitle"/>
    <w:basedOn w:val="1"/>
    <w:qFormat/>
    <w:uiPriority w:val="0"/>
    <w:pPr>
      <w:spacing w:after="160" w:line="208" w:lineRule="auto"/>
      <w:jc w:val="left"/>
    </w:pPr>
    <w:rPr>
      <w:sz w:val="38"/>
    </w:rPr>
  </w:style>
  <w:style w:type="paragraph" w:styleId="16">
    <w:name w:val="List"/>
    <w:basedOn w:val="1"/>
    <w:uiPriority w:val="0"/>
    <w:pPr>
      <w:spacing w:line="360" w:lineRule="auto"/>
      <w:ind w:left="400" w:hanging="400"/>
    </w:pPr>
    <w:rPr>
      <w:sz w:val="22"/>
    </w:rPr>
  </w:style>
  <w:style w:type="paragraph" w:styleId="17">
    <w:name w:val="footnote text"/>
    <w:basedOn w:val="1"/>
    <w:uiPriority w:val="0"/>
  </w:style>
  <w:style w:type="paragraph" w:styleId="18">
    <w:name w:val="toc 6"/>
    <w:basedOn w:val="1"/>
    <w:uiPriority w:val="0"/>
    <w:pPr>
      <w:spacing w:line="330" w:lineRule="exact"/>
    </w:pPr>
  </w:style>
  <w:style w:type="paragraph" w:styleId="19">
    <w:name w:val="List 5"/>
    <w:basedOn w:val="1"/>
    <w:uiPriority w:val="0"/>
    <w:pPr>
      <w:spacing w:line="360" w:lineRule="auto"/>
      <w:ind w:left="1800" w:hanging="400"/>
    </w:pPr>
    <w:rPr>
      <w:sz w:val="22"/>
    </w:rPr>
  </w:style>
  <w:style w:type="paragraph" w:styleId="20">
    <w:name w:val="toc 2"/>
    <w:basedOn w:val="1"/>
    <w:uiPriority w:val="0"/>
    <w:pPr>
      <w:spacing w:line="330" w:lineRule="auto"/>
    </w:pPr>
    <w:rPr>
      <w:sz w:val="24"/>
    </w:rPr>
  </w:style>
  <w:style w:type="paragraph" w:styleId="21">
    <w:name w:val="toc 9"/>
    <w:basedOn w:val="1"/>
    <w:uiPriority w:val="0"/>
    <w:pPr>
      <w:spacing w:line="330" w:lineRule="exact"/>
    </w:pPr>
  </w:style>
  <w:style w:type="paragraph" w:styleId="22">
    <w:name w:val="List 4"/>
    <w:basedOn w:val="1"/>
    <w:uiPriority w:val="0"/>
    <w:pPr>
      <w:spacing w:line="360" w:lineRule="auto"/>
      <w:ind w:left="1600" w:hanging="400"/>
    </w:pPr>
    <w:rPr>
      <w:sz w:val="22"/>
    </w:rPr>
  </w:style>
  <w:style w:type="paragraph" w:styleId="23">
    <w:name w:val="annotation subject"/>
    <w:basedOn w:val="5"/>
    <w:next w:val="5"/>
    <w:link w:val="89"/>
    <w:uiPriority w:val="99"/>
    <w:pPr>
      <w:jc w:val="both"/>
    </w:pPr>
    <w:rPr>
      <w:b/>
      <w:bCs/>
    </w:rPr>
  </w:style>
  <w:style w:type="table" w:styleId="25">
    <w:name w:val="Table Grid"/>
    <w:basedOn w:val="2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7">
    <w:name w:val="endnote reference"/>
    <w:basedOn w:val="26"/>
    <w:uiPriority w:val="0"/>
    <w:rPr>
      <w:vertAlign w:val="superscript"/>
    </w:rPr>
  </w:style>
  <w:style w:type="character" w:styleId="28">
    <w:name w:val="Hyperlink"/>
    <w:basedOn w:val="26"/>
    <w:uiPriority w:val="0"/>
    <w:rPr>
      <w:color w:val="0563C1"/>
    </w:rPr>
  </w:style>
  <w:style w:type="character" w:styleId="29">
    <w:name w:val="annotation reference"/>
    <w:basedOn w:val="26"/>
    <w:uiPriority w:val="0"/>
    <w:rPr>
      <w:sz w:val="16"/>
    </w:rPr>
  </w:style>
  <w:style w:type="character" w:styleId="30">
    <w:name w:val="footnote reference"/>
    <w:basedOn w:val="26"/>
    <w:uiPriority w:val="0"/>
    <w:rPr>
      <w:vertAlign w:val="superscript"/>
    </w:rPr>
  </w:style>
  <w:style w:type="table" w:customStyle="1" w:styleId="31">
    <w:name w:val="Old Default Table Style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2">
    <w:name w:val="List Paragraph"/>
    <w:basedOn w:val="1"/>
    <w:uiPriority w:val="0"/>
    <w:pPr>
      <w:ind w:firstLine="420"/>
    </w:pPr>
  </w:style>
  <w:style w:type="paragraph" w:customStyle="1" w:styleId="33">
    <w:name w:val="Formula"/>
    <w:basedOn w:val="1"/>
    <w:uiPriority w:val="0"/>
    <w:pPr>
      <w:shd w:val="clear" w:color="auto" w:fill="FFF5ED"/>
      <w:spacing w:before="120" w:after="120" w:line="360" w:lineRule="auto"/>
      <w:jc w:val="left"/>
    </w:pPr>
    <w:rPr>
      <w:sz w:val="22"/>
    </w:rPr>
  </w:style>
  <w:style w:type="character" w:customStyle="1" w:styleId="34">
    <w:name w:val="Publisher"/>
    <w:basedOn w:val="26"/>
    <w:uiPriority w:val="0"/>
    <w:rPr>
      <w:shd w:val="clear" w:color="auto" w:fill="F2DDFF"/>
    </w:rPr>
  </w:style>
  <w:style w:type="character" w:customStyle="1" w:styleId="35">
    <w:name w:val="Miscellaneous"/>
    <w:basedOn w:val="26"/>
    <w:uiPriority w:val="0"/>
    <w:rPr>
      <w:shd w:val="clear" w:color="auto" w:fill="F0F0F0"/>
    </w:rPr>
  </w:style>
  <w:style w:type="paragraph" w:customStyle="1" w:styleId="36">
    <w:name w:val="Surtitle"/>
    <w:basedOn w:val="1"/>
    <w:qFormat/>
    <w:uiPriority w:val="0"/>
    <w:pPr>
      <w:spacing w:after="160" w:line="208" w:lineRule="auto"/>
      <w:jc w:val="left"/>
    </w:pPr>
    <w:rPr>
      <w:sz w:val="38"/>
    </w:rPr>
  </w:style>
  <w:style w:type="character" w:customStyle="1" w:styleId="37">
    <w:name w:val="Page Numbers"/>
    <w:basedOn w:val="26"/>
    <w:uiPriority w:val="0"/>
    <w:rPr>
      <w:shd w:val="clear" w:color="auto" w:fill="FFEDF0"/>
    </w:rPr>
  </w:style>
  <w:style w:type="paragraph" w:customStyle="1" w:styleId="38">
    <w:name w:val="Correspondence"/>
    <w:basedOn w:val="1"/>
    <w:uiPriority w:val="0"/>
    <w:pPr>
      <w:shd w:val="clear" w:color="auto" w:fill="F3F7F9"/>
      <w:spacing w:before="240" w:after="120" w:line="396" w:lineRule="auto"/>
      <w:ind w:left="400" w:hanging="400"/>
      <w:jc w:val="left"/>
    </w:pPr>
    <w:rPr>
      <w:sz w:val="20"/>
    </w:rPr>
  </w:style>
  <w:style w:type="character" w:customStyle="1" w:styleId="39">
    <w:name w:val="Glossary Term"/>
    <w:basedOn w:val="26"/>
    <w:uiPriority w:val="0"/>
    <w:rPr>
      <w:shd w:val="clear" w:color="auto" w:fill="FFCFD7"/>
    </w:rPr>
  </w:style>
  <w:style w:type="character" w:customStyle="1" w:styleId="40">
    <w:name w:val="Database Link"/>
    <w:basedOn w:val="26"/>
    <w:uiPriority w:val="0"/>
    <w:rPr>
      <w:shd w:val="clear" w:color="auto" w:fill="AFBEFF"/>
    </w:rPr>
  </w:style>
  <w:style w:type="character" w:customStyle="1" w:styleId="41">
    <w:name w:val="Source"/>
    <w:basedOn w:val="26"/>
    <w:uiPriority w:val="0"/>
    <w:rPr>
      <w:shd w:val="clear" w:color="auto" w:fill="C1EDFF"/>
    </w:rPr>
  </w:style>
  <w:style w:type="character" w:customStyle="1" w:styleId="42">
    <w:name w:val="Cross-reference"/>
    <w:basedOn w:val="26"/>
    <w:uiPriority w:val="0"/>
    <w:rPr>
      <w:shd w:val="clear" w:color="auto" w:fill="FFE3C9"/>
    </w:rPr>
  </w:style>
  <w:style w:type="paragraph" w:customStyle="1" w:styleId="43">
    <w:name w:val="Table Body"/>
    <w:basedOn w:val="1"/>
    <w:uiPriority w:val="0"/>
    <w:pPr>
      <w:spacing w:after="160" w:line="396" w:lineRule="auto"/>
      <w:jc w:val="left"/>
    </w:pPr>
    <w:rPr>
      <w:sz w:val="20"/>
    </w:rPr>
  </w:style>
  <w:style w:type="paragraph" w:customStyle="1" w:styleId="44">
    <w:name w:val="Annotation"/>
    <w:basedOn w:val="1"/>
    <w:uiPriority w:val="0"/>
    <w:pPr>
      <w:spacing w:after="160" w:line="360" w:lineRule="auto"/>
      <w:ind w:left="400"/>
      <w:jc w:val="left"/>
    </w:pPr>
    <w:rPr>
      <w:sz w:val="22"/>
    </w:rPr>
  </w:style>
  <w:style w:type="paragraph" w:customStyle="1" w:styleId="45">
    <w:name w:val="Keywords"/>
    <w:basedOn w:val="1"/>
    <w:uiPriority w:val="0"/>
    <w:pPr>
      <w:spacing w:line="396" w:lineRule="auto"/>
      <w:ind w:left="1000"/>
      <w:jc w:val="left"/>
    </w:pPr>
    <w:rPr>
      <w:sz w:val="20"/>
    </w:rPr>
  </w:style>
  <w:style w:type="character" w:customStyle="1" w:styleId="46">
    <w:name w:val="Organization"/>
    <w:basedOn w:val="26"/>
    <w:uiPriority w:val="0"/>
    <w:rPr>
      <w:shd w:val="clear" w:color="auto" w:fill="D1FFB5"/>
    </w:rPr>
  </w:style>
  <w:style w:type="character" w:customStyle="1" w:styleId="47">
    <w:name w:val="Family Name"/>
    <w:basedOn w:val="26"/>
    <w:uiPriority w:val="0"/>
    <w:rPr>
      <w:shd w:val="clear" w:color="auto" w:fill="88F4BE"/>
    </w:rPr>
  </w:style>
  <w:style w:type="paragraph" w:customStyle="1" w:styleId="48">
    <w:name w:val="Quotation Source"/>
    <w:basedOn w:val="1"/>
    <w:uiPriority w:val="0"/>
    <w:pPr>
      <w:spacing w:after="170" w:line="360" w:lineRule="auto"/>
      <w:ind w:left="1200"/>
      <w:jc w:val="right"/>
    </w:pPr>
    <w:rPr>
      <w:sz w:val="22"/>
    </w:rPr>
  </w:style>
  <w:style w:type="paragraph" w:customStyle="1" w:styleId="49">
    <w:name w:val="Affiliation"/>
    <w:basedOn w:val="1"/>
    <w:uiPriority w:val="0"/>
    <w:pPr>
      <w:shd w:val="clear" w:color="auto" w:fill="F4FFED"/>
      <w:spacing w:before="240" w:after="120" w:line="396" w:lineRule="auto"/>
      <w:ind w:left="400" w:hanging="400"/>
      <w:jc w:val="left"/>
    </w:pPr>
    <w:rPr>
      <w:sz w:val="20"/>
    </w:rPr>
  </w:style>
  <w:style w:type="paragraph" w:customStyle="1" w:styleId="50">
    <w:name w:val="Copyright"/>
    <w:basedOn w:val="1"/>
    <w:uiPriority w:val="0"/>
    <w:pPr>
      <w:shd w:val="clear" w:color="auto" w:fill="E9F9FF"/>
    </w:pPr>
    <w:rPr>
      <w:sz w:val="18"/>
    </w:rPr>
  </w:style>
  <w:style w:type="character" w:customStyle="1" w:styleId="51">
    <w:name w:val="City"/>
    <w:basedOn w:val="26"/>
    <w:uiPriority w:val="0"/>
    <w:rPr>
      <w:shd w:val="clear" w:color="auto" w:fill="D7D7D7"/>
    </w:rPr>
  </w:style>
  <w:style w:type="character" w:customStyle="1" w:styleId="52">
    <w:name w:val="Name Scientific"/>
    <w:basedOn w:val="26"/>
    <w:uiPriority w:val="0"/>
    <w:rPr>
      <w:shd w:val="clear" w:color="auto" w:fill="91E0FF"/>
    </w:rPr>
  </w:style>
  <w:style w:type="character" w:customStyle="1" w:styleId="53">
    <w:name w:val="Year"/>
    <w:basedOn w:val="26"/>
    <w:uiPriority w:val="0"/>
    <w:rPr>
      <w:shd w:val="clear" w:color="auto" w:fill="FFF9C9"/>
    </w:rPr>
  </w:style>
  <w:style w:type="character" w:customStyle="1" w:styleId="54">
    <w:name w:val="Heading:"/>
    <w:basedOn w:val="26"/>
    <w:uiPriority w:val="0"/>
    <w:rPr>
      <w:color w:val="5B89C1"/>
    </w:rPr>
  </w:style>
  <w:style w:type="paragraph" w:customStyle="1" w:styleId="55">
    <w:name w:val="Authors"/>
    <w:basedOn w:val="1"/>
    <w:uiPriority w:val="0"/>
    <w:pPr>
      <w:spacing w:before="360" w:after="120" w:line="283" w:lineRule="auto"/>
      <w:jc w:val="left"/>
    </w:pPr>
    <w:rPr>
      <w:sz w:val="28"/>
    </w:rPr>
  </w:style>
  <w:style w:type="paragraph" w:customStyle="1" w:styleId="56">
    <w:name w:val="Table Note"/>
    <w:basedOn w:val="1"/>
    <w:uiPriority w:val="0"/>
    <w:rPr>
      <w:sz w:val="18"/>
    </w:rPr>
  </w:style>
  <w:style w:type="paragraph" w:customStyle="1" w:styleId="57">
    <w:name w:val="Reference"/>
    <w:basedOn w:val="1"/>
    <w:uiPriority w:val="0"/>
    <w:pPr>
      <w:spacing w:after="320" w:line="360" w:lineRule="auto"/>
      <w:ind w:left="400" w:hanging="400"/>
    </w:pPr>
    <w:rPr>
      <w:sz w:val="22"/>
    </w:rPr>
  </w:style>
  <w:style w:type="paragraph" w:customStyle="1" w:styleId="58">
    <w:name w:val="Abstract"/>
    <w:basedOn w:val="1"/>
    <w:uiPriority w:val="0"/>
    <w:pPr>
      <w:spacing w:after="160" w:line="360" w:lineRule="auto"/>
      <w:ind w:left="1440" w:right="1440"/>
    </w:pPr>
    <w:rPr>
      <w:sz w:val="22"/>
    </w:rPr>
  </w:style>
  <w:style w:type="paragraph" w:customStyle="1" w:styleId="59">
    <w:name w:val="List 8"/>
    <w:basedOn w:val="1"/>
    <w:uiPriority w:val="0"/>
    <w:pPr>
      <w:spacing w:line="360" w:lineRule="auto"/>
      <w:ind w:left="1980" w:hanging="400"/>
    </w:pPr>
    <w:rPr>
      <w:sz w:val="22"/>
    </w:rPr>
  </w:style>
  <w:style w:type="paragraph" w:customStyle="1" w:styleId="60">
    <w:name w:val="Biography"/>
    <w:basedOn w:val="1"/>
    <w:uiPriority w:val="0"/>
    <w:pPr>
      <w:shd w:val="clear" w:color="auto" w:fill="EEFEF4"/>
      <w:spacing w:after="160" w:line="396" w:lineRule="auto"/>
    </w:pPr>
    <w:rPr>
      <w:sz w:val="20"/>
    </w:rPr>
  </w:style>
  <w:style w:type="character" w:customStyle="1" w:styleId="61">
    <w:name w:val="Country"/>
    <w:basedOn w:val="26"/>
    <w:uiPriority w:val="0"/>
    <w:rPr>
      <w:shd w:val="clear" w:color="auto" w:fill="97C5D1"/>
    </w:rPr>
  </w:style>
  <w:style w:type="paragraph" w:customStyle="1" w:styleId="62">
    <w:name w:val="List 7"/>
    <w:basedOn w:val="1"/>
    <w:uiPriority w:val="0"/>
    <w:pPr>
      <w:spacing w:line="360" w:lineRule="auto"/>
      <w:ind w:left="1920" w:hanging="400"/>
    </w:pPr>
    <w:rPr>
      <w:sz w:val="22"/>
    </w:rPr>
  </w:style>
  <w:style w:type="paragraph" w:customStyle="1" w:styleId="63">
    <w:name w:val="Note"/>
    <w:basedOn w:val="1"/>
    <w:uiPriority w:val="0"/>
    <w:pPr>
      <w:shd w:val="clear" w:color="auto" w:fill="EDF0FF"/>
      <w:spacing w:line="432" w:lineRule="auto"/>
    </w:pPr>
    <w:rPr>
      <w:sz w:val="20"/>
    </w:rPr>
  </w:style>
  <w:style w:type="character" w:customStyle="1" w:styleId="64">
    <w:name w:val="Article Title"/>
    <w:basedOn w:val="26"/>
    <w:qFormat/>
    <w:uiPriority w:val="0"/>
    <w:rPr>
      <w:shd w:val="clear" w:color="auto" w:fill="E9F9FF"/>
    </w:rPr>
  </w:style>
  <w:style w:type="paragraph" w:customStyle="1" w:styleId="65">
    <w:name w:val="Acknowledgements"/>
    <w:basedOn w:val="1"/>
    <w:uiPriority w:val="0"/>
    <w:pPr>
      <w:shd w:val="clear" w:color="auto" w:fill="F9EDFF"/>
      <w:spacing w:after="160" w:line="396" w:lineRule="auto"/>
    </w:pPr>
    <w:rPr>
      <w:sz w:val="20"/>
    </w:rPr>
  </w:style>
  <w:style w:type="character" w:customStyle="1" w:styleId="66">
    <w:name w:val="Conference"/>
    <w:basedOn w:val="26"/>
    <w:uiPriority w:val="0"/>
    <w:rPr>
      <w:shd w:val="clear" w:color="auto" w:fill="FFAFBC"/>
    </w:rPr>
  </w:style>
  <w:style w:type="paragraph" w:customStyle="1" w:styleId="67">
    <w:name w:val="List 6"/>
    <w:basedOn w:val="1"/>
    <w:uiPriority w:val="0"/>
    <w:pPr>
      <w:spacing w:line="360" w:lineRule="auto"/>
      <w:ind w:left="1860" w:hanging="400"/>
    </w:pPr>
    <w:rPr>
      <w:sz w:val="22"/>
    </w:rPr>
  </w:style>
  <w:style w:type="character" w:customStyle="1" w:styleId="68">
    <w:name w:val="Given Name"/>
    <w:basedOn w:val="26"/>
    <w:uiPriority w:val="0"/>
    <w:rPr>
      <w:shd w:val="clear" w:color="auto" w:fill="D0FCE2"/>
    </w:rPr>
  </w:style>
  <w:style w:type="paragraph" w:customStyle="1" w:styleId="69">
    <w:name w:val="Table Head"/>
    <w:basedOn w:val="1"/>
    <w:uiPriority w:val="0"/>
    <w:pPr>
      <w:shd w:val="clear" w:color="auto" w:fill="FFEDFA"/>
      <w:jc w:val="left"/>
    </w:pPr>
    <w:rPr>
      <w:sz w:val="20"/>
    </w:rPr>
  </w:style>
  <w:style w:type="paragraph" w:customStyle="1" w:styleId="70">
    <w:name w:val="Abstract Subheading"/>
    <w:basedOn w:val="1"/>
    <w:next w:val="1"/>
    <w:uiPriority w:val="0"/>
    <w:pPr>
      <w:keepNext/>
      <w:keepLines/>
      <w:ind w:left="1440"/>
      <w:outlineLvl w:val="8"/>
    </w:pPr>
    <w:rPr>
      <w:sz w:val="22"/>
    </w:rPr>
  </w:style>
  <w:style w:type="character" w:customStyle="1" w:styleId="71">
    <w:name w:val="Issue Number"/>
    <w:basedOn w:val="26"/>
    <w:uiPriority w:val="0"/>
    <w:rPr>
      <w:shd w:val="clear" w:color="auto" w:fill="CDD5FF"/>
    </w:rPr>
  </w:style>
  <w:style w:type="character" w:customStyle="1" w:styleId="72">
    <w:name w:val="Label"/>
    <w:basedOn w:val="26"/>
    <w:uiPriority w:val="0"/>
    <w:rPr>
      <w:shd w:val="clear" w:color="auto" w:fill="FFC391"/>
      <w:vertAlign w:val="baseline"/>
    </w:rPr>
  </w:style>
  <w:style w:type="character" w:customStyle="1" w:styleId="73">
    <w:name w:val="Postcode"/>
    <w:basedOn w:val="26"/>
    <w:uiPriority w:val="0"/>
    <w:rPr>
      <w:shd w:val="clear" w:color="auto" w:fill="BEBEBE"/>
    </w:rPr>
  </w:style>
  <w:style w:type="character" w:customStyle="1" w:styleId="74">
    <w:name w:val="Region"/>
    <w:basedOn w:val="26"/>
    <w:uiPriority w:val="0"/>
    <w:rPr>
      <w:shd w:val="clear" w:color="auto" w:fill="D8E9EE"/>
    </w:rPr>
  </w:style>
  <w:style w:type="paragraph" w:customStyle="1" w:styleId="75">
    <w:name w:val="Chapter Number"/>
    <w:basedOn w:val="1"/>
    <w:uiPriority w:val="0"/>
  </w:style>
  <w:style w:type="character" w:customStyle="1" w:styleId="76">
    <w:name w:val="Location"/>
    <w:basedOn w:val="26"/>
    <w:uiPriority w:val="0"/>
    <w:rPr>
      <w:shd w:val="clear" w:color="auto" w:fill="F9EDFF"/>
    </w:rPr>
  </w:style>
  <w:style w:type="character" w:customStyle="1" w:styleId="77">
    <w:name w:val="Grant ID"/>
    <w:basedOn w:val="26"/>
    <w:uiPriority w:val="0"/>
    <w:rPr>
      <w:shd w:val="clear" w:color="auto" w:fill="DDA5FF"/>
    </w:rPr>
  </w:style>
  <w:style w:type="paragraph" w:customStyle="1" w:styleId="78">
    <w:name w:val="Glossary"/>
    <w:basedOn w:val="1"/>
    <w:uiPriority w:val="0"/>
    <w:pPr>
      <w:shd w:val="clear" w:color="auto" w:fill="FFEDF0"/>
      <w:spacing w:before="120" w:after="120" w:line="432" w:lineRule="auto"/>
    </w:pPr>
    <w:rPr>
      <w:sz w:val="20"/>
    </w:rPr>
  </w:style>
  <w:style w:type="paragraph" w:customStyle="1" w:styleId="79">
    <w:name w:val="Table List"/>
    <w:basedOn w:val="1"/>
    <w:uiPriority w:val="0"/>
    <w:pPr>
      <w:ind w:left="300" w:hanging="300"/>
      <w:jc w:val="left"/>
    </w:pPr>
    <w:rPr>
      <w:sz w:val="20"/>
    </w:rPr>
  </w:style>
  <w:style w:type="character" w:customStyle="1" w:styleId="80">
    <w:name w:val="Gene Sequence"/>
    <w:basedOn w:val="26"/>
    <w:uiPriority w:val="0"/>
    <w:rPr>
      <w:shd w:val="clear" w:color="auto" w:fill="FFCDF2"/>
    </w:rPr>
  </w:style>
  <w:style w:type="character" w:customStyle="1" w:styleId="81">
    <w:name w:val="Volume Number"/>
    <w:basedOn w:val="26"/>
    <w:uiPriority w:val="0"/>
    <w:rPr>
      <w:shd w:val="clear" w:color="auto" w:fill="EDF0FF"/>
    </w:rPr>
  </w:style>
  <w:style w:type="paragraph" w:customStyle="1" w:styleId="82">
    <w:name w:val="Statement"/>
    <w:basedOn w:val="1"/>
    <w:uiPriority w:val="0"/>
    <w:pPr>
      <w:ind w:left="900"/>
    </w:pPr>
    <w:rPr>
      <w:sz w:val="22"/>
    </w:rPr>
  </w:style>
  <w:style w:type="paragraph" w:customStyle="1" w:styleId="83">
    <w:name w:val="Quotation"/>
    <w:basedOn w:val="1"/>
    <w:uiPriority w:val="0"/>
    <w:pPr>
      <w:spacing w:after="160" w:line="360" w:lineRule="auto"/>
      <w:ind w:left="1200" w:right="1200"/>
    </w:pPr>
    <w:rPr>
      <w:sz w:val="22"/>
    </w:rPr>
  </w:style>
  <w:style w:type="character" w:customStyle="1" w:styleId="84">
    <w:name w:val="Edition"/>
    <w:basedOn w:val="26"/>
    <w:uiPriority w:val="0"/>
    <w:rPr>
      <w:shd w:val="clear" w:color="auto" w:fill="FFF6A4"/>
    </w:rPr>
  </w:style>
  <w:style w:type="paragraph" w:customStyle="1" w:styleId="85">
    <w:name w:val="List 9"/>
    <w:basedOn w:val="1"/>
    <w:uiPriority w:val="0"/>
    <w:pPr>
      <w:ind w:left="1200" w:hanging="600"/>
    </w:pPr>
    <w:rPr>
      <w:rFonts w:ascii="Times New Roman" w:hAnsi="Times New Roman" w:eastAsia="Times New Roman" w:cs="Times New Roman"/>
      <w:sz w:val="22"/>
    </w:rPr>
  </w:style>
  <w:style w:type="paragraph" w:customStyle="1" w:styleId="86">
    <w:name w:val="List 1"/>
    <w:basedOn w:val="1"/>
    <w:uiPriority w:val="0"/>
    <w:pPr>
      <w:ind w:left="1200" w:hanging="600"/>
    </w:pPr>
    <w:rPr>
      <w:rFonts w:ascii="Times New Roman" w:hAnsi="Times New Roman" w:eastAsia="Times New Roman" w:cs="Times New Roman"/>
      <w:sz w:val="22"/>
    </w:rPr>
  </w:style>
  <w:style w:type="paragraph" w:customStyle="1" w:styleId="87">
    <w:name w:val="Revision"/>
    <w:hidden/>
    <w:uiPriority w:val="99"/>
    <w:rPr>
      <w:rFonts w:ascii="Calibri" w:hAnsi="Calibri" w:eastAsia="Calibri" w:cs="Calibri"/>
      <w:sz w:val="21"/>
      <w:lang w:val="en-US" w:eastAsia="en-US" w:bidi="ar-SA"/>
    </w:rPr>
  </w:style>
  <w:style w:type="character" w:customStyle="1" w:styleId="88">
    <w:name w:val="Comment Text Char"/>
    <w:basedOn w:val="26"/>
    <w:link w:val="5"/>
    <w:uiPriority w:val="0"/>
    <w:rPr>
      <w:rFonts w:ascii="Calibri" w:hAnsi="Calibri" w:eastAsia="Calibri" w:cs="Calibri"/>
    </w:rPr>
  </w:style>
  <w:style w:type="character" w:customStyle="1" w:styleId="89">
    <w:name w:val="Comment Subject Char"/>
    <w:basedOn w:val="88"/>
    <w:link w:val="23"/>
    <w:uiPriority w:val="99"/>
    <w:rPr>
      <w:rFonts w:ascii="Calibri" w:hAnsi="Calibri" w:eastAsia="Calibri" w:cs="Calibri"/>
      <w:b/>
      <w:bCs/>
    </w:rPr>
  </w:style>
  <w:style w:type="character" w:customStyle="1" w:styleId="90">
    <w:name w:val="Balloon Text Char"/>
    <w:basedOn w:val="26"/>
    <w:link w:val="12"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547</Words>
  <Characters>3122</Characters>
  <Lines>26</Lines>
  <Paragraphs>7</Paragraphs>
  <TotalTime>1</TotalTime>
  <ScaleCrop>false</ScaleCrop>
  <LinksUpToDate>false</LinksUpToDate>
  <CharactersWithSpaces>3662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2025-11-20T10:56:00Z</dcterms:created>
  <dc:creator>Data</dc:creator>
  <cp:lastModifiedBy>ZHDF</cp:lastModifiedBy>
  <dcterms:modified xsi:type="dcterms:W3CDTF">2025-11-24T18:00:08Z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ICV">
    <vt:lpwstr>539AC3C73B39EBDB68648F6854362331_41</vt:lpwstr>
  </property>
  <property fmtid="{D5CDD505-2E9C-101B-9397-08002B2CF9AE}" pid="6" name="JournalID">
    <vt:lpwstr/>
  </property>
  <property fmtid="{D5CDD505-2E9C-101B-9397-08002B2CF9AE}" pid="7" name="KSOProductBuildVer">
    <vt:lpwstr>2052-6.13.2.8918</vt:lpwstr>
  </property>
  <property fmtid="{D5CDD505-2E9C-101B-9397-08002B2CF9AE}" pid="8" name="Merops -Original extension">
    <vt:lpwstr>docx</vt:lpwstr>
  </property>
  <property fmtid="{D5CDD505-2E9C-101B-9397-08002B2CF9AE}" pid="9" name="Merops change count">
    <vt:lpwstr>1</vt:lpwstr>
  </property>
  <property fmtid="{D5CDD505-2E9C-101B-9397-08002B2CF9AE}" pid="10" name="Merops client version">
    <vt:lpwstr/>
  </property>
  <property fmtid="{D5CDD505-2E9C-101B-9397-08002B2CF9AE}" pid="11" name="Merops comment count">
    <vt:lpwstr>0</vt:lpwstr>
  </property>
  <property fmtid="{D5CDD505-2E9C-101B-9397-08002B2CF9AE}" pid="12" name="Merops DOI links count">
    <vt:lpwstr>0</vt:lpwstr>
  </property>
  <property fmtid="{D5CDD505-2E9C-101B-9397-08002B2CF9AE}" pid="13" name="Merops email addresses count">
    <vt:lpwstr>0</vt:lpwstr>
  </property>
  <property fmtid="{D5CDD505-2E9C-101B-9397-08002B2CF9AE}" pid="14" name="Merops figures count">
    <vt:lpwstr>0</vt:lpwstr>
  </property>
  <property fmtid="{D5CDD505-2E9C-101B-9397-08002B2CF9AE}" pid="15" name="Merops footnotes/endnotes count">
    <vt:lpwstr>0</vt:lpwstr>
  </property>
  <property fmtid="{D5CDD505-2E9C-101B-9397-08002B2CF9AE}" pid="16" name="Merops graphics count">
    <vt:lpwstr>0</vt:lpwstr>
  </property>
  <property fmtid="{D5CDD505-2E9C-101B-9397-08002B2CF9AE}" pid="17" name="Merops input file path">
    <vt:lpwstr>crm_dfcaba0d-df51-485f-853d-5359f0831f4a.docx</vt:lpwstr>
  </property>
  <property fmtid="{D5CDD505-2E9C-101B-9397-08002B2CF9AE}" pid="18" name="Merops intra-document links count">
    <vt:lpwstr>0</vt:lpwstr>
  </property>
  <property fmtid="{D5CDD505-2E9C-101B-9397-08002B2CF9AE}" pid="19" name="Merops item path">
    <vt:lpwstr>MG-Session/On-20251118/I:31a8b2ef-b2c3-4f5f-a2b2-617717363f25</vt:lpwstr>
  </property>
  <property fmtid="{D5CDD505-2E9C-101B-9397-08002B2CF9AE}" pid="20" name="Merops processed date">
    <vt:lpwstr>2025/11/18 09:52:11 AM</vt:lpwstr>
  </property>
  <property fmtid="{D5CDD505-2E9C-101B-9397-08002B2CF9AE}" pid="21" name="Merops PubMed links count">
    <vt:lpwstr>0</vt:lpwstr>
  </property>
  <property fmtid="{D5CDD505-2E9C-101B-9397-08002B2CF9AE}" pid="22" name="Merops references count">
    <vt:lpwstr>0</vt:lpwstr>
  </property>
  <property fmtid="{D5CDD505-2E9C-101B-9397-08002B2CF9AE}" pid="23" name="Merops Scopus links count">
    <vt:lpwstr>0</vt:lpwstr>
  </property>
  <property fmtid="{D5CDD505-2E9C-101B-9397-08002B2CF9AE}" pid="24" name="Merops server path">
    <vt:lpwstr/>
  </property>
  <property fmtid="{D5CDD505-2E9C-101B-9397-08002B2CF9AE}" pid="25" name="Merops Standard Set">
    <vt:lpwstr>merops/preset-v1/american-medical-association</vt:lpwstr>
  </property>
  <property fmtid="{D5CDD505-2E9C-101B-9397-08002B2CF9AE}" pid="26" name="Merops Standard Set modified">
    <vt:lpwstr/>
  </property>
  <property fmtid="{D5CDD505-2E9C-101B-9397-08002B2CF9AE}" pid="27" name="Merops tables count">
    <vt:lpwstr>1</vt:lpwstr>
  </property>
  <property fmtid="{D5CDD505-2E9C-101B-9397-08002B2CF9AE}" pid="28" name="Merops word count">
    <vt:lpwstr>457</vt:lpwstr>
  </property>
  <property fmtid="{D5CDD505-2E9C-101B-9397-08002B2CF9AE}" pid="29" name="Merops WorldCat links count">
    <vt:lpwstr>0</vt:lpwstr>
  </property>
  <property fmtid="{D5CDD505-2E9C-101B-9397-08002B2CF9AE}" pid="30" name="ppub">
    <vt:lpwstr/>
  </property>
  <property fmtid="{D5CDD505-2E9C-101B-9397-08002B2CF9AE}" pid="31" name="Publisher">
    <vt:lpwstr/>
  </property>
  <property fmtid="{D5CDD505-2E9C-101B-9397-08002B2CF9AE}" pid="32" name="Publisher-location">
    <vt:lpwstr/>
  </property>
  <property fmtid="{D5CDD505-2E9C-101B-9397-08002B2CF9AE}" pid="33" name="ReceivedDate">
    <vt:lpwstr/>
  </property>
  <property fmtid="{D5CDD505-2E9C-101B-9397-08002B2CF9AE}" pid="34" name="Reference citation style">
    <vt:lpwstr/>
  </property>
  <property fmtid="{D5CDD505-2E9C-101B-9397-08002B2CF9AE}" pid="35" name="Source">
    <vt:lpwstr/>
  </property>
  <property fmtid="{D5CDD505-2E9C-101B-9397-08002B2CF9AE}" pid="36" name="Source-abbreviated">
    <vt:lpwstr/>
  </property>
  <property fmtid="{D5CDD505-2E9C-101B-9397-08002B2CF9AE}" pid="37" name="Source-short">
    <vt:lpwstr/>
  </property>
  <property fmtid="{D5CDD505-2E9C-101B-9397-08002B2CF9AE}" pid="38" name="Subject">
    <vt:lpwstr/>
  </property>
</Properties>
</file>