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98A10" w14:textId="77777777" w:rsidR="007A6D20" w:rsidRDefault="007A6D20" w:rsidP="007A6D20">
      <w:pPr>
        <w:rPr>
          <w:rFonts w:ascii="Arial" w:hAnsi="Arial" w:cs="Arial"/>
          <w:b/>
          <w:bCs/>
          <w:sz w:val="28"/>
          <w:szCs w:val="28"/>
        </w:rPr>
      </w:pPr>
      <w:r>
        <w:rPr>
          <w:rFonts w:ascii="Arial" w:hAnsi="Arial" w:cs="Arial" w:hint="eastAsia"/>
          <w:b/>
          <w:bCs/>
          <w:sz w:val="28"/>
          <w:szCs w:val="28"/>
        </w:rPr>
        <w:t>Supplemental Figure legends</w:t>
      </w:r>
    </w:p>
    <w:p w14:paraId="29C23FC9" w14:textId="77777777" w:rsidR="007A6D20" w:rsidRDefault="007A6D20" w:rsidP="007A6D20">
      <w:pPr>
        <w:rPr>
          <w:rFonts w:ascii="Arial" w:hAnsi="Arial" w:cs="Arial"/>
          <w:szCs w:val="21"/>
        </w:rPr>
      </w:pPr>
      <w:r>
        <w:rPr>
          <w:rFonts w:ascii="Arial" w:hAnsi="Arial" w:cs="Arial"/>
          <w:szCs w:val="21"/>
        </w:rPr>
        <w:t>Supplementary Figure 1. Model validation and clinical correlation of refractory biomarkers.</w:t>
      </w:r>
    </w:p>
    <w:p w14:paraId="1C15CFCC" w14:textId="77777777" w:rsidR="007A6D20" w:rsidRDefault="007A6D20" w:rsidP="007A6D20">
      <w:pPr>
        <w:rPr>
          <w:rFonts w:ascii="Arial" w:hAnsi="Arial" w:cs="Arial"/>
          <w:szCs w:val="21"/>
        </w:rPr>
      </w:pPr>
      <w:r>
        <w:rPr>
          <w:rFonts w:ascii="Arial" w:hAnsi="Arial" w:cs="Arial"/>
          <w:szCs w:val="21"/>
        </w:rPr>
        <w:t>(A)Principal component analysis (PCA) of the combined proteomic (green circles) and metabolomic (orange triangles) profiles. The analysis shows concordant separation patterns between the two omics layers for treatment-naïve (light shades) and refractory (dark shades) groups. The gray ellipse represents the 95% confidence interval.</w:t>
      </w:r>
    </w:p>
    <w:p w14:paraId="0BD18D6B" w14:textId="77777777" w:rsidR="007A6D20" w:rsidRDefault="007A6D20" w:rsidP="007A6D20">
      <w:pPr>
        <w:rPr>
          <w:rFonts w:ascii="Arial" w:hAnsi="Arial" w:cs="Arial"/>
          <w:szCs w:val="21"/>
        </w:rPr>
      </w:pPr>
      <w:r>
        <w:rPr>
          <w:rFonts w:ascii="Arial" w:hAnsi="Arial" w:cs="Arial"/>
          <w:szCs w:val="21"/>
        </w:rPr>
        <w:t>(B)​ Variable importance analysis. Bar plots show the top 20 most important features for classifying refractory vs. naïve patients. The importance score reflects the contribution of each feature to the model’s predictive accuracy.</w:t>
      </w:r>
    </w:p>
    <w:p w14:paraId="012B0037" w14:textId="77777777" w:rsidR="007A6D20" w:rsidRDefault="007A6D20" w:rsidP="007A6D20">
      <w:pPr>
        <w:rPr>
          <w:rFonts w:ascii="Arial" w:hAnsi="Arial" w:cs="Arial"/>
          <w:szCs w:val="21"/>
        </w:rPr>
      </w:pPr>
      <w:r>
        <w:rPr>
          <w:rFonts w:ascii="Arial" w:hAnsi="Arial" w:cs="Arial"/>
          <w:szCs w:val="21"/>
        </w:rPr>
        <w:t>(</w:t>
      </w:r>
      <w:r>
        <w:rPr>
          <w:rFonts w:ascii="Arial" w:hAnsi="Arial" w:cs="Arial" w:hint="eastAsia"/>
          <w:szCs w:val="21"/>
        </w:rPr>
        <w:t>C-D</w:t>
      </w:r>
      <w:r>
        <w:rPr>
          <w:rFonts w:ascii="Arial" w:hAnsi="Arial" w:cs="Arial"/>
          <w:szCs w:val="21"/>
        </w:rPr>
        <w:t>) Plasma protein levels of LAG3 and HTRA1 in patients stratified by serum alpha-fetoprotein (AFP) status. AFP groups were defined using a cutoff of 10 ng/mL (Positive:</w:t>
      </w:r>
      <w:r>
        <w:rPr>
          <w:rFonts w:ascii="Arial" w:hAnsi="Arial" w:cs="Arial" w:hint="eastAsia"/>
          <w:szCs w:val="21"/>
        </w:rPr>
        <w:t xml:space="preserve"> &gt;</w:t>
      </w:r>
      <w:r>
        <w:rPr>
          <w:rFonts w:ascii="Arial" w:hAnsi="Arial" w:cs="Arial"/>
          <w:szCs w:val="21"/>
        </w:rPr>
        <w:t>10 ng/mL; Negative: &lt;10 ng/mL)</w:t>
      </w:r>
      <w:r>
        <w:rPr>
          <w:rFonts w:ascii="Arial" w:hAnsi="Arial" w:cs="Arial" w:hint="eastAsia"/>
          <w:szCs w:val="21"/>
        </w:rPr>
        <w:t xml:space="preserve">. </w:t>
      </w:r>
      <w:r>
        <w:rPr>
          <w:rFonts w:ascii="Arial" w:hAnsi="Arial" w:cs="Arial"/>
          <w:szCs w:val="21"/>
        </w:rPr>
        <w:t>The AFP-positive (AFP+) group represents patients with elevated serum AFP levels, a marker associated with certain GCT subtypes like yolk sac tumor (YST). The AFP-negative (AFP-) group includes patients with normal AFP levels, such as those with mature teratoma. Center lines of box plots represent medians, box limits indicate the interquartile range (IQR), whiskers extend to 1.5× IQR, and individual data points are overlaid.</w:t>
      </w:r>
    </w:p>
    <w:p w14:paraId="69B3F640" w14:textId="77777777" w:rsidR="007A6D20" w:rsidRDefault="007A6D20" w:rsidP="007A6D20">
      <w:pPr>
        <w:rPr>
          <w:rFonts w:ascii="Arial" w:hAnsi="Arial" w:cs="Arial"/>
          <w:szCs w:val="21"/>
        </w:rPr>
      </w:pPr>
      <w:r>
        <w:rPr>
          <w:rFonts w:ascii="Arial" w:hAnsi="Arial" w:cs="Arial"/>
          <w:szCs w:val="21"/>
        </w:rPr>
        <w:t>(</w:t>
      </w:r>
      <w:r>
        <w:rPr>
          <w:rFonts w:ascii="Arial" w:hAnsi="Arial" w:cs="Arial" w:hint="eastAsia"/>
          <w:szCs w:val="21"/>
        </w:rPr>
        <w:t>E-F)</w:t>
      </w:r>
      <w:r>
        <w:rPr>
          <w:rFonts w:ascii="Arial" w:hAnsi="Arial" w:cs="Arial"/>
          <w:szCs w:val="21"/>
        </w:rPr>
        <w:t xml:space="preserve"> Plasma protein levels of LAG3 and HTRA1 in patients with different major histological subtypes: yolk sac tumor (YST) and </w:t>
      </w:r>
      <w:r>
        <w:rPr>
          <w:rFonts w:ascii="Arial" w:hAnsi="Arial" w:cs="Arial" w:hint="eastAsia"/>
          <w:szCs w:val="21"/>
        </w:rPr>
        <w:t>Others</w:t>
      </w:r>
      <w:r>
        <w:rPr>
          <w:rFonts w:ascii="Arial" w:hAnsi="Arial" w:cs="Arial"/>
          <w:szCs w:val="21"/>
        </w:rPr>
        <w:t>. These subtypes represent distinct biological entities within pediatric GCTs.</w:t>
      </w:r>
    </w:p>
    <w:p w14:paraId="37FADEE7" w14:textId="77777777" w:rsidR="007A6D20" w:rsidRDefault="007A6D20" w:rsidP="007A6D20">
      <w:pPr>
        <w:rPr>
          <w:rFonts w:ascii="Arial" w:hAnsi="Arial" w:cs="Arial"/>
          <w:b/>
          <w:bCs/>
          <w:sz w:val="28"/>
          <w:szCs w:val="28"/>
        </w:rPr>
      </w:pPr>
    </w:p>
    <w:p w14:paraId="2E460734" w14:textId="77777777" w:rsidR="007A6D20" w:rsidRDefault="007A6D20" w:rsidP="007A6D20">
      <w:pPr>
        <w:rPr>
          <w:rFonts w:ascii="Arial" w:hAnsi="Arial" w:cs="Arial"/>
          <w:szCs w:val="21"/>
        </w:rPr>
      </w:pPr>
      <w:r>
        <w:rPr>
          <w:rFonts w:ascii="Arial" w:hAnsi="Arial" w:cs="Arial"/>
          <w:szCs w:val="21"/>
        </w:rPr>
        <w:t>Supplementary Figure S2. Pathway activity analysis and multi-omics correlation network associated with the HTRA1–LAG3 regulatory axis.</w:t>
      </w:r>
    </w:p>
    <w:p w14:paraId="4F8F3413" w14:textId="77777777" w:rsidR="007A6D20" w:rsidRDefault="007A6D20" w:rsidP="007A6D20">
      <w:pPr>
        <w:rPr>
          <w:rFonts w:ascii="Arial" w:hAnsi="Arial" w:cs="Arial"/>
          <w:szCs w:val="21"/>
        </w:rPr>
      </w:pPr>
      <w:r>
        <w:rPr>
          <w:rFonts w:ascii="Arial" w:hAnsi="Arial" w:cs="Arial"/>
          <w:szCs w:val="21"/>
        </w:rPr>
        <w:t>(A) Gene set enrichment analysis (GSEA) of hallmark and curated biological pathways comparing refractory (RF) and treatment-naïve (NT) tumors. Pathways related to immune signaling, extracellular matrix (ECM) remodeling, lipid metabolism, and inflammatory responses showed significant enrichment in refractory tumors.</w:t>
      </w:r>
    </w:p>
    <w:p w14:paraId="43CDA31B" w14:textId="77777777" w:rsidR="007A6D20" w:rsidRDefault="007A6D20" w:rsidP="007A6D20">
      <w:pPr>
        <w:rPr>
          <w:rFonts w:ascii="Arial" w:hAnsi="Arial" w:cs="Arial"/>
          <w:szCs w:val="21"/>
        </w:rPr>
      </w:pPr>
      <w:r>
        <w:rPr>
          <w:rFonts w:ascii="Arial" w:hAnsi="Arial" w:cs="Arial"/>
          <w:szCs w:val="21"/>
        </w:rPr>
        <w:t>(B) Correlation analysis between LAG3 expression and immune pathway activity score estimated by ssGSEA. A strong positive association was observed, suggesting that LAG3 expression reflects increased immune signaling activity in the tumor microenvironment.</w:t>
      </w:r>
    </w:p>
    <w:p w14:paraId="42F7135B" w14:textId="77777777" w:rsidR="007A6D20" w:rsidRDefault="007A6D20" w:rsidP="007A6D20">
      <w:pPr>
        <w:rPr>
          <w:rFonts w:ascii="Arial" w:hAnsi="Arial" w:cs="Arial"/>
          <w:szCs w:val="21"/>
        </w:rPr>
      </w:pPr>
      <w:r>
        <w:rPr>
          <w:rFonts w:ascii="Arial" w:hAnsi="Arial" w:cs="Arial"/>
          <w:szCs w:val="21"/>
        </w:rPr>
        <w:t>(C) Correlation between HTRA1 expression and ECM remodeling pathway activity, indicating that HTRA1 expression is closely linked with extracellular matrix remodeling processes.</w:t>
      </w:r>
    </w:p>
    <w:p w14:paraId="1BAE6E04" w14:textId="77777777" w:rsidR="007A6D20" w:rsidRDefault="007A6D20" w:rsidP="007A6D20">
      <w:pPr>
        <w:rPr>
          <w:rFonts w:ascii="Arial" w:hAnsi="Arial" w:cs="Arial"/>
          <w:szCs w:val="21"/>
        </w:rPr>
      </w:pPr>
      <w:r>
        <w:rPr>
          <w:rFonts w:ascii="Arial" w:hAnsi="Arial" w:cs="Arial"/>
          <w:szCs w:val="21"/>
        </w:rPr>
        <w:t>(D) Correlation between HTRA1 expression and immune pathway activity score, supporting a functional connection between HTRA1 signaling and immune microenvironment remodeling.</w:t>
      </w:r>
    </w:p>
    <w:p w14:paraId="0DBF4EC5" w14:textId="77777777" w:rsidR="007A6D20" w:rsidRDefault="007A6D20" w:rsidP="007A6D20">
      <w:pPr>
        <w:rPr>
          <w:rFonts w:ascii="Arial" w:hAnsi="Arial" w:cs="Arial"/>
          <w:szCs w:val="21"/>
        </w:rPr>
      </w:pPr>
      <w:r>
        <w:rPr>
          <w:rFonts w:ascii="Arial" w:hAnsi="Arial" w:cs="Arial"/>
          <w:szCs w:val="21"/>
        </w:rPr>
        <w:t>(E) Integrated multi-omics correlation network linking lipid metabolites, protein biomarkers, and pathway activity scores. Lysophospholipids (LPS, LPE, and PS) form a functional module connected to HTRA1, LAG3, ECM remodeling, and immune signaling, suggesting coordinated lipid–immune interactions.</w:t>
      </w:r>
    </w:p>
    <w:p w14:paraId="7F3DA1B2" w14:textId="77777777" w:rsidR="007A6D20" w:rsidRDefault="007A6D20" w:rsidP="007A6D20">
      <w:pPr>
        <w:rPr>
          <w:rFonts w:ascii="Arial" w:hAnsi="Arial" w:cs="Arial"/>
          <w:szCs w:val="21"/>
        </w:rPr>
      </w:pPr>
      <w:r>
        <w:rPr>
          <w:rFonts w:ascii="Arial" w:hAnsi="Arial" w:cs="Arial"/>
          <w:szCs w:val="21"/>
        </w:rPr>
        <w:t>(F) Systemic interaction network highlighting HTRA1 as a central hub protein connecting immune regulators, extracellular matrix components, and lipid-associated pathways.</w:t>
      </w:r>
    </w:p>
    <w:p w14:paraId="1A6FF37B" w14:textId="77777777" w:rsidR="00E023F9" w:rsidRDefault="00E023F9"/>
    <w:sectPr w:rsidR="00E02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D20"/>
    <w:rsid w:val="000C4033"/>
    <w:rsid w:val="00173ED8"/>
    <w:rsid w:val="004B42CB"/>
    <w:rsid w:val="005F2B46"/>
    <w:rsid w:val="006E1731"/>
    <w:rsid w:val="007A6D20"/>
    <w:rsid w:val="00866D74"/>
    <w:rsid w:val="00882A73"/>
    <w:rsid w:val="0095305D"/>
    <w:rsid w:val="00B10170"/>
    <w:rsid w:val="00B260B7"/>
    <w:rsid w:val="00B85331"/>
    <w:rsid w:val="00DE7E69"/>
    <w:rsid w:val="00E023F9"/>
    <w:rsid w:val="00EF75D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ED3DA"/>
  <w15:chartTrackingRefBased/>
  <w15:docId w15:val="{4E2F02BA-F56B-447D-870D-2AB09C8E4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D20"/>
    <w:pPr>
      <w:widowControl w:val="0"/>
      <w:spacing w:after="0" w:line="240" w:lineRule="auto"/>
      <w:jc w:val="both"/>
    </w:pPr>
    <w:rPr>
      <w:rFonts w:eastAsiaTheme="minorEastAsia"/>
      <w:sz w:val="21"/>
      <w:szCs w:val="22"/>
      <w:lang w:val="en-US" w:eastAsia="zh-CN"/>
      <w14:ligatures w14:val="none"/>
    </w:rPr>
  </w:style>
  <w:style w:type="paragraph" w:styleId="Heading1">
    <w:name w:val="heading 1"/>
    <w:basedOn w:val="Normal"/>
    <w:next w:val="Normal"/>
    <w:link w:val="Heading1Char"/>
    <w:uiPriority w:val="9"/>
    <w:qFormat/>
    <w:rsid w:val="007A6D20"/>
    <w:pPr>
      <w:keepNext/>
      <w:keepLines/>
      <w:widowControl/>
      <w:spacing w:before="360" w:after="80" w:line="278" w:lineRule="auto"/>
      <w:jc w:val="left"/>
      <w:outlineLvl w:val="0"/>
    </w:pPr>
    <w:rPr>
      <w:rFonts w:asciiTheme="majorHAnsi" w:eastAsiaTheme="majorEastAsia" w:hAnsiTheme="majorHAnsi" w:cstheme="majorBidi"/>
      <w:color w:val="0F4761" w:themeColor="accent1" w:themeShade="BF"/>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7A6D20"/>
    <w:pPr>
      <w:keepNext/>
      <w:keepLines/>
      <w:widowControl/>
      <w:spacing w:before="160" w:after="80" w:line="278" w:lineRule="auto"/>
      <w:jc w:val="left"/>
      <w:outlineLvl w:val="1"/>
    </w:pPr>
    <w:rPr>
      <w:rFonts w:asciiTheme="majorHAnsi" w:eastAsiaTheme="majorEastAsia" w:hAnsiTheme="majorHAnsi" w:cstheme="majorBidi"/>
      <w:color w:val="0F4761" w:themeColor="accent1" w:themeShade="BF"/>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7A6D20"/>
    <w:pPr>
      <w:keepNext/>
      <w:keepLines/>
      <w:widowControl/>
      <w:spacing w:before="160" w:after="80" w:line="278" w:lineRule="auto"/>
      <w:jc w:val="left"/>
      <w:outlineLvl w:val="2"/>
    </w:pPr>
    <w:rPr>
      <w:rFonts w:eastAsiaTheme="majorEastAsia" w:cstheme="majorBidi"/>
      <w:color w:val="0F4761" w:themeColor="accent1" w:themeShade="BF"/>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7A6D20"/>
    <w:pPr>
      <w:keepNext/>
      <w:keepLines/>
      <w:widowControl/>
      <w:spacing w:before="80" w:after="40" w:line="278" w:lineRule="auto"/>
      <w:jc w:val="left"/>
      <w:outlineLvl w:val="3"/>
    </w:pPr>
    <w:rPr>
      <w:rFonts w:eastAsiaTheme="majorEastAsia" w:cstheme="majorBidi"/>
      <w:i/>
      <w:iCs/>
      <w:color w:val="0F4761" w:themeColor="accent1" w:themeShade="BF"/>
      <w:sz w:val="24"/>
      <w:szCs w:val="24"/>
      <w:lang w:val="en-IN" w:eastAsia="en-US"/>
      <w14:ligatures w14:val="standardContextual"/>
    </w:rPr>
  </w:style>
  <w:style w:type="paragraph" w:styleId="Heading5">
    <w:name w:val="heading 5"/>
    <w:basedOn w:val="Normal"/>
    <w:next w:val="Normal"/>
    <w:link w:val="Heading5Char"/>
    <w:uiPriority w:val="9"/>
    <w:semiHidden/>
    <w:unhideWhenUsed/>
    <w:qFormat/>
    <w:rsid w:val="007A6D20"/>
    <w:pPr>
      <w:keepNext/>
      <w:keepLines/>
      <w:widowControl/>
      <w:spacing w:before="80" w:after="40" w:line="278" w:lineRule="auto"/>
      <w:jc w:val="left"/>
      <w:outlineLvl w:val="4"/>
    </w:pPr>
    <w:rPr>
      <w:rFonts w:eastAsiaTheme="majorEastAsia" w:cstheme="majorBidi"/>
      <w:color w:val="0F4761" w:themeColor="accent1" w:themeShade="BF"/>
      <w:sz w:val="24"/>
      <w:szCs w:val="24"/>
      <w:lang w:val="en-IN" w:eastAsia="en-US"/>
      <w14:ligatures w14:val="standardContextual"/>
    </w:rPr>
  </w:style>
  <w:style w:type="paragraph" w:styleId="Heading6">
    <w:name w:val="heading 6"/>
    <w:basedOn w:val="Normal"/>
    <w:next w:val="Normal"/>
    <w:link w:val="Heading6Char"/>
    <w:uiPriority w:val="9"/>
    <w:semiHidden/>
    <w:unhideWhenUsed/>
    <w:qFormat/>
    <w:rsid w:val="007A6D20"/>
    <w:pPr>
      <w:keepNext/>
      <w:keepLines/>
      <w:widowControl/>
      <w:spacing w:before="40" w:line="278" w:lineRule="auto"/>
      <w:jc w:val="left"/>
      <w:outlineLvl w:val="5"/>
    </w:pPr>
    <w:rPr>
      <w:rFonts w:eastAsiaTheme="majorEastAsia" w:cstheme="majorBidi"/>
      <w:i/>
      <w:iCs/>
      <w:color w:val="595959" w:themeColor="text1" w:themeTint="A6"/>
      <w:sz w:val="24"/>
      <w:szCs w:val="24"/>
      <w:lang w:val="en-IN" w:eastAsia="en-US"/>
      <w14:ligatures w14:val="standardContextual"/>
    </w:rPr>
  </w:style>
  <w:style w:type="paragraph" w:styleId="Heading7">
    <w:name w:val="heading 7"/>
    <w:basedOn w:val="Normal"/>
    <w:next w:val="Normal"/>
    <w:link w:val="Heading7Char"/>
    <w:uiPriority w:val="9"/>
    <w:semiHidden/>
    <w:unhideWhenUsed/>
    <w:qFormat/>
    <w:rsid w:val="007A6D20"/>
    <w:pPr>
      <w:keepNext/>
      <w:keepLines/>
      <w:widowControl/>
      <w:spacing w:before="40" w:line="278" w:lineRule="auto"/>
      <w:jc w:val="left"/>
      <w:outlineLvl w:val="6"/>
    </w:pPr>
    <w:rPr>
      <w:rFonts w:eastAsiaTheme="majorEastAsia" w:cstheme="majorBidi"/>
      <w:color w:val="595959" w:themeColor="text1" w:themeTint="A6"/>
      <w:sz w:val="24"/>
      <w:szCs w:val="24"/>
      <w:lang w:val="en-IN" w:eastAsia="en-US"/>
      <w14:ligatures w14:val="standardContextual"/>
    </w:rPr>
  </w:style>
  <w:style w:type="paragraph" w:styleId="Heading8">
    <w:name w:val="heading 8"/>
    <w:basedOn w:val="Normal"/>
    <w:next w:val="Normal"/>
    <w:link w:val="Heading8Char"/>
    <w:uiPriority w:val="9"/>
    <w:semiHidden/>
    <w:unhideWhenUsed/>
    <w:qFormat/>
    <w:rsid w:val="007A6D20"/>
    <w:pPr>
      <w:keepNext/>
      <w:keepLines/>
      <w:widowControl/>
      <w:spacing w:line="278" w:lineRule="auto"/>
      <w:jc w:val="left"/>
      <w:outlineLvl w:val="7"/>
    </w:pPr>
    <w:rPr>
      <w:rFonts w:eastAsiaTheme="majorEastAsia" w:cstheme="majorBidi"/>
      <w:i/>
      <w:iCs/>
      <w:color w:val="272727" w:themeColor="text1" w:themeTint="D8"/>
      <w:sz w:val="24"/>
      <w:szCs w:val="24"/>
      <w:lang w:val="en-IN" w:eastAsia="en-US"/>
      <w14:ligatures w14:val="standardContextual"/>
    </w:rPr>
  </w:style>
  <w:style w:type="paragraph" w:styleId="Heading9">
    <w:name w:val="heading 9"/>
    <w:basedOn w:val="Normal"/>
    <w:next w:val="Normal"/>
    <w:link w:val="Heading9Char"/>
    <w:uiPriority w:val="9"/>
    <w:semiHidden/>
    <w:unhideWhenUsed/>
    <w:qFormat/>
    <w:rsid w:val="007A6D20"/>
    <w:pPr>
      <w:keepNext/>
      <w:keepLines/>
      <w:widowControl/>
      <w:spacing w:line="278" w:lineRule="auto"/>
      <w:jc w:val="left"/>
      <w:outlineLvl w:val="8"/>
    </w:pPr>
    <w:rPr>
      <w:rFonts w:eastAsiaTheme="majorEastAsia" w:cstheme="majorBidi"/>
      <w:color w:val="272727" w:themeColor="text1" w:themeTint="D8"/>
      <w:sz w:val="24"/>
      <w:szCs w:val="24"/>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D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6D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6D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6D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6D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6D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6D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6D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6D20"/>
    <w:rPr>
      <w:rFonts w:eastAsiaTheme="majorEastAsia" w:cstheme="majorBidi"/>
      <w:color w:val="272727" w:themeColor="text1" w:themeTint="D8"/>
    </w:rPr>
  </w:style>
  <w:style w:type="paragraph" w:styleId="Title">
    <w:name w:val="Title"/>
    <w:basedOn w:val="Normal"/>
    <w:next w:val="Normal"/>
    <w:link w:val="TitleChar"/>
    <w:uiPriority w:val="10"/>
    <w:qFormat/>
    <w:rsid w:val="007A6D20"/>
    <w:pPr>
      <w:widowControl/>
      <w:spacing w:after="80"/>
      <w:contextualSpacing/>
      <w:jc w:val="left"/>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7A6D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D20"/>
    <w:pPr>
      <w:widowControl/>
      <w:numPr>
        <w:ilvl w:val="1"/>
      </w:numPr>
      <w:spacing w:after="160" w:line="278" w:lineRule="auto"/>
      <w:jc w:val="left"/>
    </w:pPr>
    <w:rPr>
      <w:rFonts w:eastAsiaTheme="majorEastAsia" w:cstheme="majorBidi"/>
      <w:color w:val="595959" w:themeColor="text1" w:themeTint="A6"/>
      <w:spacing w:val="15"/>
      <w:sz w:val="28"/>
      <w:szCs w:val="28"/>
      <w:lang w:val="en-IN" w:eastAsia="en-US"/>
      <w14:ligatures w14:val="standardContextual"/>
    </w:rPr>
  </w:style>
  <w:style w:type="character" w:customStyle="1" w:styleId="SubtitleChar">
    <w:name w:val="Subtitle Char"/>
    <w:basedOn w:val="DefaultParagraphFont"/>
    <w:link w:val="Subtitle"/>
    <w:uiPriority w:val="11"/>
    <w:rsid w:val="007A6D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6D20"/>
    <w:pPr>
      <w:widowControl/>
      <w:spacing w:before="160" w:after="160" w:line="278" w:lineRule="auto"/>
      <w:jc w:val="center"/>
    </w:pPr>
    <w:rPr>
      <w:rFonts w:eastAsiaTheme="minorHAnsi"/>
      <w:i/>
      <w:iCs/>
      <w:color w:val="404040" w:themeColor="text1" w:themeTint="BF"/>
      <w:sz w:val="24"/>
      <w:szCs w:val="24"/>
      <w:lang w:val="en-IN" w:eastAsia="en-US"/>
      <w14:ligatures w14:val="standardContextual"/>
    </w:rPr>
  </w:style>
  <w:style w:type="character" w:customStyle="1" w:styleId="QuoteChar">
    <w:name w:val="Quote Char"/>
    <w:basedOn w:val="DefaultParagraphFont"/>
    <w:link w:val="Quote"/>
    <w:uiPriority w:val="29"/>
    <w:rsid w:val="007A6D20"/>
    <w:rPr>
      <w:i/>
      <w:iCs/>
      <w:color w:val="404040" w:themeColor="text1" w:themeTint="BF"/>
    </w:rPr>
  </w:style>
  <w:style w:type="paragraph" w:styleId="ListParagraph">
    <w:name w:val="List Paragraph"/>
    <w:basedOn w:val="Normal"/>
    <w:uiPriority w:val="34"/>
    <w:qFormat/>
    <w:rsid w:val="007A6D20"/>
    <w:pPr>
      <w:widowControl/>
      <w:spacing w:after="160" w:line="278" w:lineRule="auto"/>
      <w:ind w:left="720"/>
      <w:contextualSpacing/>
      <w:jc w:val="left"/>
    </w:pPr>
    <w:rPr>
      <w:rFonts w:eastAsiaTheme="minorHAnsi"/>
      <w:sz w:val="24"/>
      <w:szCs w:val="24"/>
      <w:lang w:val="en-IN" w:eastAsia="en-US"/>
      <w14:ligatures w14:val="standardContextual"/>
    </w:rPr>
  </w:style>
  <w:style w:type="character" w:styleId="IntenseEmphasis">
    <w:name w:val="Intense Emphasis"/>
    <w:basedOn w:val="DefaultParagraphFont"/>
    <w:uiPriority w:val="21"/>
    <w:qFormat/>
    <w:rsid w:val="007A6D20"/>
    <w:rPr>
      <w:i/>
      <w:iCs/>
      <w:color w:val="0F4761" w:themeColor="accent1" w:themeShade="BF"/>
    </w:rPr>
  </w:style>
  <w:style w:type="paragraph" w:styleId="IntenseQuote">
    <w:name w:val="Intense Quote"/>
    <w:basedOn w:val="Normal"/>
    <w:next w:val="Normal"/>
    <w:link w:val="IntenseQuoteChar"/>
    <w:uiPriority w:val="30"/>
    <w:qFormat/>
    <w:rsid w:val="007A6D20"/>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sz w:val="24"/>
      <w:szCs w:val="24"/>
      <w:lang w:val="en-IN" w:eastAsia="en-US"/>
      <w14:ligatures w14:val="standardContextual"/>
    </w:rPr>
  </w:style>
  <w:style w:type="character" w:customStyle="1" w:styleId="IntenseQuoteChar">
    <w:name w:val="Intense Quote Char"/>
    <w:basedOn w:val="DefaultParagraphFont"/>
    <w:link w:val="IntenseQuote"/>
    <w:uiPriority w:val="30"/>
    <w:rsid w:val="007A6D20"/>
    <w:rPr>
      <w:i/>
      <w:iCs/>
      <w:color w:val="0F4761" w:themeColor="accent1" w:themeShade="BF"/>
    </w:rPr>
  </w:style>
  <w:style w:type="character" w:styleId="IntenseReference">
    <w:name w:val="Intense Reference"/>
    <w:basedOn w:val="DefaultParagraphFont"/>
    <w:uiPriority w:val="32"/>
    <w:qFormat/>
    <w:rsid w:val="007A6D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457</Words>
  <Characters>2605</Characters>
  <Application>Microsoft Office Word</Application>
  <DocSecurity>0</DocSecurity>
  <Lines>21</Lines>
  <Paragraphs>6</Paragraphs>
  <ScaleCrop>false</ScaleCrop>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2026-06-17T23:51:00Z</dcterms:created>
  <dcterms:modified xsi:type="dcterms:W3CDTF">2026-06-17T23:51:00Z</dcterms:modified>
</cp:coreProperties>
</file>