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C3EE4" w14:textId="3FCBC6CC" w:rsidR="00C832B0" w:rsidRDefault="00C832B0">
      <w:r>
        <w:t xml:space="preserve">Supplementary material for: </w:t>
      </w:r>
    </w:p>
    <w:p w14:paraId="5AAA6527" w14:textId="77777777" w:rsidR="000E07EB" w:rsidRPr="00395458" w:rsidRDefault="000E07EB" w:rsidP="000E07EB">
      <w:pPr>
        <w:shd w:val="clear" w:color="auto" w:fill="FFFFFF"/>
        <w:spacing w:after="120" w:line="240" w:lineRule="auto"/>
        <w:jc w:val="center"/>
        <w:outlineLvl w:val="2"/>
        <w:rPr>
          <w:rFonts w:eastAsia="Times New Roman" w:cs="Segoe UI"/>
          <w:b/>
          <w:bCs/>
          <w:color w:val="222222"/>
          <w:kern w:val="0"/>
          <w:sz w:val="32"/>
          <w:szCs w:val="32"/>
          <w14:ligatures w14:val="none"/>
        </w:rPr>
      </w:pPr>
      <w:bookmarkStart w:id="0" w:name="OLE_LINK21"/>
      <w:r>
        <w:rPr>
          <w:b/>
          <w:bCs/>
          <w:sz w:val="32"/>
          <w:szCs w:val="32"/>
        </w:rPr>
        <w:t xml:space="preserve">Blunted </w:t>
      </w:r>
      <w:r w:rsidRPr="00745ED7">
        <w:rPr>
          <w:b/>
          <w:bCs/>
          <w:sz w:val="32"/>
          <w:szCs w:val="32"/>
        </w:rPr>
        <w:t>modulation of hierarchical brain organization in opioid use disorder</w:t>
      </w:r>
    </w:p>
    <w:p w14:paraId="55F7828D" w14:textId="77777777" w:rsidR="000E07EB" w:rsidRPr="00674A45" w:rsidRDefault="000E07EB" w:rsidP="000E07EB">
      <w:pPr>
        <w:shd w:val="clear" w:color="auto" w:fill="FFFFFF"/>
        <w:spacing w:after="120" w:line="240" w:lineRule="auto"/>
        <w:jc w:val="center"/>
        <w:outlineLvl w:val="2"/>
        <w:rPr>
          <w:rFonts w:eastAsia="Times New Roman" w:cs="Segoe UI"/>
          <w:color w:val="222222"/>
          <w:kern w:val="0"/>
          <w14:ligatures w14:val="none"/>
        </w:rPr>
      </w:pPr>
      <w:bookmarkStart w:id="1" w:name="OLE_LINK2"/>
      <w:bookmarkStart w:id="2" w:name="OLE_LINK37"/>
      <w:bookmarkStart w:id="3" w:name="OLE_LINK148"/>
      <w:bookmarkEnd w:id="0"/>
      <w:r w:rsidRPr="00674A45">
        <w:rPr>
          <w:rFonts w:eastAsia="Times New Roman" w:cs="Segoe UI"/>
          <w:color w:val="222222"/>
          <w:kern w:val="0"/>
          <w14:ligatures w14:val="none"/>
        </w:rPr>
        <w:t>Dardo Tomasi</w:t>
      </w:r>
      <w:r w:rsidRPr="00674A45">
        <w:rPr>
          <w:rFonts w:eastAsia="Times New Roman" w:cs="Segoe UI"/>
          <w:color w:val="222222"/>
          <w:kern w:val="0"/>
          <w:vertAlign w:val="superscript"/>
          <w14:ligatures w14:val="none"/>
        </w:rPr>
        <w:t>1</w:t>
      </w:r>
      <w:r>
        <w:rPr>
          <w:rFonts w:eastAsia="Times New Roman" w:cs="Segoe UI"/>
          <w:color w:val="222222"/>
          <w:kern w:val="0"/>
          <w:vertAlign w:val="superscript"/>
          <w14:ligatures w14:val="none"/>
        </w:rPr>
        <w:t>*</w:t>
      </w:r>
      <w:r w:rsidRPr="00674A45">
        <w:rPr>
          <w:rFonts w:eastAsia="Times New Roman" w:cs="Segoe UI"/>
          <w:color w:val="222222"/>
          <w:kern w:val="0"/>
          <w14:ligatures w14:val="none"/>
        </w:rPr>
        <w:t>, Peter Manza</w:t>
      </w:r>
      <w:r w:rsidRPr="006E12D5">
        <w:rPr>
          <w:rFonts w:eastAsia="Times New Roman" w:cs="Segoe UI"/>
          <w:color w:val="222222"/>
          <w:kern w:val="0"/>
          <w:vertAlign w:val="superscript"/>
          <w14:ligatures w14:val="none"/>
        </w:rPr>
        <w:t>1,</w:t>
      </w:r>
      <w:r w:rsidRPr="00674A45">
        <w:rPr>
          <w:rFonts w:eastAsia="Times New Roman" w:cs="Segoe UI"/>
          <w:color w:val="222222"/>
          <w:kern w:val="0"/>
          <w:vertAlign w:val="superscript"/>
          <w14:ligatures w14:val="none"/>
        </w:rPr>
        <w:t>2</w:t>
      </w:r>
      <w:r w:rsidRPr="00674A45">
        <w:rPr>
          <w:rFonts w:eastAsia="Times New Roman" w:cs="Segoe UI"/>
          <w:color w:val="222222"/>
          <w:kern w:val="0"/>
          <w14:ligatures w14:val="none"/>
        </w:rPr>
        <w:t>,</w:t>
      </w:r>
      <w:r w:rsidRPr="009D7793">
        <w:rPr>
          <w:rFonts w:ascii="Times New Roman" w:hAnsi="Times New Roman" w:cs="Times New Roman"/>
        </w:rPr>
        <w:t xml:space="preserve"> </w:t>
      </w:r>
      <w:bookmarkStart w:id="4" w:name="OLE_LINK151"/>
      <w:r w:rsidRPr="009D7793">
        <w:rPr>
          <w:rFonts w:cs="Segoe UI"/>
          <w:shd w:val="clear" w:color="auto" w:fill="FFFFFF"/>
        </w:rPr>
        <w:t>Şükrü</w:t>
      </w:r>
      <w:bookmarkEnd w:id="4"/>
      <w:r w:rsidRPr="009D7793">
        <w:rPr>
          <w:rFonts w:cs="Segoe UI"/>
          <w:shd w:val="clear" w:color="auto" w:fill="FFFFFF"/>
        </w:rPr>
        <w:t xml:space="preserve"> </w:t>
      </w:r>
      <w:bookmarkStart w:id="5" w:name="OLE_LINK152"/>
      <w:r w:rsidRPr="009D7793">
        <w:rPr>
          <w:rFonts w:cs="Segoe UI"/>
          <w:shd w:val="clear" w:color="auto" w:fill="FFFFFF"/>
        </w:rPr>
        <w:t>Barış</w:t>
      </w:r>
      <w:bookmarkEnd w:id="5"/>
      <w:r w:rsidRPr="00B157E4">
        <w:rPr>
          <w:color w:val="000000" w:themeColor="text1"/>
        </w:rPr>
        <w:t xml:space="preserve"> </w:t>
      </w:r>
      <w:bookmarkStart w:id="6" w:name="OLE_LINK153"/>
      <w:r w:rsidRPr="00674A45">
        <w:rPr>
          <w:rFonts w:eastAsia="Times New Roman" w:cs="Segoe UI"/>
          <w:color w:val="222222"/>
          <w:kern w:val="0"/>
          <w14:ligatures w14:val="none"/>
        </w:rPr>
        <w:t>Demiral</w:t>
      </w:r>
      <w:bookmarkEnd w:id="6"/>
      <w:r w:rsidRPr="00674A45">
        <w:rPr>
          <w:rFonts w:eastAsia="Times New Roman" w:cs="Segoe UI"/>
          <w:color w:val="222222"/>
          <w:kern w:val="0"/>
          <w:vertAlign w:val="superscript"/>
          <w14:ligatures w14:val="none"/>
        </w:rPr>
        <w:t>1</w:t>
      </w:r>
      <w:r w:rsidRPr="00674A45">
        <w:rPr>
          <w:rFonts w:eastAsia="Times New Roman" w:cs="Segoe UI"/>
          <w:color w:val="222222"/>
          <w:kern w:val="0"/>
          <w14:ligatures w14:val="none"/>
        </w:rPr>
        <w:t xml:space="preserve">, </w:t>
      </w:r>
      <w:r w:rsidRPr="009D7793">
        <w:rPr>
          <w:rFonts w:eastAsia="Times New Roman" w:cs="Segoe UI"/>
          <w:color w:val="222222"/>
          <w:kern w:val="0"/>
          <w14:ligatures w14:val="none"/>
        </w:rPr>
        <w:t>Natasha Giddens</w:t>
      </w:r>
      <w:r w:rsidRPr="009D7793">
        <w:rPr>
          <w:rFonts w:eastAsia="Times New Roman" w:cs="Segoe UI"/>
          <w:color w:val="222222"/>
          <w:kern w:val="0"/>
          <w:vertAlign w:val="superscript"/>
          <w14:ligatures w14:val="none"/>
        </w:rPr>
        <w:t>1,</w:t>
      </w:r>
      <w:r>
        <w:rPr>
          <w:rFonts w:eastAsia="Times New Roman" w:cs="Segoe UI"/>
          <w:color w:val="222222"/>
          <w:kern w:val="0"/>
          <w:vertAlign w:val="superscript"/>
          <w14:ligatures w14:val="none"/>
        </w:rPr>
        <w:t>3</w:t>
      </w:r>
      <w:r w:rsidRPr="009D7793">
        <w:rPr>
          <w:rFonts w:eastAsia="Times New Roman" w:cs="Segoe UI"/>
          <w:color w:val="222222"/>
          <w:kern w:val="0"/>
          <w14:ligatures w14:val="none"/>
        </w:rPr>
        <w:t xml:space="preserve">, </w:t>
      </w:r>
      <w:bookmarkStart w:id="7" w:name="OLE_LINK157"/>
      <w:r w:rsidRPr="009D7793">
        <w:rPr>
          <w:rFonts w:cs="Times New Roman"/>
        </w:rPr>
        <w:t>Annabelle</w:t>
      </w:r>
      <w:bookmarkEnd w:id="7"/>
      <w:r w:rsidRPr="009D7793">
        <w:rPr>
          <w:rFonts w:cs="Times New Roman"/>
        </w:rPr>
        <w:t xml:space="preserve"> Belcher</w:t>
      </w:r>
      <w:r>
        <w:rPr>
          <w:rFonts w:cs="Times New Roman"/>
          <w:vertAlign w:val="superscript"/>
        </w:rPr>
        <w:t>4</w:t>
      </w:r>
      <w:r>
        <w:rPr>
          <w:rFonts w:eastAsia="Times New Roman" w:cs="Segoe UI"/>
          <w:color w:val="222222"/>
          <w:kern w:val="0"/>
          <w14:ligatures w14:val="none"/>
        </w:rPr>
        <w:t xml:space="preserve">, </w:t>
      </w:r>
      <w:r w:rsidRPr="00674A45">
        <w:rPr>
          <w:rFonts w:eastAsia="Times New Roman" w:cs="Segoe UI"/>
          <w:color w:val="222222"/>
          <w:kern w:val="0"/>
          <w14:ligatures w14:val="none"/>
        </w:rPr>
        <w:t>Weizheng Yan</w:t>
      </w:r>
      <w:r w:rsidRPr="00674A45">
        <w:rPr>
          <w:rFonts w:eastAsia="Times New Roman" w:cs="Segoe UI"/>
          <w:color w:val="222222"/>
          <w:kern w:val="0"/>
          <w:vertAlign w:val="superscript"/>
          <w14:ligatures w14:val="none"/>
        </w:rPr>
        <w:t>1</w:t>
      </w:r>
      <w:r>
        <w:rPr>
          <w:rFonts w:eastAsia="Times New Roman" w:cs="Segoe UI"/>
          <w:color w:val="222222"/>
          <w:kern w:val="0"/>
          <w:vertAlign w:val="superscript"/>
          <w14:ligatures w14:val="none"/>
        </w:rPr>
        <w:t>,5</w:t>
      </w:r>
      <w:r w:rsidRPr="00674A45">
        <w:rPr>
          <w:rFonts w:eastAsia="Times New Roman" w:cs="Segoe UI"/>
          <w:color w:val="222222"/>
          <w:kern w:val="0"/>
          <w14:ligatures w14:val="none"/>
        </w:rPr>
        <w:t xml:space="preserve">, </w:t>
      </w:r>
      <w:bookmarkStart w:id="8" w:name="OLE_LINK158"/>
      <w:r w:rsidRPr="00674A45">
        <w:rPr>
          <w:rFonts w:eastAsia="Times New Roman" w:cs="Segoe UI"/>
          <w:color w:val="222222"/>
          <w:kern w:val="0"/>
          <w14:ligatures w14:val="none"/>
        </w:rPr>
        <w:t xml:space="preserve">Kylee </w:t>
      </w:r>
      <w:r>
        <w:rPr>
          <w:rFonts w:eastAsia="Times New Roman" w:cs="Segoe UI"/>
          <w:color w:val="222222"/>
          <w:kern w:val="0"/>
          <w14:ligatures w14:val="none"/>
        </w:rPr>
        <w:t xml:space="preserve">B. </w:t>
      </w:r>
      <w:r w:rsidRPr="00674A45">
        <w:rPr>
          <w:rFonts w:eastAsia="Times New Roman" w:cs="Segoe UI"/>
          <w:color w:val="222222"/>
          <w:kern w:val="0"/>
          <w14:ligatures w14:val="none"/>
        </w:rPr>
        <w:t>Miller</w:t>
      </w:r>
      <w:r w:rsidRPr="00674A45">
        <w:rPr>
          <w:rFonts w:eastAsia="Times New Roman" w:cs="Segoe UI"/>
          <w:color w:val="222222"/>
          <w:kern w:val="0"/>
          <w:vertAlign w:val="superscript"/>
          <w14:ligatures w14:val="none"/>
        </w:rPr>
        <w:t>1</w:t>
      </w:r>
      <w:bookmarkEnd w:id="8"/>
      <w:r w:rsidRPr="00674A45">
        <w:rPr>
          <w:rFonts w:eastAsia="Times New Roman" w:cs="Segoe UI"/>
          <w:color w:val="222222"/>
          <w:kern w:val="0"/>
          <w14:ligatures w14:val="none"/>
        </w:rPr>
        <w:t xml:space="preserve">, </w:t>
      </w:r>
      <w:bookmarkStart w:id="9" w:name="OLE_LINK159"/>
      <w:r w:rsidRPr="00674A45">
        <w:rPr>
          <w:rFonts w:eastAsia="Times New Roman" w:cs="Segoe UI"/>
          <w:color w:val="222222"/>
          <w:kern w:val="0"/>
          <w14:ligatures w14:val="none"/>
        </w:rPr>
        <w:t xml:space="preserve">Faith </w:t>
      </w:r>
      <w:r>
        <w:rPr>
          <w:rFonts w:eastAsia="Times New Roman" w:cs="Segoe UI"/>
          <w:color w:val="222222"/>
          <w:kern w:val="0"/>
          <w14:ligatures w14:val="none"/>
        </w:rPr>
        <w:t xml:space="preserve">N. </w:t>
      </w:r>
      <w:r w:rsidRPr="00674A45">
        <w:rPr>
          <w:rFonts w:eastAsia="Times New Roman" w:cs="Segoe UI"/>
          <w:color w:val="222222"/>
          <w:kern w:val="0"/>
          <w14:ligatures w14:val="none"/>
        </w:rPr>
        <w:t>Veenker</w:t>
      </w:r>
      <w:r w:rsidRPr="00674A45">
        <w:rPr>
          <w:rFonts w:eastAsia="Times New Roman" w:cs="Segoe UI"/>
          <w:color w:val="222222"/>
          <w:kern w:val="0"/>
          <w:vertAlign w:val="superscript"/>
          <w14:ligatures w14:val="none"/>
        </w:rPr>
        <w:t>1</w:t>
      </w:r>
      <w:bookmarkEnd w:id="9"/>
      <w:r>
        <w:rPr>
          <w:rFonts w:eastAsia="Times New Roman" w:cs="Segoe UI"/>
          <w:color w:val="222222"/>
          <w:kern w:val="0"/>
          <w14:ligatures w14:val="none"/>
        </w:rPr>
        <w:t xml:space="preserve">, </w:t>
      </w:r>
      <w:bookmarkStart w:id="10" w:name="OLE_LINK160"/>
      <w:r w:rsidRPr="00674A45">
        <w:rPr>
          <w:rFonts w:eastAsia="Times New Roman" w:cs="Segoe UI"/>
          <w:color w:val="222222"/>
          <w:kern w:val="0"/>
          <w14:ligatures w14:val="none"/>
        </w:rPr>
        <w:t>Christina Lildharrie</w:t>
      </w:r>
      <w:r w:rsidRPr="00674A45">
        <w:rPr>
          <w:rFonts w:eastAsia="Times New Roman" w:cs="Segoe UI"/>
          <w:color w:val="222222"/>
          <w:kern w:val="0"/>
          <w:vertAlign w:val="superscript"/>
          <w14:ligatures w14:val="none"/>
        </w:rPr>
        <w:t>1</w:t>
      </w:r>
      <w:bookmarkEnd w:id="10"/>
      <w:r w:rsidRPr="00674A45">
        <w:rPr>
          <w:rFonts w:eastAsia="Times New Roman" w:cs="Segoe UI"/>
          <w:color w:val="222222"/>
          <w:kern w:val="0"/>
          <w14:ligatures w14:val="none"/>
        </w:rPr>
        <w:t xml:space="preserve">, </w:t>
      </w:r>
      <w:bookmarkStart w:id="11" w:name="OLE_LINK161"/>
      <w:r w:rsidRPr="00674A45">
        <w:rPr>
          <w:rFonts w:eastAsia="Times New Roman" w:cs="Segoe UI"/>
          <w:color w:val="222222"/>
          <w:kern w:val="0"/>
          <w14:ligatures w14:val="none"/>
        </w:rPr>
        <w:t>Michele-Vera Yonga</w:t>
      </w:r>
      <w:r w:rsidRPr="00674A45">
        <w:rPr>
          <w:rFonts w:eastAsia="Times New Roman" w:cs="Segoe UI"/>
          <w:color w:val="222222"/>
          <w:kern w:val="0"/>
          <w:vertAlign w:val="superscript"/>
          <w14:ligatures w14:val="none"/>
        </w:rPr>
        <w:t>1</w:t>
      </w:r>
      <w:bookmarkEnd w:id="11"/>
      <w:r w:rsidRPr="00674A45">
        <w:rPr>
          <w:rFonts w:eastAsia="Times New Roman" w:cs="Segoe UI"/>
          <w:color w:val="222222"/>
          <w:kern w:val="0"/>
          <w14:ligatures w14:val="none"/>
        </w:rPr>
        <w:t xml:space="preserve">, </w:t>
      </w:r>
      <w:bookmarkStart w:id="12" w:name="OLE_LINK162"/>
      <w:r w:rsidRPr="00674A45">
        <w:rPr>
          <w:rFonts w:eastAsia="Times New Roman" w:cs="Segoe UI"/>
          <w:color w:val="222222"/>
          <w:kern w:val="0"/>
          <w14:ligatures w14:val="none"/>
        </w:rPr>
        <w:t>Sarah Abey</w:t>
      </w:r>
      <w:r w:rsidRPr="00674A45">
        <w:rPr>
          <w:rFonts w:eastAsia="Times New Roman" w:cs="Segoe UI"/>
          <w:color w:val="222222"/>
          <w:kern w:val="0"/>
          <w:vertAlign w:val="superscript"/>
          <w14:ligatures w14:val="none"/>
        </w:rPr>
        <w:t>1</w:t>
      </w:r>
      <w:bookmarkEnd w:id="12"/>
      <w:r w:rsidRPr="00674A45">
        <w:rPr>
          <w:rFonts w:eastAsia="Times New Roman" w:cs="Segoe UI"/>
          <w:color w:val="222222"/>
          <w:kern w:val="0"/>
          <w14:ligatures w14:val="none"/>
        </w:rPr>
        <w:t xml:space="preserve">, </w:t>
      </w:r>
      <w:bookmarkStart w:id="13" w:name="OLE_LINK163"/>
      <w:r>
        <w:rPr>
          <w:rFonts w:eastAsia="Times New Roman" w:cs="Segoe UI"/>
          <w:color w:val="222222"/>
          <w:kern w:val="0"/>
          <w14:ligatures w14:val="none"/>
        </w:rPr>
        <w:t>Leyla Brucar</w:t>
      </w:r>
      <w:r w:rsidRPr="00523FAF">
        <w:rPr>
          <w:rFonts w:eastAsia="Times New Roman" w:cs="Segoe UI"/>
          <w:color w:val="222222"/>
          <w:kern w:val="0"/>
          <w:vertAlign w:val="superscript"/>
          <w14:ligatures w14:val="none"/>
        </w:rPr>
        <w:t>1</w:t>
      </w:r>
      <w:bookmarkEnd w:id="13"/>
      <w:r>
        <w:rPr>
          <w:rFonts w:eastAsia="Times New Roman" w:cs="Segoe UI"/>
          <w:color w:val="222222"/>
          <w:kern w:val="0"/>
          <w14:ligatures w14:val="none"/>
        </w:rPr>
        <w:t xml:space="preserve">, </w:t>
      </w:r>
      <w:bookmarkStart w:id="14" w:name="OLE_LINK164"/>
      <w:r w:rsidRPr="0088658C">
        <w:rPr>
          <w:rFonts w:eastAsia="Times New Roman" w:cs="Segoe UI"/>
          <w:color w:val="222222"/>
          <w:kern w:val="0"/>
          <w14:ligatures w14:val="none"/>
        </w:rPr>
        <w:t>Michaelene</w:t>
      </w:r>
      <w:r w:rsidRPr="00674A45">
        <w:rPr>
          <w:rFonts w:eastAsia="Times New Roman" w:cs="Segoe UI"/>
          <w:color w:val="222222"/>
          <w:kern w:val="0"/>
          <w14:ligatures w14:val="none"/>
        </w:rPr>
        <w:t xml:space="preserve"> Van</w:t>
      </w:r>
      <w:r>
        <w:rPr>
          <w:rFonts w:eastAsia="Times New Roman" w:cs="Segoe UI"/>
          <w:color w:val="222222"/>
          <w:kern w:val="0"/>
          <w14:ligatures w14:val="none"/>
        </w:rPr>
        <w:t>D</w:t>
      </w:r>
      <w:r w:rsidRPr="00674A45">
        <w:rPr>
          <w:rFonts w:eastAsia="Times New Roman" w:cs="Segoe UI"/>
          <w:color w:val="222222"/>
          <w:kern w:val="0"/>
          <w14:ligatures w14:val="none"/>
        </w:rPr>
        <w:t>ine</w:t>
      </w:r>
      <w:r w:rsidRPr="00674A45">
        <w:rPr>
          <w:rFonts w:eastAsia="Times New Roman" w:cs="Segoe UI"/>
          <w:color w:val="222222"/>
          <w:kern w:val="0"/>
          <w:vertAlign w:val="superscript"/>
          <w14:ligatures w14:val="none"/>
        </w:rPr>
        <w:t>1</w:t>
      </w:r>
      <w:bookmarkEnd w:id="14"/>
      <w:r w:rsidRPr="00674A45">
        <w:rPr>
          <w:rFonts w:eastAsia="Times New Roman" w:cs="Segoe UI"/>
          <w:color w:val="222222"/>
          <w:kern w:val="0"/>
          <w14:ligatures w14:val="none"/>
        </w:rPr>
        <w:t>, Gene-Jack Wang</w:t>
      </w:r>
      <w:r w:rsidRPr="00674A45">
        <w:rPr>
          <w:rFonts w:eastAsia="Times New Roman" w:cs="Segoe UI"/>
          <w:color w:val="222222"/>
          <w:kern w:val="0"/>
          <w:vertAlign w:val="superscript"/>
          <w14:ligatures w14:val="none"/>
        </w:rPr>
        <w:t>1</w:t>
      </w:r>
      <w:r w:rsidRPr="00674A45">
        <w:rPr>
          <w:rFonts w:eastAsia="Times New Roman" w:cs="Segoe UI"/>
          <w:color w:val="222222"/>
          <w:kern w:val="0"/>
          <w14:ligatures w14:val="none"/>
        </w:rPr>
        <w:t>, Nora D. Volkow</w:t>
      </w:r>
      <w:bookmarkEnd w:id="3"/>
      <w:r w:rsidRPr="00674A45">
        <w:rPr>
          <w:rFonts w:eastAsia="Times New Roman" w:cs="Segoe UI"/>
          <w:color w:val="222222"/>
          <w:kern w:val="0"/>
          <w:vertAlign w:val="superscript"/>
          <w14:ligatures w14:val="none"/>
        </w:rPr>
        <w:t>1</w:t>
      </w:r>
      <w:bookmarkEnd w:id="1"/>
    </w:p>
    <w:bookmarkEnd w:id="2"/>
    <w:p w14:paraId="7FC9B0B2" w14:textId="77777777" w:rsidR="00C832B0" w:rsidRDefault="00C832B0"/>
    <w:p w14:paraId="194E9137" w14:textId="68076C11" w:rsidR="00F41DD3" w:rsidRDefault="002E4F77">
      <w:r>
        <w:rPr>
          <w:noProof/>
        </w:rPr>
        <w:drawing>
          <wp:inline distT="0" distB="0" distL="0" distR="0" wp14:anchorId="279FA930" wp14:editId="7F841621">
            <wp:extent cx="5942856" cy="2536894"/>
            <wp:effectExtent l="0" t="0" r="1270" b="3175"/>
            <wp:docPr id="1204998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98049" name="Picture 1204998049"/>
                    <pic:cNvPicPr/>
                  </pic:nvPicPr>
                  <pic:blipFill rotWithShape="1">
                    <a:blip r:embed="rId4"/>
                    <a:srcRect t="10104" b="14007"/>
                    <a:stretch>
                      <a:fillRect/>
                    </a:stretch>
                  </pic:blipFill>
                  <pic:spPr bwMode="auto">
                    <a:xfrm>
                      <a:off x="0" y="0"/>
                      <a:ext cx="5943600" cy="2537212"/>
                    </a:xfrm>
                    <a:prstGeom prst="rect">
                      <a:avLst/>
                    </a:prstGeom>
                    <a:ln>
                      <a:noFill/>
                    </a:ln>
                    <a:extLst>
                      <a:ext uri="{53640926-AAD7-44D8-BBD7-CCE9431645EC}">
                        <a14:shadowObscured xmlns:a14="http://schemas.microsoft.com/office/drawing/2010/main"/>
                      </a:ext>
                    </a:extLst>
                  </pic:spPr>
                </pic:pic>
              </a:graphicData>
            </a:graphic>
          </wp:inline>
        </w:drawing>
      </w:r>
    </w:p>
    <w:p w14:paraId="27D124F5" w14:textId="4951A066" w:rsidR="002E4F77" w:rsidRDefault="002E4F77" w:rsidP="002E4F77">
      <w:pPr>
        <w:jc w:val="both"/>
        <w:rPr>
          <w:sz w:val="20"/>
          <w:szCs w:val="20"/>
        </w:rPr>
      </w:pPr>
      <w:r w:rsidRPr="006D6D56">
        <w:rPr>
          <w:b/>
          <w:bCs/>
          <w:sz w:val="20"/>
          <w:szCs w:val="20"/>
        </w:rPr>
        <w:t>Figure S</w:t>
      </w:r>
      <w:r w:rsidR="00BF26D4">
        <w:rPr>
          <w:b/>
          <w:bCs/>
          <w:sz w:val="20"/>
          <w:szCs w:val="20"/>
        </w:rPr>
        <w:t>1</w:t>
      </w:r>
      <w:r w:rsidRPr="006D6D56">
        <w:rPr>
          <w:b/>
          <w:bCs/>
          <w:sz w:val="20"/>
          <w:szCs w:val="20"/>
        </w:rPr>
        <w:t xml:space="preserve">. Principal and secondary functional gradients in control and OUD groups. </w:t>
      </w:r>
      <w:r w:rsidRPr="006D6D56">
        <w:rPr>
          <w:sz w:val="20"/>
          <w:szCs w:val="20"/>
        </w:rPr>
        <w:t>Group-averaged principal (left) and secondary (right) functional gradients are shown for control and OUD participants on cortical surface renderings and corresponding subcortical slices. The principal gradient represents the dominant axis of functional organization, while the secondary gradient captures an orthogonal mode of variation. Overall gradient topology is broadly preserved across groups, with regional differences evident across cortical and subcortical structures.</w:t>
      </w:r>
    </w:p>
    <w:p w14:paraId="4FE41FAD" w14:textId="77777777" w:rsidR="000E07EB" w:rsidRDefault="000E07EB" w:rsidP="002E4F77">
      <w:pPr>
        <w:jc w:val="both"/>
        <w:rPr>
          <w:sz w:val="20"/>
          <w:szCs w:val="20"/>
        </w:rPr>
      </w:pPr>
    </w:p>
    <w:p w14:paraId="2F577A2D" w14:textId="77777777" w:rsidR="00BE2E08" w:rsidRDefault="00BE2E08" w:rsidP="00BE2E08">
      <w:pPr>
        <w:jc w:val="center"/>
        <w:rPr>
          <w:b/>
          <w:bCs/>
          <w:sz w:val="20"/>
          <w:szCs w:val="20"/>
        </w:rPr>
      </w:pPr>
      <w:r>
        <w:rPr>
          <w:noProof/>
        </w:rPr>
        <w:lastRenderedPageBreak/>
        <w:drawing>
          <wp:inline distT="0" distB="0" distL="0" distR="0" wp14:anchorId="1F918FFA" wp14:editId="2E4D1DBF">
            <wp:extent cx="3225800" cy="2324100"/>
            <wp:effectExtent l="0" t="0" r="0" b="0"/>
            <wp:docPr id="1058916240" name="Picture 1" descr="A group of ha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916240" name="Picture 1" descr="A group of hats&#10;&#10;AI-generated content may be incorrect."/>
                    <pic:cNvPicPr/>
                  </pic:nvPicPr>
                  <pic:blipFill>
                    <a:blip r:embed="rId5"/>
                    <a:stretch>
                      <a:fillRect/>
                    </a:stretch>
                  </pic:blipFill>
                  <pic:spPr>
                    <a:xfrm>
                      <a:off x="0" y="0"/>
                      <a:ext cx="3225800" cy="2324100"/>
                    </a:xfrm>
                    <a:prstGeom prst="rect">
                      <a:avLst/>
                    </a:prstGeom>
                  </pic:spPr>
                </pic:pic>
              </a:graphicData>
            </a:graphic>
          </wp:inline>
        </w:drawing>
      </w:r>
    </w:p>
    <w:p w14:paraId="49F6E3E4" w14:textId="58871BE2" w:rsidR="00BE2E08" w:rsidRDefault="00BE2E08" w:rsidP="00BE2E08">
      <w:pPr>
        <w:jc w:val="both"/>
        <w:rPr>
          <w:sz w:val="20"/>
          <w:szCs w:val="20"/>
        </w:rPr>
      </w:pPr>
      <w:r w:rsidRPr="006D259C">
        <w:rPr>
          <w:b/>
          <w:bCs/>
          <w:sz w:val="20"/>
          <w:szCs w:val="20"/>
        </w:rPr>
        <w:t>Figure S</w:t>
      </w:r>
      <w:r w:rsidR="00BF26D4">
        <w:rPr>
          <w:b/>
          <w:bCs/>
          <w:sz w:val="20"/>
          <w:szCs w:val="20"/>
        </w:rPr>
        <w:t>2</w:t>
      </w:r>
      <w:r w:rsidRPr="006D259C">
        <w:rPr>
          <w:b/>
          <w:bCs/>
          <w:sz w:val="20"/>
          <w:szCs w:val="20"/>
        </w:rPr>
        <w:t xml:space="preserve">. A priori MP-sensitive </w:t>
      </w:r>
      <w:r w:rsidR="006749B1">
        <w:rPr>
          <w:b/>
          <w:bCs/>
          <w:sz w:val="20"/>
          <w:szCs w:val="20"/>
        </w:rPr>
        <w:t>Network (</w:t>
      </w:r>
      <w:proofErr w:type="spellStart"/>
      <w:r w:rsidR="006749B1">
        <w:rPr>
          <w:b/>
          <w:bCs/>
          <w:sz w:val="20"/>
          <w:szCs w:val="20"/>
        </w:rPr>
        <w:t>MPsN</w:t>
      </w:r>
      <w:proofErr w:type="spellEnd"/>
      <w:r w:rsidR="006749B1">
        <w:rPr>
          <w:b/>
          <w:bCs/>
          <w:sz w:val="20"/>
          <w:szCs w:val="20"/>
        </w:rPr>
        <w:t>)</w:t>
      </w:r>
      <w:r w:rsidRPr="006D259C">
        <w:rPr>
          <w:b/>
          <w:bCs/>
          <w:sz w:val="20"/>
          <w:szCs w:val="20"/>
        </w:rPr>
        <w:t xml:space="preserve"> mask.</w:t>
      </w:r>
      <w:r>
        <w:rPr>
          <w:b/>
          <w:bCs/>
          <w:sz w:val="20"/>
          <w:szCs w:val="20"/>
        </w:rPr>
        <w:t xml:space="preserve"> </w:t>
      </w:r>
      <w:r w:rsidRPr="006D259C">
        <w:rPr>
          <w:sz w:val="20"/>
          <w:szCs w:val="20"/>
        </w:rPr>
        <w:t>Cortical regions comprising the a priori ROI mask used for hypothesis-driven analyses are shown on lateral and medial surface renderings. The mask was defined in an independent within-subject PET–MRI study of healthy adults (n = 20</w:t>
      </w:r>
      <w:r>
        <w:rPr>
          <w:sz w:val="20"/>
          <w:szCs w:val="20"/>
        </w:rPr>
        <w:t>)</w:t>
      </w:r>
      <w:r>
        <w:rPr>
          <w:sz w:val="20"/>
          <w:szCs w:val="20"/>
        </w:rPr>
        <w:fldChar w:fldCharType="begin"/>
      </w:r>
      <w:r w:rsidR="00F04432">
        <w:rPr>
          <w:sz w:val="20"/>
          <w:szCs w:val="20"/>
        </w:rPr>
        <w:instrText xml:space="preserve"> ADDIN EN.CITE &lt;EndNote&gt;&lt;Cite&gt;&lt;Author&gt;Tomasi&lt;/Author&gt;&lt;Year&gt;2026&lt;/Year&gt;&lt;RecNum&gt;6797&lt;/RecNum&gt;&lt;DisplayText&gt;&lt;style face="superscript"&gt;1&lt;/style&gt;&lt;/DisplayText&gt;&lt;record&gt;&lt;rec-number&gt;6797&lt;/rec-number&gt;&lt;foreign-keys&gt;&lt;key app="EN" db-id="t5v9s5faytzp2nex2035prp3sz9assxf5dex" timestamp="1765805511"&gt;6797&lt;/key&gt;&lt;/foreign-keys&gt;&lt;ref-type name="Journal Article"&gt;17&lt;/ref-type&gt;&lt;contributors&gt;&lt;authors&gt;&lt;author&gt;Tomasi, Dardo&lt;/author&gt;&lt;author&gt;Manza, Peter&lt;/author&gt;&lt;author&gt;Demiral, Şükrü Barış&lt;/author&gt;&lt;author&gt;Yan, Weizheng&lt;/author&gt;&lt;author&gt;Miller, Kylee B.&lt;/author&gt;&lt;author&gt;Veenker, Faith&lt;/author&gt;&lt;author&gt;Zhao, Joshua&lt;/author&gt;&lt;author&gt;Lildharrie, Christina&lt;/author&gt;&lt;author&gt;Yonga, Michele-Vera&lt;/author&gt;&lt;author&gt;Abey, Sarah&lt;/author&gt;&lt;author&gt;VanDine, Michaelene&lt;/author&gt;&lt;author&gt;Wang, Gene-Jack&lt;/author&gt;&lt;author&gt;Volkow, Nora D.&lt;/author&gt;&lt;/authors&gt;&lt;/contributors&gt;&lt;titles&gt;&lt;title&gt;Methylphenidate reorganizes cortical hierarchy through dopaminergic modulation&lt;/title&gt;&lt;secondary-title&gt;Nature Communications&lt;/secondary-title&gt;&lt;alt-title&gt;Nat Commun&lt;/alt-title&gt;&lt;/titles&gt;&lt;periodical&gt;&lt;full-title&gt;Nature Communications&lt;/full-title&gt;&lt;abbr-1&gt;Nat Commun&lt;/abbr-1&gt;&lt;/periodical&gt;&lt;alt-periodical&gt;&lt;full-title&gt;Nature Communications&lt;/full-title&gt;&lt;abbr-1&gt;Nat Commun&lt;/abbr-1&gt;&lt;/alt-periodical&gt;&lt;pages&gt;791&lt;/pages&gt;&lt;volume&gt;17&lt;/volume&gt;&lt;dates&gt;&lt;year&gt;2026&lt;/year&gt;&lt;pub-dates&gt;&lt;date&gt;2025/12/13&lt;/date&gt;&lt;/pub-dates&gt;&lt;/dates&gt;&lt;isbn&gt;2041-1723&lt;/isbn&gt;&lt;urls&gt;&lt;related-urls&gt;&lt;url&gt;https://doi.org/10.1038/s41467-025-67477-y&lt;/url&gt;&lt;/related-urls&gt;&lt;/urls&gt;&lt;electronic-resource-num&gt;10.1038/s41467-025-67477-y&lt;/electronic-resource-num&gt;&lt;/record&gt;&lt;/Cite&gt;&lt;/EndNote&gt;</w:instrText>
      </w:r>
      <w:r>
        <w:rPr>
          <w:sz w:val="20"/>
          <w:szCs w:val="20"/>
        </w:rPr>
        <w:fldChar w:fldCharType="separate"/>
      </w:r>
      <w:r w:rsidRPr="006D259C">
        <w:rPr>
          <w:noProof/>
          <w:sz w:val="20"/>
          <w:szCs w:val="20"/>
          <w:vertAlign w:val="superscript"/>
        </w:rPr>
        <w:t>1</w:t>
      </w:r>
      <w:r>
        <w:rPr>
          <w:sz w:val="20"/>
          <w:szCs w:val="20"/>
        </w:rPr>
        <w:fldChar w:fldCharType="end"/>
      </w:r>
      <w:r w:rsidRPr="006D259C">
        <w:rPr>
          <w:sz w:val="20"/>
          <w:szCs w:val="20"/>
        </w:rPr>
        <w:t xml:space="preserve"> using the same 438-ROI parcellation and identifying ROIs exhibiting significant methylphenidate (MP)–related compression of the principal functional gradient (MP vs placebo</w:t>
      </w:r>
      <w:r>
        <w:rPr>
          <w:sz w:val="20"/>
          <w:szCs w:val="20"/>
        </w:rPr>
        <w:t>,</w:t>
      </w:r>
      <w:r w:rsidRPr="006D259C">
        <w:rPr>
          <w:sz w:val="20"/>
          <w:szCs w:val="20"/>
        </w:rPr>
        <w:t xml:space="preserve"> FDR-corrected). This predefined ROI set was used to restrict multiple-comparison correction for </w:t>
      </w:r>
      <w:r>
        <w:rPr>
          <w:sz w:val="20"/>
          <w:szCs w:val="20"/>
        </w:rPr>
        <w:t>g</w:t>
      </w:r>
      <w:r w:rsidRPr="006D259C">
        <w:rPr>
          <w:sz w:val="20"/>
          <w:szCs w:val="20"/>
        </w:rPr>
        <w:t>roup</w:t>
      </w:r>
      <w:r>
        <w:rPr>
          <w:sz w:val="20"/>
          <w:szCs w:val="20"/>
        </w:rPr>
        <w:t>-by-d</w:t>
      </w:r>
      <w:r w:rsidRPr="006D259C">
        <w:rPr>
          <w:sz w:val="20"/>
          <w:szCs w:val="20"/>
        </w:rPr>
        <w:t>rug interaction tests and dopamine D2 receptor–gradient association analyses in the current study. No data from the present cohort were used in defining the mask.</w:t>
      </w:r>
    </w:p>
    <w:p w14:paraId="715A46B5" w14:textId="77777777" w:rsidR="00BE2E08" w:rsidRPr="006D6D56" w:rsidRDefault="00BE2E08" w:rsidP="002E4F77">
      <w:pPr>
        <w:jc w:val="both"/>
        <w:rPr>
          <w:b/>
          <w:bCs/>
          <w:sz w:val="20"/>
          <w:szCs w:val="20"/>
        </w:rPr>
      </w:pPr>
    </w:p>
    <w:p w14:paraId="1D58D381" w14:textId="73B415AD" w:rsidR="002E4F77" w:rsidRDefault="006D6D56">
      <w:r>
        <w:rPr>
          <w:noProof/>
        </w:rPr>
        <w:drawing>
          <wp:inline distT="0" distB="0" distL="0" distR="0" wp14:anchorId="5EB09611" wp14:editId="3CF986CB">
            <wp:extent cx="5943600" cy="3343275"/>
            <wp:effectExtent l="0" t="0" r="0" b="0"/>
            <wp:docPr id="1769355538" name="Picture 2" descr="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355538" name="Picture 2" descr="Graphical user interface&#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26A78EEF" w14:textId="53C355C7" w:rsidR="00951517" w:rsidRDefault="006D6D56" w:rsidP="00AB2497">
      <w:pPr>
        <w:jc w:val="both"/>
        <w:rPr>
          <w:sz w:val="20"/>
          <w:szCs w:val="20"/>
        </w:rPr>
      </w:pPr>
      <w:r w:rsidRPr="006D6D56">
        <w:rPr>
          <w:b/>
          <w:bCs/>
          <w:sz w:val="20"/>
          <w:szCs w:val="20"/>
        </w:rPr>
        <w:t>Figure S</w:t>
      </w:r>
      <w:r w:rsidR="00BF26D4">
        <w:rPr>
          <w:b/>
          <w:bCs/>
          <w:sz w:val="20"/>
          <w:szCs w:val="20"/>
        </w:rPr>
        <w:t>3</w:t>
      </w:r>
      <w:r w:rsidRPr="006D6D56">
        <w:rPr>
          <w:b/>
          <w:bCs/>
          <w:sz w:val="20"/>
          <w:szCs w:val="20"/>
        </w:rPr>
        <w:t>.</w:t>
      </w:r>
      <w:r w:rsidRPr="006D6D56">
        <w:rPr>
          <w:sz w:val="20"/>
          <w:szCs w:val="20"/>
        </w:rPr>
        <w:t xml:space="preserve"> </w:t>
      </w:r>
      <w:r w:rsidRPr="006D6D56">
        <w:rPr>
          <w:b/>
          <w:bCs/>
          <w:sz w:val="20"/>
          <w:szCs w:val="20"/>
        </w:rPr>
        <w:t>Effects of methylphenidate on the secondary functional gradient.</w:t>
      </w:r>
      <w:r>
        <w:rPr>
          <w:b/>
          <w:bCs/>
          <w:sz w:val="20"/>
          <w:szCs w:val="20"/>
        </w:rPr>
        <w:t xml:space="preserve"> </w:t>
      </w:r>
      <w:r>
        <w:rPr>
          <w:sz w:val="20"/>
          <w:szCs w:val="20"/>
        </w:rPr>
        <w:t>T-score maps for the m</w:t>
      </w:r>
      <w:r w:rsidRPr="006D6D56">
        <w:rPr>
          <w:sz w:val="20"/>
          <w:szCs w:val="20"/>
        </w:rPr>
        <w:t>ain effect of drug</w:t>
      </w:r>
      <w:r>
        <w:rPr>
          <w:sz w:val="20"/>
          <w:szCs w:val="20"/>
        </w:rPr>
        <w:t xml:space="preserve"> </w:t>
      </w:r>
      <w:r w:rsidRPr="006D6D56">
        <w:rPr>
          <w:sz w:val="20"/>
          <w:szCs w:val="20"/>
        </w:rPr>
        <w:t>(</w:t>
      </w:r>
      <w:r w:rsidRPr="006D6D56">
        <w:rPr>
          <w:b/>
          <w:bCs/>
          <w:sz w:val="20"/>
          <w:szCs w:val="20"/>
        </w:rPr>
        <w:t>a</w:t>
      </w:r>
      <w:r w:rsidRPr="006D6D56">
        <w:rPr>
          <w:sz w:val="20"/>
          <w:szCs w:val="20"/>
        </w:rPr>
        <w:t>), showing regions exhibiting significant differences between methylphenidate (MP) and placebo (PL) across participants</w:t>
      </w:r>
      <w:r>
        <w:rPr>
          <w:sz w:val="20"/>
          <w:szCs w:val="20"/>
        </w:rPr>
        <w:t>, and</w:t>
      </w:r>
      <w:r w:rsidRPr="006D6D56">
        <w:rPr>
          <w:sz w:val="20"/>
          <w:szCs w:val="20"/>
        </w:rPr>
        <w:t xml:space="preserve"> </w:t>
      </w:r>
      <w:r>
        <w:rPr>
          <w:sz w:val="20"/>
          <w:szCs w:val="20"/>
        </w:rPr>
        <w:t>g</w:t>
      </w:r>
      <w:r w:rsidRPr="006D6D56">
        <w:rPr>
          <w:sz w:val="20"/>
          <w:szCs w:val="20"/>
        </w:rPr>
        <w:t>roup-by-drug interaction</w:t>
      </w:r>
      <w:r>
        <w:rPr>
          <w:sz w:val="20"/>
          <w:szCs w:val="20"/>
        </w:rPr>
        <w:t xml:space="preserve">s </w:t>
      </w:r>
      <w:r w:rsidRPr="006D6D56">
        <w:rPr>
          <w:sz w:val="20"/>
          <w:szCs w:val="20"/>
        </w:rPr>
        <w:t>(</w:t>
      </w:r>
      <w:r w:rsidRPr="006D6D56">
        <w:rPr>
          <w:b/>
          <w:bCs/>
          <w:sz w:val="20"/>
          <w:szCs w:val="20"/>
        </w:rPr>
        <w:t>b</w:t>
      </w:r>
      <w:r w:rsidRPr="006D6D56">
        <w:rPr>
          <w:sz w:val="20"/>
          <w:szCs w:val="20"/>
        </w:rPr>
        <w:t>)</w:t>
      </w:r>
      <w:r>
        <w:rPr>
          <w:sz w:val="20"/>
          <w:szCs w:val="20"/>
        </w:rPr>
        <w:t>,</w:t>
      </w:r>
      <w:r w:rsidRPr="006D6D56">
        <w:rPr>
          <w:sz w:val="20"/>
          <w:szCs w:val="20"/>
        </w:rPr>
        <w:t xml:space="preserve"> highlighting regions where MP–PL effects </w:t>
      </w:r>
      <w:r w:rsidRPr="006D6D56">
        <w:rPr>
          <w:sz w:val="20"/>
          <w:szCs w:val="20"/>
        </w:rPr>
        <w:lastRenderedPageBreak/>
        <w:t xml:space="preserve">differed between individuals with </w:t>
      </w:r>
      <w:r>
        <w:rPr>
          <w:sz w:val="20"/>
          <w:szCs w:val="20"/>
        </w:rPr>
        <w:t>opioid use disorder (</w:t>
      </w:r>
      <w:r w:rsidRPr="006D6D56">
        <w:rPr>
          <w:sz w:val="20"/>
          <w:szCs w:val="20"/>
        </w:rPr>
        <w:t>OUD</w:t>
      </w:r>
      <w:r>
        <w:rPr>
          <w:sz w:val="20"/>
          <w:szCs w:val="20"/>
        </w:rPr>
        <w:t xml:space="preserve">; n=53) </w:t>
      </w:r>
      <w:r w:rsidRPr="006D6D56">
        <w:rPr>
          <w:sz w:val="20"/>
          <w:szCs w:val="20"/>
        </w:rPr>
        <w:t xml:space="preserve"> and healthy controls (HC</w:t>
      </w:r>
      <w:r>
        <w:rPr>
          <w:sz w:val="20"/>
          <w:szCs w:val="20"/>
        </w:rPr>
        <w:t>; n=40</w:t>
      </w:r>
      <w:r w:rsidRPr="006D6D56">
        <w:rPr>
          <w:sz w:val="20"/>
          <w:szCs w:val="20"/>
        </w:rPr>
        <w:t xml:space="preserve">). Cortical results are displayed on lateral and medial surface renderings, with corresponding subcortical effects shown on axial slices below. </w:t>
      </w:r>
      <w:r w:rsidR="00AB2497" w:rsidRPr="00E15903">
        <w:rPr>
          <w:sz w:val="20"/>
          <w:szCs w:val="20"/>
        </w:rPr>
        <w:t>Associations were derived from linear mixed-effects models accounting for repeated measures and age, sex, race, BMI, IQ and FD covariates.</w:t>
      </w:r>
    </w:p>
    <w:p w14:paraId="473D3828" w14:textId="77777777" w:rsidR="00F04432" w:rsidRDefault="00F04432" w:rsidP="00AB2497">
      <w:pPr>
        <w:jc w:val="both"/>
        <w:rPr>
          <w:sz w:val="20"/>
          <w:szCs w:val="20"/>
        </w:rPr>
      </w:pPr>
    </w:p>
    <w:p w14:paraId="52C69B39" w14:textId="77777777" w:rsidR="00F04432" w:rsidRDefault="00F04432" w:rsidP="00AB2497">
      <w:pPr>
        <w:jc w:val="both"/>
        <w:rPr>
          <w:sz w:val="20"/>
          <w:szCs w:val="20"/>
        </w:rPr>
      </w:pPr>
    </w:p>
    <w:p w14:paraId="154F1E3F" w14:textId="03BAB43D" w:rsidR="006D6D56" w:rsidRDefault="00F04432" w:rsidP="006D6D56">
      <w:pPr>
        <w:jc w:val="both"/>
        <w:rPr>
          <w:sz w:val="20"/>
          <w:szCs w:val="20"/>
        </w:rPr>
      </w:pPr>
      <w:r>
        <w:rPr>
          <w:noProof/>
        </w:rPr>
        <w:drawing>
          <wp:inline distT="0" distB="0" distL="0" distR="0" wp14:anchorId="2CA137AB" wp14:editId="26D291DB">
            <wp:extent cx="5943600" cy="4525442"/>
            <wp:effectExtent l="0" t="0" r="0" b="0"/>
            <wp:docPr id="689005971" name="Picture 5" descr="Graphical user interface, chart, line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005971" name="Picture 5" descr="Graphical user interface, chart, line chart&#10;&#10;AI-generated content may be incorrect."/>
                    <pic:cNvPicPr/>
                  </pic:nvPicPr>
                  <pic:blipFill rotWithShape="1">
                    <a:blip r:embed="rId7">
                      <a:extLst>
                        <a:ext uri="{28A0092B-C50C-407E-A947-70E740481C1C}">
                          <a14:useLocalDpi xmlns:a14="http://schemas.microsoft.com/office/drawing/2010/main" val="0"/>
                        </a:ext>
                      </a:extLst>
                    </a:blip>
                    <a:srcRect l="14414" r="11704"/>
                    <a:stretch>
                      <a:fillRect/>
                    </a:stretch>
                  </pic:blipFill>
                  <pic:spPr bwMode="auto">
                    <a:xfrm>
                      <a:off x="0" y="0"/>
                      <a:ext cx="5943600" cy="4525442"/>
                    </a:xfrm>
                    <a:prstGeom prst="rect">
                      <a:avLst/>
                    </a:prstGeom>
                    <a:ln>
                      <a:noFill/>
                    </a:ln>
                    <a:extLst>
                      <a:ext uri="{53640926-AAD7-44D8-BBD7-CCE9431645EC}">
                        <a14:shadowObscured xmlns:a14="http://schemas.microsoft.com/office/drawing/2010/main"/>
                      </a:ext>
                    </a:extLst>
                  </pic:spPr>
                </pic:pic>
              </a:graphicData>
            </a:graphic>
          </wp:inline>
        </w:drawing>
      </w:r>
    </w:p>
    <w:p w14:paraId="586151D4" w14:textId="3583B427" w:rsidR="00F04432" w:rsidRPr="003A7848" w:rsidRDefault="00F04432" w:rsidP="00F04432">
      <w:pPr>
        <w:shd w:val="clear" w:color="auto" w:fill="FFFFFF"/>
        <w:spacing w:after="120" w:line="276" w:lineRule="auto"/>
        <w:jc w:val="both"/>
        <w:outlineLvl w:val="2"/>
        <w:rPr>
          <w:sz w:val="20"/>
          <w:szCs w:val="20"/>
        </w:rPr>
      </w:pPr>
      <w:r w:rsidRPr="00FD1B25">
        <w:rPr>
          <w:b/>
          <w:bCs/>
          <w:sz w:val="20"/>
          <w:szCs w:val="20"/>
        </w:rPr>
        <w:t xml:space="preserve">Figure </w:t>
      </w:r>
      <w:r>
        <w:rPr>
          <w:b/>
          <w:bCs/>
          <w:sz w:val="20"/>
          <w:szCs w:val="20"/>
        </w:rPr>
        <w:t>S</w:t>
      </w:r>
      <w:r w:rsidR="00BF26D4">
        <w:rPr>
          <w:b/>
          <w:bCs/>
          <w:sz w:val="20"/>
          <w:szCs w:val="20"/>
        </w:rPr>
        <w:t>4</w:t>
      </w:r>
      <w:r w:rsidRPr="00FD1B25">
        <w:rPr>
          <w:b/>
          <w:bCs/>
          <w:sz w:val="20"/>
          <w:szCs w:val="20"/>
        </w:rPr>
        <w:t xml:space="preserve">. Preservation of functional gradient topology across drug conditions and groups. </w:t>
      </w:r>
      <w:r w:rsidRPr="00FD1B25">
        <w:rPr>
          <w:sz w:val="20"/>
          <w:szCs w:val="20"/>
        </w:rPr>
        <w:t>Scatterplots depict parcel-wise correspondence between placebo (PL) and methylphenidate (MP) sessions for the principal (top row) and secondary (bottom row) functional gradients in (</w:t>
      </w:r>
      <w:r w:rsidRPr="00FD1B25">
        <w:rPr>
          <w:b/>
          <w:bCs/>
          <w:sz w:val="20"/>
          <w:szCs w:val="20"/>
        </w:rPr>
        <w:t>a</w:t>
      </w:r>
      <w:r w:rsidRPr="00FD1B25">
        <w:rPr>
          <w:sz w:val="20"/>
          <w:szCs w:val="20"/>
        </w:rPr>
        <w:t>) healthy controls, (</w:t>
      </w:r>
      <w:r w:rsidRPr="00FD1B25">
        <w:rPr>
          <w:b/>
          <w:bCs/>
          <w:sz w:val="20"/>
          <w:szCs w:val="20"/>
        </w:rPr>
        <w:t>b</w:t>
      </w:r>
      <w:r w:rsidRPr="00FD1B25">
        <w:rPr>
          <w:sz w:val="20"/>
          <w:szCs w:val="20"/>
        </w:rPr>
        <w:t>) medicated individuals with OUD, and (</w:t>
      </w:r>
      <w:r w:rsidRPr="00FD1B25">
        <w:rPr>
          <w:b/>
          <w:bCs/>
          <w:sz w:val="20"/>
          <w:szCs w:val="20"/>
        </w:rPr>
        <w:t>c</w:t>
      </w:r>
      <w:r w:rsidRPr="00FD1B25">
        <w:rPr>
          <w:sz w:val="20"/>
          <w:szCs w:val="20"/>
        </w:rPr>
        <w:t>) unmedicated individuals with OUD. Solid lines indicate least-squares fits and dashed lines denote the identity line. Insets illustrate network topography on cortical surfaces. Each point represents a parcel</w:t>
      </w:r>
      <w:r>
        <w:rPr>
          <w:sz w:val="20"/>
          <w:szCs w:val="20"/>
        </w:rPr>
        <w:t xml:space="preserve"> (n=438)</w:t>
      </w:r>
      <w:r w:rsidRPr="00FD1B25">
        <w:rPr>
          <w:sz w:val="20"/>
          <w:szCs w:val="20"/>
        </w:rPr>
        <w:t>, colored by canonical functional network affiliation</w:t>
      </w:r>
      <w:r w:rsidRPr="00FD1B25">
        <w:rPr>
          <w:rFonts w:eastAsia="Calibri" w:cs="Times New Roman"/>
          <w:color w:val="000000" w:themeColor="text1"/>
          <w:kern w:val="0"/>
          <w:sz w:val="20"/>
          <w:szCs w:val="20"/>
          <w14:ligatures w14:val="none"/>
        </w:rPr>
        <w:fldChar w:fldCharType="begin"/>
      </w:r>
      <w:r>
        <w:rPr>
          <w:rFonts w:eastAsia="Calibri" w:cs="Times New Roman"/>
          <w:color w:val="000000" w:themeColor="text1"/>
          <w:kern w:val="0"/>
          <w:sz w:val="20"/>
          <w:szCs w:val="20"/>
          <w14:ligatures w14:val="none"/>
        </w:rPr>
        <w:instrText xml:space="preserve"> ADDIN EN.CITE &lt;EndNote&gt;&lt;Cite&gt;&lt;Author&gt;Ji&lt;/Author&gt;&lt;Year&gt;2019&lt;/Year&gt;&lt;RecNum&gt;6302&lt;/RecNum&gt;&lt;DisplayText&gt;&lt;style face="superscript"&gt;2&lt;/style&gt;&lt;/DisplayText&gt;&lt;record&gt;&lt;rec-number&gt;6302&lt;/rec-number&gt;&lt;foreign-keys&gt;&lt;key app="EN" db-id="t5v9s5faytzp2nex2035prp3sz9assxf5dex" timestamp="1686853394"&gt;6302&lt;/key&gt;&lt;/foreign-keys&gt;&lt;ref-type name="Journal Article"&gt;17&lt;/ref-type&gt;&lt;contributors&gt;&lt;authors&gt;&lt;author&gt;Ji, JL&lt;/author&gt;&lt;author&gt;Spronk, M&lt;/author&gt;&lt;author&gt;Kulkarni, K&lt;/author&gt;&lt;author&gt;&lt;style face="normal" font="default" size="100%"&gt;Repov&lt;/style&gt;&lt;style face="normal" font="default" charset="238" size="100%"&gt;š&lt;/style&gt;&lt;style face="normal" font="default" size="100%"&gt;,&lt;/style&gt;&lt;style face="normal" font="default" charset="238" size="100%"&gt; G&lt;/style&gt;&lt;/author&gt;&lt;author&gt;&lt;style face="normal" font="default" charset="238" size="100%"&gt;Anticevic&lt;/style&gt;&lt;style face="normal" font="default" size="100%"&gt;,&lt;/style&gt;&lt;style face="normal" font="default" charset="238" size="100%"&gt; A&lt;/style&gt;&lt;/author&gt;&lt;author&gt;&lt;style face="normal" font="default" charset="238" size="100%"&gt;Cole&lt;/style&gt;&lt;style face="normal" font="default" size="100%"&gt;,&lt;/style&gt;&lt;style face="normal" font="default" charset="238" size="100%"&gt; MW&lt;/style&gt;&lt;/author&gt;&lt;/authors&gt;&lt;/contributors&gt;&lt;titles&gt;&lt;title&gt;Mapping the human brain&amp;apos;s cortical-subcortical functional network organization&lt;/title&gt;&lt;secondary-title&gt;Neuroimage&lt;/secondary-title&gt;&lt;alt-title&gt;Neuroimage&lt;/alt-title&gt;&lt;/titles&gt;&lt;periodical&gt;&lt;full-title&gt;Neuroimage&lt;/full-title&gt;&lt;abbr-1&gt;Neuroimage&lt;/abbr-1&gt;&lt;/periodical&gt;&lt;alt-periodical&gt;&lt;full-title&gt;Neuroimage&lt;/full-title&gt;&lt;abbr-1&gt;Neuroimage&lt;/abbr-1&gt;&lt;/alt-periodical&gt;&lt;pages&gt;35-57&lt;/pages&gt;&lt;volume&gt;185&lt;/volume&gt;&lt;dates&gt;&lt;year&gt;2019&lt;/year&gt;&lt;/dates&gt;&lt;urls&gt;&lt;/urls&gt;&lt;/record&gt;&lt;/Cite&gt;&lt;/EndNote&gt;</w:instrText>
      </w:r>
      <w:r w:rsidRPr="00FD1B25">
        <w:rPr>
          <w:rFonts w:eastAsia="Calibri" w:cs="Times New Roman"/>
          <w:color w:val="000000" w:themeColor="text1"/>
          <w:kern w:val="0"/>
          <w:sz w:val="20"/>
          <w:szCs w:val="20"/>
          <w14:ligatures w14:val="none"/>
        </w:rPr>
        <w:fldChar w:fldCharType="separate"/>
      </w:r>
      <w:r w:rsidRPr="00F04432">
        <w:rPr>
          <w:rFonts w:eastAsia="Calibri" w:cs="Times New Roman"/>
          <w:noProof/>
          <w:color w:val="000000" w:themeColor="text1"/>
          <w:kern w:val="0"/>
          <w:sz w:val="20"/>
          <w:szCs w:val="20"/>
          <w:vertAlign w:val="superscript"/>
          <w14:ligatures w14:val="none"/>
        </w:rPr>
        <w:t>2</w:t>
      </w:r>
      <w:r w:rsidRPr="00FD1B25">
        <w:rPr>
          <w:rFonts w:eastAsia="Calibri" w:cs="Times New Roman"/>
          <w:color w:val="000000" w:themeColor="text1"/>
          <w:kern w:val="0"/>
          <w:sz w:val="20"/>
          <w:szCs w:val="20"/>
          <w14:ligatures w14:val="none"/>
        </w:rPr>
        <w:fldChar w:fldCharType="end"/>
      </w:r>
      <w:r w:rsidRPr="00FD1B25">
        <w:rPr>
          <w:rFonts w:cs="Times New Roman"/>
          <w:color w:val="000000" w:themeColor="text1"/>
          <w:sz w:val="20"/>
          <w:szCs w:val="20"/>
        </w:rPr>
        <w:t>: Visual (VIS1, VIS2), Somatomotor (SMM), Cingulo-Opercular (CON), Dorsal Attention (DAN), Language (LAN), Frontoparietal (FPN), Auditory (AUD), Default-Mode (DMN), Posterior Multimodal (PMM), Ventral Multimodal (VMM), and Orbito-Affective (ORA).</w:t>
      </w:r>
    </w:p>
    <w:p w14:paraId="6952B4AE" w14:textId="77777777" w:rsidR="00F04432" w:rsidRDefault="00F04432" w:rsidP="006D6D56">
      <w:pPr>
        <w:jc w:val="both"/>
        <w:rPr>
          <w:sz w:val="20"/>
          <w:szCs w:val="20"/>
        </w:rPr>
      </w:pPr>
    </w:p>
    <w:p w14:paraId="0374092F" w14:textId="77777777" w:rsidR="00AA5FBC" w:rsidRDefault="00AA5FBC" w:rsidP="006D6D56">
      <w:pPr>
        <w:jc w:val="both"/>
        <w:rPr>
          <w:sz w:val="20"/>
          <w:szCs w:val="20"/>
        </w:rPr>
      </w:pPr>
    </w:p>
    <w:p w14:paraId="778706CA" w14:textId="77777777" w:rsidR="00AA5FBC" w:rsidRDefault="00AA5FBC" w:rsidP="006D6D56">
      <w:pPr>
        <w:jc w:val="both"/>
        <w:rPr>
          <w:sz w:val="20"/>
          <w:szCs w:val="20"/>
        </w:rPr>
      </w:pPr>
    </w:p>
    <w:p w14:paraId="33A82EB3" w14:textId="77777777" w:rsidR="005C78AC" w:rsidRDefault="005C78AC" w:rsidP="005C78AC">
      <w:pPr>
        <w:jc w:val="center"/>
        <w:rPr>
          <w:b/>
          <w:bCs/>
        </w:rPr>
      </w:pPr>
      <w:r>
        <w:rPr>
          <w:noProof/>
          <w:sz w:val="20"/>
          <w:szCs w:val="20"/>
        </w:rPr>
        <w:drawing>
          <wp:inline distT="0" distB="0" distL="0" distR="0" wp14:anchorId="154A8911" wp14:editId="67790639">
            <wp:extent cx="3086100" cy="3343275"/>
            <wp:effectExtent l="0" t="0" r="0" b="0"/>
            <wp:docPr id="146863231" name="Picture 1" descr="Chart,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63231" name="Picture 1" descr="Chart, diagram&#10;&#10;AI-generated content may be incorrect."/>
                    <pic:cNvPicPr/>
                  </pic:nvPicPr>
                  <pic:blipFill rotWithShape="1">
                    <a:blip r:embed="rId8">
                      <a:extLst>
                        <a:ext uri="{28A0092B-C50C-407E-A947-70E740481C1C}">
                          <a14:useLocalDpi xmlns:a14="http://schemas.microsoft.com/office/drawing/2010/main" val="0"/>
                        </a:ext>
                      </a:extLst>
                    </a:blip>
                    <a:srcRect l="23718" r="24359"/>
                    <a:stretch>
                      <a:fillRect/>
                    </a:stretch>
                  </pic:blipFill>
                  <pic:spPr bwMode="auto">
                    <a:xfrm>
                      <a:off x="0" y="0"/>
                      <a:ext cx="3086100" cy="3343275"/>
                    </a:xfrm>
                    <a:prstGeom prst="rect">
                      <a:avLst/>
                    </a:prstGeom>
                    <a:ln>
                      <a:noFill/>
                    </a:ln>
                    <a:extLst>
                      <a:ext uri="{53640926-AAD7-44D8-BBD7-CCE9431645EC}">
                        <a14:shadowObscured xmlns:a14="http://schemas.microsoft.com/office/drawing/2010/main"/>
                      </a:ext>
                    </a:extLst>
                  </pic:spPr>
                </pic:pic>
              </a:graphicData>
            </a:graphic>
          </wp:inline>
        </w:drawing>
      </w:r>
    </w:p>
    <w:p w14:paraId="30850E1A" w14:textId="1C65B271" w:rsidR="00AA5FBC" w:rsidRPr="00BF26D4" w:rsidRDefault="005C78AC" w:rsidP="005C78AC">
      <w:pPr>
        <w:jc w:val="both"/>
        <w:rPr>
          <w:sz w:val="20"/>
          <w:szCs w:val="20"/>
        </w:rPr>
      </w:pPr>
      <w:r w:rsidRPr="00AB671A">
        <w:rPr>
          <w:b/>
          <w:bCs/>
          <w:sz w:val="20"/>
          <w:szCs w:val="20"/>
        </w:rPr>
        <w:t>Figure S</w:t>
      </w:r>
      <w:r w:rsidR="00BF26D4">
        <w:rPr>
          <w:b/>
          <w:bCs/>
          <w:sz w:val="20"/>
          <w:szCs w:val="20"/>
        </w:rPr>
        <w:t>5</w:t>
      </w:r>
      <w:r w:rsidRPr="00AB671A">
        <w:rPr>
          <w:b/>
          <w:bCs/>
          <w:sz w:val="20"/>
          <w:szCs w:val="20"/>
        </w:rPr>
        <w:t xml:space="preserve">. Visual attention accuracy across groups. </w:t>
      </w:r>
      <w:r w:rsidRPr="00AB671A">
        <w:rPr>
          <w:sz w:val="20"/>
          <w:szCs w:val="20"/>
        </w:rPr>
        <w:t>Box-and-whisker plots showing percentage accuracy for Control (n=</w:t>
      </w:r>
      <w:r w:rsidR="00A845DE">
        <w:rPr>
          <w:sz w:val="20"/>
          <w:szCs w:val="20"/>
        </w:rPr>
        <w:t>36</w:t>
      </w:r>
      <w:r w:rsidRPr="00AB671A">
        <w:rPr>
          <w:sz w:val="20"/>
          <w:szCs w:val="20"/>
        </w:rPr>
        <w:t>), Methadone (n=</w:t>
      </w:r>
      <w:r w:rsidR="00A845DE">
        <w:rPr>
          <w:sz w:val="20"/>
          <w:szCs w:val="20"/>
        </w:rPr>
        <w:t>16</w:t>
      </w:r>
      <w:r w:rsidRPr="00AB671A">
        <w:rPr>
          <w:sz w:val="20"/>
          <w:szCs w:val="20"/>
        </w:rPr>
        <w:t>), Buprenorphine (n=</w:t>
      </w:r>
      <w:r w:rsidR="00A845DE">
        <w:rPr>
          <w:sz w:val="20"/>
          <w:szCs w:val="20"/>
        </w:rPr>
        <w:t>8</w:t>
      </w:r>
      <w:r w:rsidRPr="00AB671A">
        <w:rPr>
          <w:sz w:val="20"/>
          <w:szCs w:val="20"/>
        </w:rPr>
        <w:t>), and unmedicated OUD (</w:t>
      </w:r>
      <w:proofErr w:type="spellStart"/>
      <w:r w:rsidRPr="00AB671A">
        <w:rPr>
          <w:sz w:val="20"/>
          <w:szCs w:val="20"/>
        </w:rPr>
        <w:t>NoMeds</w:t>
      </w:r>
      <w:proofErr w:type="spellEnd"/>
      <w:r w:rsidRPr="00AB671A">
        <w:rPr>
          <w:sz w:val="20"/>
          <w:szCs w:val="20"/>
        </w:rPr>
        <w:t>; n=</w:t>
      </w:r>
      <w:r w:rsidR="00A845DE">
        <w:rPr>
          <w:sz w:val="20"/>
          <w:szCs w:val="20"/>
        </w:rPr>
        <w:t>15</w:t>
      </w:r>
      <w:r w:rsidRPr="00AB671A">
        <w:rPr>
          <w:sz w:val="20"/>
          <w:szCs w:val="20"/>
        </w:rPr>
        <w:t xml:space="preserve">) groups. Boxes represent the interquartile range (IQR), horizontal lines indicate medians, and whiskers denote the data range (excluding outliers). Individual data points are overlaid. </w:t>
      </w:r>
    </w:p>
    <w:p w14:paraId="2DD4770D" w14:textId="77777777" w:rsidR="00AA5FBC" w:rsidRDefault="00AA5FBC" w:rsidP="006D259C">
      <w:pPr>
        <w:jc w:val="both"/>
        <w:rPr>
          <w:b/>
          <w:bCs/>
          <w:sz w:val="20"/>
          <w:szCs w:val="20"/>
        </w:rPr>
      </w:pPr>
    </w:p>
    <w:p w14:paraId="049CA19F" w14:textId="77777777" w:rsidR="00CC5973" w:rsidRPr="00AB671A" w:rsidRDefault="00CC5973" w:rsidP="006D259C">
      <w:pPr>
        <w:jc w:val="both"/>
        <w:rPr>
          <w:b/>
          <w:bCs/>
          <w:sz w:val="20"/>
          <w:szCs w:val="20"/>
        </w:rPr>
      </w:pPr>
    </w:p>
    <w:p w14:paraId="6DF0C136" w14:textId="4AE80A1C" w:rsidR="006D259C" w:rsidRPr="006D259C" w:rsidRDefault="006D259C" w:rsidP="006D259C">
      <w:pPr>
        <w:jc w:val="both"/>
        <w:rPr>
          <w:b/>
          <w:bCs/>
        </w:rPr>
      </w:pPr>
      <w:r w:rsidRPr="006D259C">
        <w:rPr>
          <w:b/>
          <w:bCs/>
        </w:rPr>
        <w:t>References</w:t>
      </w:r>
    </w:p>
    <w:bookmarkStart w:id="15" w:name="OLE_LINK14"/>
    <w:p w14:paraId="6D4F7FCF" w14:textId="77777777" w:rsidR="008618CD" w:rsidRPr="008618CD" w:rsidRDefault="006D259C" w:rsidP="008618CD">
      <w:pPr>
        <w:pStyle w:val="EndNoteBibliography"/>
        <w:ind w:left="720" w:hanging="720"/>
        <w:rPr>
          <w:noProof/>
        </w:rPr>
      </w:pPr>
      <w:r>
        <w:rPr>
          <w:b/>
          <w:bCs/>
          <w:sz w:val="20"/>
          <w:szCs w:val="20"/>
        </w:rPr>
        <w:fldChar w:fldCharType="begin"/>
      </w:r>
      <w:r>
        <w:rPr>
          <w:b/>
          <w:bCs/>
          <w:sz w:val="20"/>
          <w:szCs w:val="20"/>
        </w:rPr>
        <w:instrText xml:space="preserve"> ADDIN EN.REFLIST </w:instrText>
      </w:r>
      <w:r>
        <w:rPr>
          <w:b/>
          <w:bCs/>
          <w:sz w:val="20"/>
          <w:szCs w:val="20"/>
        </w:rPr>
        <w:fldChar w:fldCharType="separate"/>
      </w:r>
      <w:r w:rsidR="008618CD" w:rsidRPr="008618CD">
        <w:rPr>
          <w:noProof/>
        </w:rPr>
        <w:t>1.</w:t>
      </w:r>
      <w:r w:rsidR="008618CD" w:rsidRPr="008618CD">
        <w:rPr>
          <w:noProof/>
        </w:rPr>
        <w:tab/>
        <w:t>Tomasi D, Manza P, Demiral ŞB, Yan W, Miller KB, Veenker F</w:t>
      </w:r>
      <w:r w:rsidR="008618CD" w:rsidRPr="008618CD">
        <w:rPr>
          <w:i/>
          <w:noProof/>
        </w:rPr>
        <w:t xml:space="preserve"> et al.</w:t>
      </w:r>
      <w:r w:rsidR="008618CD" w:rsidRPr="008618CD">
        <w:rPr>
          <w:noProof/>
        </w:rPr>
        <w:t xml:space="preserve"> Methylphenidate reorganizes cortical hierarchy through dopaminergic modulation. </w:t>
      </w:r>
      <w:r w:rsidR="008618CD" w:rsidRPr="008618CD">
        <w:rPr>
          <w:i/>
          <w:noProof/>
        </w:rPr>
        <w:t>Nat Commun</w:t>
      </w:r>
      <w:r w:rsidR="008618CD" w:rsidRPr="008618CD">
        <w:rPr>
          <w:noProof/>
        </w:rPr>
        <w:t xml:space="preserve"> 2026; </w:t>
      </w:r>
      <w:r w:rsidR="008618CD" w:rsidRPr="008618CD">
        <w:rPr>
          <w:b/>
          <w:noProof/>
        </w:rPr>
        <w:t xml:space="preserve">17: </w:t>
      </w:r>
      <w:r w:rsidR="008618CD" w:rsidRPr="008618CD">
        <w:rPr>
          <w:noProof/>
        </w:rPr>
        <w:t>791.</w:t>
      </w:r>
    </w:p>
    <w:p w14:paraId="47A6ED5B" w14:textId="77777777" w:rsidR="008618CD" w:rsidRPr="008618CD" w:rsidRDefault="008618CD" w:rsidP="008618CD">
      <w:pPr>
        <w:pStyle w:val="EndNoteBibliography"/>
        <w:spacing w:after="0"/>
        <w:rPr>
          <w:noProof/>
        </w:rPr>
      </w:pPr>
    </w:p>
    <w:p w14:paraId="18F1F89D" w14:textId="77777777" w:rsidR="008618CD" w:rsidRPr="008618CD" w:rsidRDefault="008618CD" w:rsidP="008618CD">
      <w:pPr>
        <w:pStyle w:val="EndNoteBibliography"/>
        <w:ind w:left="720" w:hanging="720"/>
        <w:rPr>
          <w:noProof/>
        </w:rPr>
      </w:pPr>
      <w:r w:rsidRPr="008618CD">
        <w:rPr>
          <w:noProof/>
        </w:rPr>
        <w:t>2.</w:t>
      </w:r>
      <w:r w:rsidRPr="008618CD">
        <w:rPr>
          <w:noProof/>
        </w:rPr>
        <w:tab/>
        <w:t xml:space="preserve">Ji J, Spronk M, Kulkarni K, Repovš G, Anticevic A, Cole M. Mapping the human brain's cortical-subcortical functional network organization. </w:t>
      </w:r>
      <w:r w:rsidRPr="008618CD">
        <w:rPr>
          <w:i/>
          <w:noProof/>
        </w:rPr>
        <w:t>Neuroimage</w:t>
      </w:r>
      <w:r w:rsidRPr="008618CD">
        <w:rPr>
          <w:noProof/>
        </w:rPr>
        <w:t xml:space="preserve"> 2019; </w:t>
      </w:r>
      <w:r w:rsidRPr="008618CD">
        <w:rPr>
          <w:b/>
          <w:noProof/>
        </w:rPr>
        <w:t xml:space="preserve">185: </w:t>
      </w:r>
      <w:r w:rsidRPr="008618CD">
        <w:rPr>
          <w:noProof/>
        </w:rPr>
        <w:t>35-57.</w:t>
      </w:r>
    </w:p>
    <w:p w14:paraId="1C0FE536" w14:textId="77777777" w:rsidR="008618CD" w:rsidRPr="008618CD" w:rsidRDefault="008618CD" w:rsidP="008618CD">
      <w:pPr>
        <w:pStyle w:val="EndNoteBibliography"/>
        <w:rPr>
          <w:noProof/>
        </w:rPr>
      </w:pPr>
    </w:p>
    <w:p w14:paraId="07EE56B8" w14:textId="15DB6073" w:rsidR="006D259C" w:rsidRPr="006D259C" w:rsidRDefault="006D259C" w:rsidP="006D259C">
      <w:pPr>
        <w:jc w:val="both"/>
        <w:rPr>
          <w:b/>
          <w:bCs/>
          <w:sz w:val="20"/>
          <w:szCs w:val="20"/>
        </w:rPr>
      </w:pPr>
      <w:r>
        <w:rPr>
          <w:b/>
          <w:bCs/>
          <w:sz w:val="20"/>
          <w:szCs w:val="20"/>
        </w:rPr>
        <w:fldChar w:fldCharType="end"/>
      </w:r>
      <w:bookmarkEnd w:id="15"/>
    </w:p>
    <w:sectPr w:rsidR="006D259C" w:rsidRPr="006D25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olecular Psychiatry&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5v9s5faytzp2nex2035prp3sz9assxf5dex&quot;&gt;DTlib-Converted_home-Converted&lt;record-ids&gt;&lt;item&gt;6302&lt;/item&gt;&lt;item&gt;6797&lt;/item&gt;&lt;/record-ids&gt;&lt;/item&gt;&lt;/Libraries&gt;"/>
  </w:docVars>
  <w:rsids>
    <w:rsidRoot w:val="002E4F77"/>
    <w:rsid w:val="000168BA"/>
    <w:rsid w:val="00025F27"/>
    <w:rsid w:val="00060FF6"/>
    <w:rsid w:val="0008165D"/>
    <w:rsid w:val="000961C1"/>
    <w:rsid w:val="000A2DE1"/>
    <w:rsid w:val="000B44D4"/>
    <w:rsid w:val="000E07EB"/>
    <w:rsid w:val="00116C5A"/>
    <w:rsid w:val="001256B4"/>
    <w:rsid w:val="0012694D"/>
    <w:rsid w:val="001323DA"/>
    <w:rsid w:val="001401DF"/>
    <w:rsid w:val="00157AF8"/>
    <w:rsid w:val="00161DCC"/>
    <w:rsid w:val="001A3DB2"/>
    <w:rsid w:val="001B1B19"/>
    <w:rsid w:val="001B30EB"/>
    <w:rsid w:val="001B77CC"/>
    <w:rsid w:val="001D4A58"/>
    <w:rsid w:val="001F0759"/>
    <w:rsid w:val="001F24FA"/>
    <w:rsid w:val="00210CDC"/>
    <w:rsid w:val="002150AB"/>
    <w:rsid w:val="0023646D"/>
    <w:rsid w:val="00254605"/>
    <w:rsid w:val="00281727"/>
    <w:rsid w:val="002B371B"/>
    <w:rsid w:val="002C5520"/>
    <w:rsid w:val="002E4583"/>
    <w:rsid w:val="002E4F77"/>
    <w:rsid w:val="002F49B5"/>
    <w:rsid w:val="003369FF"/>
    <w:rsid w:val="00346E70"/>
    <w:rsid w:val="003838B3"/>
    <w:rsid w:val="003A78B3"/>
    <w:rsid w:val="003E7251"/>
    <w:rsid w:val="0040083F"/>
    <w:rsid w:val="00403913"/>
    <w:rsid w:val="00422D71"/>
    <w:rsid w:val="00442FEB"/>
    <w:rsid w:val="0044695B"/>
    <w:rsid w:val="0047623C"/>
    <w:rsid w:val="004C5638"/>
    <w:rsid w:val="004F7FDD"/>
    <w:rsid w:val="00514B9E"/>
    <w:rsid w:val="005267E7"/>
    <w:rsid w:val="005817F9"/>
    <w:rsid w:val="005C639B"/>
    <w:rsid w:val="005C78AC"/>
    <w:rsid w:val="005D566F"/>
    <w:rsid w:val="00627C1D"/>
    <w:rsid w:val="006349C0"/>
    <w:rsid w:val="0065136C"/>
    <w:rsid w:val="006749B1"/>
    <w:rsid w:val="00687C0E"/>
    <w:rsid w:val="006D259C"/>
    <w:rsid w:val="006D4EF9"/>
    <w:rsid w:val="006D6D56"/>
    <w:rsid w:val="006E31A9"/>
    <w:rsid w:val="006F00B4"/>
    <w:rsid w:val="006F063D"/>
    <w:rsid w:val="006F13D0"/>
    <w:rsid w:val="00717269"/>
    <w:rsid w:val="00732430"/>
    <w:rsid w:val="00752B7A"/>
    <w:rsid w:val="007640A4"/>
    <w:rsid w:val="00766B47"/>
    <w:rsid w:val="0077772F"/>
    <w:rsid w:val="008072C9"/>
    <w:rsid w:val="00815BFC"/>
    <w:rsid w:val="00834827"/>
    <w:rsid w:val="00835C9E"/>
    <w:rsid w:val="00846AF1"/>
    <w:rsid w:val="008618CD"/>
    <w:rsid w:val="008649EB"/>
    <w:rsid w:val="008A13B3"/>
    <w:rsid w:val="008A57C3"/>
    <w:rsid w:val="008A7111"/>
    <w:rsid w:val="008C0CD4"/>
    <w:rsid w:val="008F798F"/>
    <w:rsid w:val="0090063C"/>
    <w:rsid w:val="009065F0"/>
    <w:rsid w:val="00914A57"/>
    <w:rsid w:val="00951517"/>
    <w:rsid w:val="00961009"/>
    <w:rsid w:val="00972224"/>
    <w:rsid w:val="00A02154"/>
    <w:rsid w:val="00A04E4D"/>
    <w:rsid w:val="00A12706"/>
    <w:rsid w:val="00A214C0"/>
    <w:rsid w:val="00A25D3E"/>
    <w:rsid w:val="00A845DE"/>
    <w:rsid w:val="00A906F2"/>
    <w:rsid w:val="00AA5FBC"/>
    <w:rsid w:val="00AB2497"/>
    <w:rsid w:val="00AB671A"/>
    <w:rsid w:val="00AE4A75"/>
    <w:rsid w:val="00AE7269"/>
    <w:rsid w:val="00B04488"/>
    <w:rsid w:val="00B21CC8"/>
    <w:rsid w:val="00B51759"/>
    <w:rsid w:val="00B572C2"/>
    <w:rsid w:val="00B65FA4"/>
    <w:rsid w:val="00BC33AF"/>
    <w:rsid w:val="00BE28BA"/>
    <w:rsid w:val="00BE2E08"/>
    <w:rsid w:val="00BE5466"/>
    <w:rsid w:val="00BF0962"/>
    <w:rsid w:val="00BF14EB"/>
    <w:rsid w:val="00BF26D4"/>
    <w:rsid w:val="00C158BE"/>
    <w:rsid w:val="00C47D4C"/>
    <w:rsid w:val="00C70861"/>
    <w:rsid w:val="00C832B0"/>
    <w:rsid w:val="00C9018A"/>
    <w:rsid w:val="00C905DC"/>
    <w:rsid w:val="00CC5973"/>
    <w:rsid w:val="00CE311A"/>
    <w:rsid w:val="00CE4C30"/>
    <w:rsid w:val="00CE62F6"/>
    <w:rsid w:val="00D1344E"/>
    <w:rsid w:val="00D16E36"/>
    <w:rsid w:val="00D21687"/>
    <w:rsid w:val="00D53444"/>
    <w:rsid w:val="00DA0370"/>
    <w:rsid w:val="00DD184F"/>
    <w:rsid w:val="00DD21C9"/>
    <w:rsid w:val="00DD63E5"/>
    <w:rsid w:val="00DF004D"/>
    <w:rsid w:val="00E050E0"/>
    <w:rsid w:val="00E15903"/>
    <w:rsid w:val="00E17766"/>
    <w:rsid w:val="00E24B60"/>
    <w:rsid w:val="00E40B22"/>
    <w:rsid w:val="00E45749"/>
    <w:rsid w:val="00E51CA9"/>
    <w:rsid w:val="00E652A7"/>
    <w:rsid w:val="00E85138"/>
    <w:rsid w:val="00EC4670"/>
    <w:rsid w:val="00EC4C0D"/>
    <w:rsid w:val="00F04432"/>
    <w:rsid w:val="00F41DD3"/>
    <w:rsid w:val="00FC58D6"/>
    <w:rsid w:val="00FD3259"/>
    <w:rsid w:val="00FE7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A7E64"/>
  <w15:chartTrackingRefBased/>
  <w15:docId w15:val="{2CEDCBCB-C752-DB4C-A54F-0C0FB566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4F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4F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4F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4F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F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F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F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F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F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F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4F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4F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4F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4F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4F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F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F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F77"/>
    <w:rPr>
      <w:rFonts w:eastAsiaTheme="majorEastAsia" w:cstheme="majorBidi"/>
      <w:color w:val="272727" w:themeColor="text1" w:themeTint="D8"/>
    </w:rPr>
  </w:style>
  <w:style w:type="paragraph" w:styleId="Title">
    <w:name w:val="Title"/>
    <w:basedOn w:val="Normal"/>
    <w:next w:val="Normal"/>
    <w:link w:val="TitleChar"/>
    <w:uiPriority w:val="10"/>
    <w:qFormat/>
    <w:rsid w:val="002E4F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4F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4F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4F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F77"/>
    <w:pPr>
      <w:spacing w:before="160"/>
      <w:jc w:val="center"/>
    </w:pPr>
    <w:rPr>
      <w:i/>
      <w:iCs/>
      <w:color w:val="404040" w:themeColor="text1" w:themeTint="BF"/>
    </w:rPr>
  </w:style>
  <w:style w:type="character" w:customStyle="1" w:styleId="QuoteChar">
    <w:name w:val="Quote Char"/>
    <w:basedOn w:val="DefaultParagraphFont"/>
    <w:link w:val="Quote"/>
    <w:uiPriority w:val="29"/>
    <w:rsid w:val="002E4F77"/>
    <w:rPr>
      <w:i/>
      <w:iCs/>
      <w:color w:val="404040" w:themeColor="text1" w:themeTint="BF"/>
    </w:rPr>
  </w:style>
  <w:style w:type="paragraph" w:styleId="ListParagraph">
    <w:name w:val="List Paragraph"/>
    <w:basedOn w:val="Normal"/>
    <w:uiPriority w:val="34"/>
    <w:qFormat/>
    <w:rsid w:val="002E4F77"/>
    <w:pPr>
      <w:ind w:left="720"/>
      <w:contextualSpacing/>
    </w:pPr>
  </w:style>
  <w:style w:type="character" w:styleId="IntenseEmphasis">
    <w:name w:val="Intense Emphasis"/>
    <w:basedOn w:val="DefaultParagraphFont"/>
    <w:uiPriority w:val="21"/>
    <w:qFormat/>
    <w:rsid w:val="002E4F77"/>
    <w:rPr>
      <w:i/>
      <w:iCs/>
      <w:color w:val="0F4761" w:themeColor="accent1" w:themeShade="BF"/>
    </w:rPr>
  </w:style>
  <w:style w:type="paragraph" w:styleId="IntenseQuote">
    <w:name w:val="Intense Quote"/>
    <w:basedOn w:val="Normal"/>
    <w:next w:val="Normal"/>
    <w:link w:val="IntenseQuoteChar"/>
    <w:uiPriority w:val="30"/>
    <w:qFormat/>
    <w:rsid w:val="002E4F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F77"/>
    <w:rPr>
      <w:i/>
      <w:iCs/>
      <w:color w:val="0F4761" w:themeColor="accent1" w:themeShade="BF"/>
    </w:rPr>
  </w:style>
  <w:style w:type="character" w:styleId="IntenseReference">
    <w:name w:val="Intense Reference"/>
    <w:basedOn w:val="DefaultParagraphFont"/>
    <w:uiPriority w:val="32"/>
    <w:qFormat/>
    <w:rsid w:val="002E4F77"/>
    <w:rPr>
      <w:b/>
      <w:bCs/>
      <w:smallCaps/>
      <w:color w:val="0F4761" w:themeColor="accent1" w:themeShade="BF"/>
      <w:spacing w:val="5"/>
    </w:rPr>
  </w:style>
  <w:style w:type="character" w:styleId="Strong">
    <w:name w:val="Strong"/>
    <w:basedOn w:val="DefaultParagraphFont"/>
    <w:uiPriority w:val="22"/>
    <w:qFormat/>
    <w:rsid w:val="0077772F"/>
    <w:rPr>
      <w:b/>
      <w:bCs/>
    </w:rPr>
  </w:style>
  <w:style w:type="character" w:styleId="Hyperlink">
    <w:name w:val="Hyperlink"/>
    <w:basedOn w:val="DefaultParagraphFont"/>
    <w:uiPriority w:val="99"/>
    <w:unhideWhenUsed/>
    <w:rsid w:val="00C832B0"/>
    <w:rPr>
      <w:color w:val="467886" w:themeColor="hyperlink"/>
      <w:u w:val="single"/>
    </w:rPr>
  </w:style>
  <w:style w:type="paragraph" w:customStyle="1" w:styleId="EndNoteBibliographyTitle">
    <w:name w:val="EndNote Bibliography Title"/>
    <w:basedOn w:val="Normal"/>
    <w:link w:val="EndNoteBibliographyTitleChar"/>
    <w:rsid w:val="006D259C"/>
    <w:pPr>
      <w:spacing w:after="0"/>
      <w:jc w:val="center"/>
    </w:pPr>
    <w:rPr>
      <w:rFonts w:ascii="Aptos" w:hAnsi="Aptos"/>
    </w:rPr>
  </w:style>
  <w:style w:type="character" w:customStyle="1" w:styleId="EndNoteBibliographyTitleChar">
    <w:name w:val="EndNote Bibliography Title Char"/>
    <w:basedOn w:val="DefaultParagraphFont"/>
    <w:link w:val="EndNoteBibliographyTitle"/>
    <w:rsid w:val="006D259C"/>
    <w:rPr>
      <w:rFonts w:ascii="Aptos" w:hAnsi="Aptos"/>
    </w:rPr>
  </w:style>
  <w:style w:type="paragraph" w:customStyle="1" w:styleId="EndNoteBibliography">
    <w:name w:val="EndNote Bibliography"/>
    <w:basedOn w:val="Normal"/>
    <w:link w:val="EndNoteBibliographyChar"/>
    <w:rsid w:val="006D259C"/>
    <w:pPr>
      <w:spacing w:line="240" w:lineRule="auto"/>
      <w:jc w:val="both"/>
    </w:pPr>
    <w:rPr>
      <w:rFonts w:ascii="Aptos" w:hAnsi="Aptos"/>
    </w:rPr>
  </w:style>
  <w:style w:type="character" w:customStyle="1" w:styleId="EndNoteBibliographyChar">
    <w:name w:val="EndNote Bibliography Char"/>
    <w:basedOn w:val="DefaultParagraphFont"/>
    <w:link w:val="EndNoteBibliography"/>
    <w:rsid w:val="006D259C"/>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4</Pages>
  <Words>966</Words>
  <Characters>6296</Characters>
  <Application>Microsoft Office Word</Application>
  <DocSecurity>0</DocSecurity>
  <Lines>112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Tomasi, Dardo (NIH/NIAAA) [E]</dc:creator>
  <cp:keywords/>
  <dc:description/>
  <cp:lastModifiedBy>Tomasi, Dardo (NIH/NIAAA) [E]</cp:lastModifiedBy>
  <cp:revision>27</cp:revision>
  <dcterms:created xsi:type="dcterms:W3CDTF">2026-01-12T15:53:00Z</dcterms:created>
  <dcterms:modified xsi:type="dcterms:W3CDTF">2026-05-15T13:32:00Z</dcterms:modified>
</cp:coreProperties>
</file>