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DC4AAB">
      <w:pPr>
        <w:widowControl w:val="0"/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cs="Times New Roman" w:eastAsiaTheme="minorEastAsia"/>
          <w:b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Supplementary figure 1</w:t>
      </w:r>
    </w:p>
    <w:p w14:paraId="77A448CD">
      <w:pPr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4997450" cy="8538210"/>
            <wp:effectExtent l="0" t="0" r="0" b="0"/>
            <wp:docPr id="5" name="图片 5" descr="20260414figs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60414figs1_01"/>
                    <pic:cNvPicPr>
                      <a:picLocks noChangeAspect="1"/>
                    </pic:cNvPicPr>
                  </pic:nvPicPr>
                  <pic:blipFill>
                    <a:blip r:embed="rId6"/>
                    <a:srcRect t="2733" b="832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85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9D85B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S1</w:t>
      </w:r>
    </w:p>
    <w:p w14:paraId="673E0C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(A) UMAP of 24 skin cell clusters from telogen/early anagen skin.</w:t>
      </w:r>
    </w:p>
    <w:p w14:paraId="5280C3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(B) Heatmap showing the expression of representative marker genes across all 24 cell clusters.</w:t>
      </w:r>
    </w:p>
    <w:p w14:paraId="30E8E05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(C) Enrichment analysis of top 100 genes odf mesenchymal cells.</w:t>
      </w:r>
    </w:p>
    <w:p w14:paraId="70F35ED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(D) ECM-receptor interaction gene set used for pathway scoring of mesenchymal cells.</w:t>
      </w:r>
    </w:p>
    <w:p w14:paraId="438B4EC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(E) FeaturePlots of Thbs4, Mdk, and Ptn showing their distinct expression patterns in skin cell clusters.</w:t>
      </w:r>
    </w:p>
    <w:p w14:paraId="52590F5D">
      <w:pPr>
        <w:rPr>
          <w:rFonts w:ascii="Times New Roman" w:hAnsi="Times New Roman" w:cs="Times New Roman"/>
          <w:b/>
          <w:bCs/>
          <w:sz w:val="24"/>
        </w:rPr>
      </w:pPr>
    </w:p>
    <w:p w14:paraId="170F2A21">
      <w:pPr>
        <w:rPr>
          <w:rFonts w:hint="eastAsia" w:ascii="Times New Roman" w:hAnsi="Times New Roman" w:cs="Times New Roman"/>
          <w:b/>
          <w:bCs/>
          <w:sz w:val="24"/>
        </w:rPr>
      </w:pPr>
    </w:p>
    <w:p w14:paraId="17BD9893">
      <w:pPr>
        <w:widowControl w:val="0"/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cs="Times New Roman" w:eastAsiaTheme="minorEastAsia"/>
          <w:b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Supplementary figure 2</w:t>
      </w:r>
    </w:p>
    <w:p w14:paraId="182FE90E">
      <w:pPr>
        <w:rPr>
          <w:rFonts w:ascii="Times New Roman" w:hAnsi="Times New Roman" w:cs="Times New Roman"/>
          <w:b/>
          <w:bCs/>
          <w:sz w:val="24"/>
        </w:rPr>
      </w:pPr>
    </w:p>
    <w:p w14:paraId="197144E0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drawing>
          <wp:inline distT="0" distB="0" distL="114300" distR="114300">
            <wp:extent cx="5269230" cy="1789430"/>
            <wp:effectExtent l="0" t="0" r="7620" b="1270"/>
            <wp:docPr id="4" name="图片 4" descr="20260328Figure S2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60328Figure S2_01(1)"/>
                    <pic:cNvPicPr>
                      <a:picLocks noChangeAspect="1"/>
                    </pic:cNvPicPr>
                  </pic:nvPicPr>
                  <pic:blipFill>
                    <a:blip r:embed="rId7"/>
                    <a:srcRect b="699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896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C06B7">
      <w:pPr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Figure S2</w:t>
      </w:r>
    </w:p>
    <w:p w14:paraId="361DCDDB">
      <w:pPr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Schematic of the in vivo assay: intradermal injection of THBS4 or BSA in telogen C57 mice, analyzed at day 20. </w:t>
      </w:r>
    </w:p>
    <w:p w14:paraId="17451EB1">
      <w:pPr>
        <w:widowControl w:val="0"/>
        <w:numPr>
          <w:numId w:val="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266F3A4">
      <w:pPr>
        <w:rPr>
          <w:rFonts w:ascii="Times New Roman" w:hAnsi="Times New Roman" w:cs="Times New Roman"/>
          <w:b/>
          <w:bCs/>
          <w:sz w:val="24"/>
        </w:rPr>
      </w:pPr>
    </w:p>
    <w:p w14:paraId="6786B9E3">
      <w:pPr>
        <w:rPr>
          <w:rFonts w:ascii="Times New Roman" w:hAnsi="Times New Roman" w:cs="Times New Roman"/>
          <w:b/>
          <w:bCs/>
          <w:sz w:val="24"/>
        </w:rPr>
      </w:pPr>
    </w:p>
    <w:p w14:paraId="3721A0FE">
      <w:pPr>
        <w:rPr>
          <w:rFonts w:ascii="Times New Roman" w:hAnsi="Times New Roman" w:cs="Times New Roman"/>
          <w:b/>
          <w:bCs/>
          <w:sz w:val="24"/>
        </w:rPr>
      </w:pPr>
    </w:p>
    <w:p w14:paraId="03F5F8B3">
      <w:pPr>
        <w:rPr>
          <w:rFonts w:ascii="Times New Roman" w:hAnsi="Times New Roman" w:cs="Times New Roman"/>
          <w:b/>
          <w:bCs/>
          <w:sz w:val="24"/>
        </w:rPr>
      </w:pPr>
    </w:p>
    <w:p w14:paraId="1241506B">
      <w:pPr>
        <w:rPr>
          <w:rFonts w:ascii="Times New Roman" w:hAnsi="Times New Roman" w:cs="Times New Roman"/>
          <w:b/>
          <w:bCs/>
          <w:sz w:val="24"/>
        </w:rPr>
      </w:pPr>
    </w:p>
    <w:p w14:paraId="7700B609">
      <w:pPr>
        <w:rPr>
          <w:rFonts w:ascii="Times New Roman" w:hAnsi="Times New Roman" w:cs="Times New Roman"/>
          <w:b/>
          <w:bCs/>
          <w:sz w:val="24"/>
        </w:rPr>
      </w:pPr>
    </w:p>
    <w:p w14:paraId="4CF7570E">
      <w:pPr>
        <w:rPr>
          <w:rFonts w:ascii="Times New Roman" w:hAnsi="Times New Roman" w:cs="Times New Roman"/>
          <w:b/>
          <w:bCs/>
          <w:sz w:val="24"/>
        </w:rPr>
      </w:pPr>
    </w:p>
    <w:p w14:paraId="182CA377">
      <w:pPr>
        <w:rPr>
          <w:rFonts w:ascii="Times New Roman" w:hAnsi="Times New Roman" w:cs="Times New Roman"/>
          <w:b/>
          <w:bCs/>
          <w:sz w:val="24"/>
        </w:rPr>
      </w:pPr>
    </w:p>
    <w:p w14:paraId="0AD508CA">
      <w:pPr>
        <w:rPr>
          <w:rFonts w:ascii="Times New Roman" w:hAnsi="Times New Roman" w:cs="Times New Roman"/>
          <w:b/>
          <w:bCs/>
          <w:sz w:val="24"/>
        </w:rPr>
      </w:pPr>
    </w:p>
    <w:p w14:paraId="1C9C9463">
      <w:pPr>
        <w:rPr>
          <w:rFonts w:ascii="Times New Roman" w:hAnsi="Times New Roman" w:cs="Times New Roman"/>
          <w:b/>
          <w:bCs/>
          <w:sz w:val="24"/>
        </w:rPr>
      </w:pPr>
    </w:p>
    <w:p w14:paraId="08CAE128">
      <w:pPr>
        <w:rPr>
          <w:rFonts w:ascii="Times New Roman" w:hAnsi="Times New Roman" w:cs="Times New Roman"/>
          <w:b/>
          <w:bCs/>
          <w:sz w:val="24"/>
        </w:rPr>
      </w:pPr>
    </w:p>
    <w:p w14:paraId="433E8D55">
      <w:pPr>
        <w:rPr>
          <w:rFonts w:ascii="Times New Roman" w:hAnsi="Times New Roman" w:cs="Times New Roman"/>
          <w:b/>
          <w:bCs/>
          <w:sz w:val="24"/>
        </w:rPr>
      </w:pPr>
    </w:p>
    <w:p w14:paraId="6E074AD7">
      <w:pPr>
        <w:rPr>
          <w:rFonts w:ascii="Times New Roman" w:hAnsi="Times New Roman" w:cs="Times New Roman"/>
          <w:b/>
          <w:bCs/>
          <w:sz w:val="24"/>
        </w:rPr>
      </w:pPr>
    </w:p>
    <w:p w14:paraId="2917BE24">
      <w:pPr>
        <w:rPr>
          <w:rFonts w:ascii="Times New Roman" w:hAnsi="Times New Roman" w:cs="Times New Roman"/>
          <w:b/>
          <w:bCs/>
          <w:sz w:val="24"/>
        </w:rPr>
      </w:pPr>
    </w:p>
    <w:p w14:paraId="31E36912">
      <w:pPr>
        <w:rPr>
          <w:rFonts w:ascii="Times New Roman" w:hAnsi="Times New Roman" w:cs="Times New Roman"/>
          <w:b/>
          <w:bCs/>
          <w:sz w:val="24"/>
        </w:rPr>
      </w:pPr>
    </w:p>
    <w:p w14:paraId="257C0956">
      <w:pPr>
        <w:rPr>
          <w:rFonts w:ascii="Times New Roman" w:hAnsi="Times New Roman" w:cs="Times New Roman"/>
          <w:b/>
          <w:bCs/>
          <w:sz w:val="24"/>
        </w:rPr>
      </w:pPr>
    </w:p>
    <w:p w14:paraId="78BCE822">
      <w:pPr>
        <w:rPr>
          <w:rFonts w:ascii="Times New Roman" w:hAnsi="Times New Roman" w:cs="Times New Roman"/>
          <w:b/>
          <w:bCs/>
          <w:sz w:val="24"/>
        </w:rPr>
      </w:pPr>
    </w:p>
    <w:p w14:paraId="7CDEE96D">
      <w:pPr>
        <w:widowControl w:val="0"/>
        <w:numPr>
          <w:ilvl w:val="0"/>
          <w:numId w:val="0"/>
        </w:numPr>
        <w:spacing w:after="0" w:line="240" w:lineRule="auto"/>
        <w:jc w:val="both"/>
        <w:rPr>
          <w:rFonts w:hint="eastAsia" w:ascii="Times New Roman" w:hAnsi="Times New Roman" w:cs="Times New Roman"/>
          <w:b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Supplementary figure 3</w:t>
      </w:r>
    </w:p>
    <w:p w14:paraId="6380A043">
      <w:pPr>
        <w:widowControl w:val="0"/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cs="Times New Roman"/>
          <w:b/>
          <w:bCs/>
          <w:sz w:val="24"/>
          <w:lang w:val="en-US" w:eastAsia="zh-CN"/>
        </w:rPr>
      </w:pPr>
    </w:p>
    <w:p w14:paraId="488CC163">
      <w:pPr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5266690" cy="4718050"/>
            <wp:effectExtent l="0" t="0" r="0" b="0"/>
            <wp:docPr id="11" name="图片 11" descr="20260504排图-figs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60504排图-figs3_01"/>
                    <pic:cNvPicPr>
                      <a:picLocks noChangeAspect="1"/>
                    </pic:cNvPicPr>
                  </pic:nvPicPr>
                  <pic:blipFill>
                    <a:blip r:embed="rId8"/>
                    <a:srcRect b="283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CF6D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hint="eastAsia" w:ascii="Times New Roman" w:hAnsi="Times New Roman" w:cs="Times New Roman"/>
          <w:b/>
          <w:bCs/>
          <w:sz w:val="24"/>
        </w:rPr>
        <w:t>3</w:t>
      </w:r>
    </w:p>
    <w:p w14:paraId="709967FB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Marker gene dot plot confirming cell identities in newborn/adult organoids at D4.</w:t>
      </w:r>
    </w:p>
    <w:p w14:paraId="4836EAC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(B) COL3A1/Vimentin/DAPI immunofluorescence in control/THBS4-treated adult organoids at D1. Scale bar=25 μm.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N=3, **P&lt;0.01.</w:t>
      </w:r>
    </w:p>
    <w:p w14:paraId="7DDA22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>
        <w:rPr>
          <w:rFonts w:hint="eastAsia"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>) YAP1/KRT14/DAPI immunofluorescence in newborn/adult organoids at D4. Scale bar=25 μm.  N=3, ***P&lt;0.001.</w:t>
      </w:r>
    </w:p>
    <w:p w14:paraId="3472D6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>
        <w:rPr>
          <w:rFonts w:hint="eastAsia"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) YAP1 immunofluorescence in control/THBS4-treated adult organoids at D2</w:t>
      </w:r>
      <w:r>
        <w:rPr>
          <w:rFonts w:hint="eastAsia"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sz w:val="24"/>
        </w:rPr>
        <w:t>D</w:t>
      </w:r>
      <w:r>
        <w:rPr>
          <w:rFonts w:hint="eastAsia"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 Scale bar=25 μm. N=3, **P&lt;0.01, and *P&lt;0.05.</w:t>
      </w:r>
    </w:p>
    <w:p w14:paraId="34A6FD98"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 xml:space="preserve">(E) </w:t>
      </w:r>
      <w:r>
        <w:rPr>
          <w:rFonts w:ascii="Times New Roman" w:hAnsi="Times New Roman" w:cs="Times New Roman"/>
          <w:sz w:val="24"/>
        </w:rPr>
        <w:t>Representative images of Immunofluorescence labeling of ROCK2 in control/THBS4-treated adult organoids at D2</w:t>
      </w:r>
      <w:r>
        <w:rPr>
          <w:rFonts w:hint="eastAsia"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sz w:val="24"/>
        </w:rPr>
        <w:t>D</w:t>
      </w:r>
      <w:r>
        <w:rPr>
          <w:rFonts w:hint="eastAsia"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 Images of nude mouse transplantation at D15 showing earlier hair growth in THBS4 group.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Scale bar=25 μm.Scale bar=1 cm. N=3, *P&lt;0.05.</w:t>
      </w:r>
    </w:p>
    <w:p w14:paraId="055B6D84">
      <w:pPr>
        <w:rPr>
          <w:rFonts w:ascii="Times New Roman" w:hAnsi="Times New Roman" w:cs="Times New Roman"/>
          <w:b/>
          <w:bCs/>
          <w:sz w:val="24"/>
        </w:rPr>
      </w:pPr>
    </w:p>
    <w:p w14:paraId="38B0BC2D">
      <w:pPr>
        <w:rPr>
          <w:rFonts w:ascii="Times New Roman" w:hAnsi="Times New Roman" w:cs="Times New Roman"/>
          <w:b/>
          <w:bCs/>
          <w:sz w:val="24"/>
        </w:rPr>
      </w:pPr>
    </w:p>
    <w:p w14:paraId="175E04A3">
      <w:pPr>
        <w:rPr>
          <w:rFonts w:ascii="Times New Roman" w:hAnsi="Times New Roman" w:cs="Times New Roman"/>
          <w:b/>
          <w:bCs/>
          <w:sz w:val="24"/>
        </w:rPr>
      </w:pPr>
    </w:p>
    <w:p w14:paraId="3709A8E8">
      <w:pPr>
        <w:rPr>
          <w:rFonts w:ascii="Times New Roman" w:hAnsi="Times New Roman" w:cs="Times New Roman"/>
          <w:b/>
          <w:bCs/>
          <w:sz w:val="24"/>
        </w:rPr>
      </w:pPr>
    </w:p>
    <w:p w14:paraId="4D26940B">
      <w:pPr>
        <w:rPr>
          <w:rFonts w:hint="eastAsia" w:ascii="Times New Roman" w:hAnsi="Times New Roman" w:cs="Times New Roman"/>
          <w:b/>
          <w:bCs/>
          <w:sz w:val="24"/>
        </w:rPr>
      </w:pPr>
    </w:p>
    <w:p w14:paraId="53AAD357">
      <w:pPr>
        <w:rPr>
          <w:rFonts w:hint="eastAsia" w:ascii="Times New Roman" w:hAnsi="Times New Roman" w:cs="Times New Roman"/>
          <w:b/>
          <w:bCs/>
          <w:sz w:val="24"/>
        </w:rPr>
      </w:pPr>
    </w:p>
    <w:p w14:paraId="513B8310">
      <w:pPr>
        <w:rPr>
          <w:rFonts w:hint="eastAsia" w:ascii="Times New Roman" w:hAnsi="Times New Roman" w:cs="Times New Roman"/>
          <w:b/>
          <w:bCs/>
          <w:sz w:val="24"/>
        </w:rPr>
      </w:pPr>
    </w:p>
    <w:p w14:paraId="2867E91C">
      <w:pPr>
        <w:widowControl w:val="0"/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cs="Times New Roman" w:eastAsiaTheme="minorEastAsia"/>
          <w:b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Supplementary figure 4</w:t>
      </w:r>
    </w:p>
    <w:p w14:paraId="6ED7D9E8">
      <w:pPr>
        <w:rPr>
          <w:rFonts w:hint="eastAsia" w:ascii="Times New Roman" w:hAnsi="Times New Roman" w:cs="Times New Roman" w:eastAsiaTheme="minorEastAsia"/>
          <w:sz w:val="24"/>
          <w:lang w:eastAsia="zh-CN"/>
        </w:rPr>
      </w:pPr>
    </w:p>
    <w:p w14:paraId="1337BF21">
      <w:pPr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5261610" cy="4136390"/>
            <wp:effectExtent l="0" t="0" r="0" b="0"/>
            <wp:docPr id="16" name="图片 16" descr="20260502Figs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60502Figs4_01"/>
                    <pic:cNvPicPr>
                      <a:picLocks noChangeAspect="1"/>
                    </pic:cNvPicPr>
                  </pic:nvPicPr>
                  <pic:blipFill>
                    <a:blip r:embed="rId9"/>
                    <a:srcRect b="3448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14D3">
      <w:pPr>
        <w:rPr>
          <w:rFonts w:ascii="Times New Roman" w:hAnsi="Times New Roman" w:cs="Times New Roman"/>
          <w:sz w:val="24"/>
        </w:rPr>
      </w:pPr>
    </w:p>
    <w:p w14:paraId="50A7D990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hint="eastAsia" w:ascii="Times New Roman" w:hAnsi="Times New Roman" w:cs="Times New Roman"/>
          <w:b/>
          <w:bCs/>
          <w:sz w:val="24"/>
        </w:rPr>
        <w:t>4</w:t>
      </w:r>
    </w:p>
    <w:p w14:paraId="52524D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(A) Molecular docking top 10 z-scores for THBS4 binding to CD</w:t>
      </w:r>
      <w:r>
        <w:rPr>
          <w:rFonts w:hint="eastAsia" w:ascii="Times New Roman" w:hAnsi="Times New Roman" w:cs="Times New Roman"/>
          <w:sz w:val="24"/>
        </w:rPr>
        <w:t>47</w: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hint="eastAsia" w:ascii="Times New Roman" w:hAnsi="Times New Roman" w:cs="Times New Roman"/>
          <w:sz w:val="24"/>
        </w:rPr>
        <w:t xml:space="preserve">ITGB1, </w:t>
      </w:r>
      <w:r>
        <w:rPr>
          <w:rFonts w:ascii="Times New Roman" w:hAnsi="Times New Roman" w:cs="Times New Roman"/>
          <w:sz w:val="24"/>
        </w:rPr>
        <w:t>CD</w:t>
      </w:r>
      <w:r>
        <w:rPr>
          <w:rFonts w:hint="eastAsia" w:ascii="Times New Roman" w:hAnsi="Times New Roman" w:cs="Times New Roman"/>
          <w:sz w:val="24"/>
        </w:rPr>
        <w:t xml:space="preserve">36, and </w:t>
      </w:r>
      <w:r>
        <w:rPr>
          <w:rFonts w:ascii="Times New Roman" w:hAnsi="Times New Roman" w:cs="Times New Roman"/>
          <w:sz w:val="24"/>
        </w:rPr>
        <w:t>ITGB3.</w:t>
      </w:r>
    </w:p>
    <w:p w14:paraId="3A6B0F62">
      <w:pPr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>
        <w:rPr>
          <w:rFonts w:hint="eastAsia"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>) Pathway analysis of ITGB1+ HG cell DEGs</w:t>
      </w:r>
      <w:r>
        <w:rPr>
          <w:rFonts w:hint="eastAsia" w:ascii="Times New Roman" w:hAnsi="Times New Roman" w:cs="Times New Roman"/>
          <w:sz w:val="24"/>
        </w:rPr>
        <w:t>.</w:t>
      </w:r>
    </w:p>
    <w:p w14:paraId="3839E8BC">
      <w:pPr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>
        <w:rPr>
          <w:rFonts w:hint="eastAsia"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>) GO cellular component analysis of ITGB1+ HG genes</w:t>
      </w:r>
      <w:r>
        <w:rPr>
          <w:rFonts w:hint="eastAsia" w:ascii="Times New Roman" w:hAnsi="Times New Roman" w:cs="Times New Roman"/>
          <w:sz w:val="24"/>
        </w:rPr>
        <w:t>.</w:t>
      </w:r>
    </w:p>
    <w:p w14:paraId="20A24EBD"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(D) H&amp;E staining of hair follicles(PPD4).</w:t>
      </w:r>
    </w:p>
    <w:p w14:paraId="0DB3655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>
        <w:rPr>
          <w:rFonts w:hint="eastAsia"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) Immunofluorescence of PPD4 follicles (Vimentin/KRT14, </w:t>
      </w:r>
      <w:r>
        <w:rPr>
          <w:rFonts w:hint="eastAsia" w:ascii="Times New Roman" w:hAnsi="Times New Roman" w:cs="Times New Roman"/>
          <w:sz w:val="24"/>
        </w:rPr>
        <w:t>P63</w:t>
      </w:r>
      <w:r>
        <w:rPr>
          <w:rFonts w:ascii="Times New Roman" w:hAnsi="Times New Roman" w:cs="Times New Roman"/>
          <w:sz w:val="24"/>
        </w:rPr>
        <w:t>, PCNA, LEF1) in control/anti-ITGB1 groups. Scale bar=50 μm.N=3, ***P&lt;0.001, and **P&lt;0.01.</w:t>
      </w:r>
    </w:p>
    <w:p w14:paraId="36440C7B">
      <w:pPr>
        <w:rPr>
          <w:rFonts w:ascii="Times New Roman" w:hAnsi="Times New Roman" w:cs="Times New Roman"/>
          <w:b/>
          <w:bCs/>
          <w:sz w:val="24"/>
        </w:rPr>
      </w:pPr>
    </w:p>
    <w:p w14:paraId="35324BA6">
      <w:pPr>
        <w:rPr>
          <w:rFonts w:ascii="Times New Roman" w:hAnsi="Times New Roman" w:cs="Times New Roman"/>
          <w:sz w:val="24"/>
        </w:rPr>
      </w:pPr>
    </w:p>
    <w:p w14:paraId="263D3571">
      <w:pPr>
        <w:rPr>
          <w:rFonts w:ascii="Times New Roman" w:hAnsi="Times New Roman" w:cs="Times New Roman"/>
          <w:sz w:val="24"/>
        </w:rPr>
      </w:pPr>
    </w:p>
    <w:p w14:paraId="1E8971D2">
      <w:pPr>
        <w:rPr>
          <w:rFonts w:hint="eastAsia" w:ascii="Times New Roman" w:hAnsi="Times New Roman" w:cs="Times New Roman"/>
          <w:b/>
          <w:bCs/>
          <w:sz w:val="24"/>
        </w:rPr>
      </w:pPr>
    </w:p>
    <w:p w14:paraId="2FF2A8A4">
      <w:pPr>
        <w:rPr>
          <w:rFonts w:hint="eastAsia" w:ascii="Times New Roman" w:hAnsi="Times New Roman" w:cs="Times New Roman"/>
          <w:b/>
          <w:bCs/>
          <w:sz w:val="24"/>
        </w:rPr>
      </w:pPr>
    </w:p>
    <w:p w14:paraId="4BECF5D4">
      <w:pPr>
        <w:rPr>
          <w:rFonts w:hint="eastAsia" w:ascii="Times New Roman" w:hAnsi="Times New Roman" w:cs="Times New Roman"/>
          <w:b/>
          <w:bCs/>
          <w:sz w:val="24"/>
        </w:rPr>
      </w:pPr>
    </w:p>
    <w:p w14:paraId="06EFCBCE">
      <w:pPr>
        <w:rPr>
          <w:rFonts w:hint="eastAsia" w:ascii="Times New Roman" w:hAnsi="Times New Roman" w:cs="Times New Roman"/>
          <w:b/>
          <w:bCs/>
          <w:sz w:val="24"/>
        </w:rPr>
      </w:pPr>
    </w:p>
    <w:p w14:paraId="252B5147">
      <w:pPr>
        <w:rPr>
          <w:rFonts w:hint="eastAsia" w:ascii="Times New Roman" w:hAnsi="Times New Roman" w:cs="Times New Roman"/>
          <w:b/>
          <w:bCs/>
          <w:sz w:val="24"/>
        </w:rPr>
      </w:pPr>
    </w:p>
    <w:p w14:paraId="07D1A627">
      <w:pPr>
        <w:rPr>
          <w:rFonts w:hint="eastAsia" w:ascii="Times New Roman" w:hAnsi="Times New Roman" w:cs="Times New Roman"/>
          <w:b/>
          <w:bCs/>
          <w:sz w:val="24"/>
        </w:rPr>
      </w:pPr>
    </w:p>
    <w:p w14:paraId="57F63DE3">
      <w:pPr>
        <w:rPr>
          <w:rFonts w:hint="eastAsia" w:ascii="Times New Roman" w:hAnsi="Times New Roman" w:cs="Times New Roman"/>
          <w:b/>
          <w:bCs/>
          <w:sz w:val="24"/>
        </w:rPr>
      </w:pPr>
    </w:p>
    <w:p w14:paraId="030740B0">
      <w:pPr>
        <w:rPr>
          <w:rFonts w:hint="eastAsia" w:ascii="Times New Roman" w:hAnsi="Times New Roman" w:cs="Times New Roman"/>
          <w:b/>
          <w:bCs/>
          <w:sz w:val="24"/>
        </w:rPr>
      </w:pPr>
    </w:p>
    <w:p w14:paraId="5F04D750">
      <w:pPr>
        <w:rPr>
          <w:rFonts w:hint="eastAsia" w:ascii="Times New Roman" w:hAnsi="Times New Roman" w:cs="Times New Roman"/>
          <w:b/>
          <w:bCs/>
          <w:sz w:val="24"/>
        </w:rPr>
      </w:pPr>
    </w:p>
    <w:p w14:paraId="2275A6B5">
      <w:pPr>
        <w:widowControl w:val="0"/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cs="Times New Roman" w:eastAsiaTheme="minorEastAsia"/>
          <w:b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Supplementary figure 5</w:t>
      </w:r>
    </w:p>
    <w:p w14:paraId="4CA5F704">
      <w:pPr>
        <w:rPr>
          <w:rFonts w:hint="eastAsia" w:ascii="Times New Roman" w:hAnsi="Times New Roman" w:cs="Times New Roman" w:eastAsiaTheme="minorEastAsia"/>
          <w:sz w:val="24"/>
          <w:lang w:eastAsia="zh-CN"/>
        </w:rPr>
      </w:pPr>
    </w:p>
    <w:p w14:paraId="307563A2">
      <w:pPr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5261610" cy="4110990"/>
            <wp:effectExtent l="0" t="0" r="0" b="0"/>
            <wp:docPr id="20" name="图片 20" descr="20260502Figs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60502Figs6_01"/>
                    <pic:cNvPicPr>
                      <a:picLocks noChangeAspect="1"/>
                    </pic:cNvPicPr>
                  </pic:nvPicPr>
                  <pic:blipFill>
                    <a:blip r:embed="rId10"/>
                    <a:srcRect b="3488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1C1D">
      <w:pPr>
        <w:rPr>
          <w:rFonts w:hint="eastAsia" w:ascii="Times New Roman" w:hAnsi="Times New Roman" w:cs="Times New Roman" w:eastAsiaTheme="minorEastAsia"/>
          <w:b/>
          <w:bCs/>
          <w:sz w:val="24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</w:rPr>
        <w:t>Figure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5</w:t>
      </w:r>
    </w:p>
    <w:p w14:paraId="0E4F4B5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(A) Violin plots of peroxisome pathway genes in telogen/anagen HFSCs.</w:t>
      </w:r>
    </w:p>
    <w:p w14:paraId="130A3B6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(B) LEF1 staining and quantification in control/iHMGCR follicles at PPD</w:t>
      </w:r>
      <w:r>
        <w:rPr>
          <w:rFonts w:hint="eastAsia"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. N=3, **P&lt;0.01. Scale bar=20 μm. </w:t>
      </w:r>
    </w:p>
    <w:p w14:paraId="0A9576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(C) SMAD1/β-catenin staining and quantification in control/iHMGCR organoids. N=3, **P&lt;0.01. Scale bar=25 μm.</w:t>
      </w:r>
    </w:p>
    <w:p w14:paraId="22DD7FF9"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(D) Tranplantation of organoids.</w:t>
      </w:r>
      <w:r>
        <w:rPr>
          <w:rFonts w:ascii="Times New Roman" w:hAnsi="Times New Roman" w:cs="Times New Roman"/>
          <w:sz w:val="24"/>
        </w:rPr>
        <w:t xml:space="preserve"> N=3, **P&lt;0.0</w:t>
      </w:r>
      <w:r>
        <w:rPr>
          <w:rFonts w:hint="eastAsia" w:ascii="Times New Roman" w:hAnsi="Times New Roman" w:cs="Times New Roman"/>
          <w:sz w:val="24"/>
        </w:rPr>
        <w:t>00</w:t>
      </w:r>
      <w:r>
        <w:rPr>
          <w:rFonts w:ascii="Times New Roman" w:hAnsi="Times New Roman" w:cs="Times New Roman"/>
          <w:sz w:val="24"/>
        </w:rPr>
        <w:t>1. Scale bar=</w:t>
      </w:r>
      <w:r>
        <w:rPr>
          <w:rFonts w:hint="eastAsia"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cm</w:t>
      </w:r>
      <w:r>
        <w:rPr>
          <w:rFonts w:ascii="Times New Roman" w:hAnsi="Times New Roman" w:cs="Times New Roman"/>
          <w:sz w:val="24"/>
        </w:rPr>
        <w:t>.</w:t>
      </w:r>
    </w:p>
    <w:p w14:paraId="26834B5A">
      <w:pPr>
        <w:rPr>
          <w:rFonts w:hint="eastAsia" w:ascii="Times New Roman" w:hAnsi="Times New Roman" w:cs="Times New Roman"/>
          <w:sz w:val="24"/>
        </w:rPr>
      </w:pPr>
    </w:p>
    <w:p w14:paraId="7409AE7F">
      <w:pPr>
        <w:rPr>
          <w:rFonts w:hint="eastAsia" w:ascii="Times New Roman" w:hAnsi="Times New Roman" w:cs="Times New Roman"/>
          <w:b/>
          <w:bCs/>
          <w:sz w:val="24"/>
        </w:rPr>
      </w:pPr>
    </w:p>
    <w:p w14:paraId="155DFD86">
      <w:pPr>
        <w:rPr>
          <w:rFonts w:hint="eastAsia" w:ascii="Times New Roman" w:hAnsi="Times New Roman" w:cs="Times New Roman"/>
          <w:sz w:val="24"/>
        </w:rPr>
      </w:pPr>
    </w:p>
    <w:p w14:paraId="4CBA9434">
      <w:pPr>
        <w:rPr>
          <w:rFonts w:hint="eastAsia" w:ascii="Times New Roman" w:hAnsi="Times New Roman" w:cs="Times New Roman"/>
          <w:b/>
          <w:bCs/>
          <w:sz w:val="24"/>
        </w:rPr>
      </w:pPr>
    </w:p>
    <w:p w14:paraId="441197A8">
      <w:pPr>
        <w:rPr>
          <w:rFonts w:hint="eastAsia" w:ascii="Times New Roman" w:hAnsi="Times New Roman" w:cs="Times New Roman"/>
          <w:b/>
          <w:bCs/>
          <w:sz w:val="24"/>
        </w:rPr>
      </w:pPr>
    </w:p>
    <w:p w14:paraId="09D3372B">
      <w:pPr>
        <w:rPr>
          <w:rFonts w:hint="eastAsia" w:ascii="Times New Roman" w:hAnsi="Times New Roman" w:cs="Times New Roman"/>
          <w:b/>
          <w:bCs/>
          <w:sz w:val="24"/>
        </w:rPr>
      </w:pPr>
    </w:p>
    <w:p w14:paraId="2D5C3EBC">
      <w:pPr>
        <w:rPr>
          <w:rFonts w:hint="eastAsia" w:ascii="Times New Roman" w:hAnsi="Times New Roman" w:cs="Times New Roman"/>
          <w:b/>
          <w:bCs/>
          <w:sz w:val="24"/>
        </w:rPr>
      </w:pPr>
    </w:p>
    <w:p w14:paraId="17B25901">
      <w:pPr>
        <w:rPr>
          <w:rFonts w:hint="eastAsia" w:ascii="Times New Roman" w:hAnsi="Times New Roman" w:cs="Times New Roman"/>
          <w:b/>
          <w:bCs/>
          <w:sz w:val="24"/>
        </w:rPr>
      </w:pPr>
    </w:p>
    <w:p w14:paraId="5BB5681F">
      <w:pPr>
        <w:rPr>
          <w:rFonts w:hint="eastAsia" w:ascii="Times New Roman" w:hAnsi="Times New Roman" w:cs="Times New Roman"/>
          <w:b/>
          <w:bCs/>
          <w:sz w:val="24"/>
        </w:rPr>
      </w:pPr>
    </w:p>
    <w:p w14:paraId="355F47F1">
      <w:pPr>
        <w:rPr>
          <w:rFonts w:hint="eastAsia" w:ascii="Times New Roman" w:hAnsi="Times New Roman" w:cs="Times New Roman"/>
          <w:b/>
          <w:bCs/>
          <w:sz w:val="24"/>
        </w:rPr>
      </w:pPr>
    </w:p>
    <w:p w14:paraId="0FBF1C28">
      <w:pPr>
        <w:rPr>
          <w:rFonts w:hint="eastAsia" w:ascii="Times New Roman" w:hAnsi="Times New Roman" w:cs="Times New Roman"/>
          <w:b/>
          <w:bCs/>
          <w:sz w:val="24"/>
        </w:rPr>
      </w:pPr>
    </w:p>
    <w:p w14:paraId="3B0CE1DF">
      <w:pPr>
        <w:rPr>
          <w:rFonts w:hint="eastAsia" w:ascii="Times New Roman" w:hAnsi="Times New Roman" w:cs="Times New Roman"/>
          <w:b/>
          <w:bCs/>
          <w:sz w:val="24"/>
        </w:rPr>
      </w:pPr>
    </w:p>
    <w:p w14:paraId="3527E961">
      <w:pPr>
        <w:rPr>
          <w:rFonts w:hint="eastAsia" w:ascii="Times New Roman" w:hAnsi="Times New Roman" w:cs="Times New Roman"/>
          <w:b/>
          <w:bCs/>
          <w:sz w:val="24"/>
        </w:rPr>
      </w:pPr>
    </w:p>
    <w:p w14:paraId="70B94B8B">
      <w:pPr>
        <w:rPr>
          <w:rFonts w:hint="eastAsia" w:ascii="Times New Roman" w:hAnsi="Times New Roman" w:cs="Times New Roman"/>
          <w:b/>
          <w:bCs/>
          <w:sz w:val="24"/>
        </w:rPr>
      </w:pPr>
    </w:p>
    <w:p w14:paraId="1C8B2735">
      <w:pPr>
        <w:widowControl w:val="0"/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cs="Times New Roman" w:eastAsiaTheme="minorEastAsia"/>
          <w:b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Supplementary figure 6</w:t>
      </w:r>
    </w:p>
    <w:p w14:paraId="683CCF33">
      <w:pPr>
        <w:rPr>
          <w:rFonts w:hint="eastAsia" w:ascii="Times New Roman" w:hAnsi="Times New Roman" w:cs="Times New Roman" w:eastAsiaTheme="minorEastAsia"/>
          <w:sz w:val="24"/>
          <w:lang w:eastAsia="zh-CN"/>
        </w:rPr>
      </w:pPr>
    </w:p>
    <w:p w14:paraId="6A9EFB27">
      <w:pPr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5274310" cy="2670175"/>
            <wp:effectExtent l="0" t="0" r="0" b="0"/>
            <wp:docPr id="22" name="图片 22" descr="20260502Figs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60502Figs7_01"/>
                    <pic:cNvPicPr>
                      <a:picLocks noChangeAspect="1"/>
                    </pic:cNvPicPr>
                  </pic:nvPicPr>
                  <pic:blipFill>
                    <a:blip r:embed="rId11"/>
                    <a:srcRect b="578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EBCB">
      <w:pPr>
        <w:rPr>
          <w:rFonts w:hint="eastAsia" w:ascii="Times New Roman" w:hAnsi="Times New Roman" w:cs="Times New Roman" w:eastAsiaTheme="minorEastAsia"/>
          <w:b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6</w:t>
      </w:r>
    </w:p>
    <w:p w14:paraId="1403C8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>
        <w:rPr>
          <w:rFonts w:hint="eastAsia"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) EGR1 binding motif in Hmgcr promoter.</w:t>
      </w:r>
    </w:p>
    <w:p w14:paraId="703A41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>
        <w:rPr>
          <w:rFonts w:hint="eastAsia"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>) Schematic of three high-score EGR1 binding sites in Hmgcr promoter.</w:t>
      </w:r>
    </w:p>
    <w:p w14:paraId="05FD0D95">
      <w:pPr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>
        <w:rPr>
          <w:rFonts w:hint="eastAsia"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>) qPCR shows reduced HMGCR after Egr1 inhibition. N=3, ***P&lt;0.001</w:t>
      </w:r>
    </w:p>
    <w:p w14:paraId="166C43E8"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 xml:space="preserve">(D) </w:t>
      </w:r>
      <w:r>
        <w:rPr>
          <w:rFonts w:ascii="Times New Roman" w:hAnsi="Times New Roman" w:cs="Times New Roman"/>
          <w:sz w:val="24"/>
        </w:rPr>
        <w:t>β</w:t>
      </w:r>
      <w:r>
        <w:rPr>
          <w:rFonts w:hint="eastAsia" w:ascii="Times New Roman" w:hAnsi="Times New Roman" w:cs="Times New Roman"/>
          <w:sz w:val="24"/>
        </w:rPr>
        <w:t>-catenin</w:t>
      </w:r>
      <w:r>
        <w:rPr>
          <w:rFonts w:ascii="Times New Roman" w:hAnsi="Times New Roman" w:cs="Times New Roman"/>
          <w:sz w:val="24"/>
        </w:rPr>
        <w:t>/Vimentin/DAPI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immunofluorescence in control</w:t>
      </w:r>
      <w:r>
        <w:rPr>
          <w:rFonts w:hint="eastAsia" w:ascii="Times New Roman" w:hAnsi="Times New Roman" w:cs="Times New Roman"/>
          <w:sz w:val="24"/>
        </w:rPr>
        <w:t>/EGR1 inhibitor</w:t>
      </w:r>
      <w:r>
        <w:rPr>
          <w:rFonts w:ascii="Times New Roman" w:hAnsi="Times New Roman" w:cs="Times New Roman"/>
          <w:sz w:val="24"/>
        </w:rPr>
        <w:t xml:space="preserve"> treated </w:t>
      </w:r>
      <w:r>
        <w:rPr>
          <w:rFonts w:hint="eastAsia" w:ascii="Times New Roman" w:hAnsi="Times New Roman" w:cs="Times New Roman"/>
          <w:sz w:val="24"/>
        </w:rPr>
        <w:t>newborn mouse</w:t>
      </w:r>
      <w:r>
        <w:rPr>
          <w:rFonts w:ascii="Times New Roman" w:hAnsi="Times New Roman" w:cs="Times New Roman"/>
          <w:sz w:val="24"/>
        </w:rPr>
        <w:t xml:space="preserve"> organoids at D</w:t>
      </w:r>
      <w:r>
        <w:rPr>
          <w:rFonts w:hint="eastAsia"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 N=3, **P&lt;0.01. Scale bar=2</w:t>
      </w:r>
      <w:r>
        <w:rPr>
          <w:rFonts w:hint="eastAsia" w:ascii="Times New Roman" w:hAnsi="Times New Roman" w:cs="Times New Roman"/>
          <w:sz w:val="24"/>
        </w:rPr>
        <w:t>0</w:t>
      </w:r>
      <w:r>
        <w:rPr>
          <w:rFonts w:ascii="Times New Roman" w:hAnsi="Times New Roman" w:cs="Times New Roman"/>
          <w:sz w:val="24"/>
        </w:rPr>
        <w:t xml:space="preserve"> μm.</w:t>
      </w:r>
    </w:p>
    <w:p w14:paraId="5E505639">
      <w:pPr>
        <w:rPr>
          <w:rFonts w:ascii="Times New Roman" w:hAnsi="Times New Roman" w:cs="Times New Roman"/>
          <w:sz w:val="24"/>
        </w:rPr>
      </w:pPr>
    </w:p>
    <w:p w14:paraId="2F4392F5">
      <w:pPr>
        <w:rPr>
          <w:rFonts w:ascii="Times New Roman" w:hAnsi="Times New Roman" w:cs="Times New Roman"/>
          <w:sz w:val="24"/>
        </w:rPr>
      </w:pPr>
    </w:p>
    <w:p w14:paraId="02E7DA89">
      <w:pPr>
        <w:rPr>
          <w:rFonts w:ascii="Times New Roman" w:hAnsi="Times New Roman" w:cs="Times New Roman"/>
          <w:sz w:val="24"/>
        </w:rPr>
      </w:pPr>
    </w:p>
    <w:p w14:paraId="2AF1F6DA">
      <w:pPr>
        <w:rPr>
          <w:rFonts w:ascii="Times New Roman" w:hAnsi="Times New Roman" w:cs="Times New Roman"/>
          <w:sz w:val="24"/>
        </w:rPr>
      </w:pPr>
    </w:p>
    <w:p w14:paraId="4DB8828F">
      <w:pPr>
        <w:rPr>
          <w:rFonts w:ascii="Times New Roman" w:hAnsi="Times New Roman" w:cs="Times New Roman"/>
          <w:sz w:val="24"/>
        </w:rPr>
      </w:pPr>
    </w:p>
    <w:p w14:paraId="2AAA88A4">
      <w:pPr>
        <w:rPr>
          <w:rFonts w:ascii="Times New Roman" w:hAnsi="Times New Roman" w:cs="Times New Roman"/>
          <w:sz w:val="24"/>
        </w:rPr>
      </w:pPr>
    </w:p>
    <w:p w14:paraId="2082C9F8">
      <w:pPr>
        <w:rPr>
          <w:rFonts w:ascii="Times New Roman" w:hAnsi="Times New Roman" w:cs="Times New Roman"/>
          <w:sz w:val="24"/>
        </w:rPr>
      </w:pPr>
    </w:p>
    <w:p w14:paraId="1AEAF214">
      <w:pPr>
        <w:rPr>
          <w:rFonts w:ascii="Times New Roman" w:hAnsi="Times New Roman" w:cs="Times New Roman"/>
          <w:sz w:val="24"/>
        </w:rPr>
      </w:pPr>
    </w:p>
    <w:p w14:paraId="1BA075E1">
      <w:pPr>
        <w:rPr>
          <w:rFonts w:ascii="Times New Roman" w:hAnsi="Times New Roman" w:cs="Times New Roman"/>
          <w:sz w:val="24"/>
        </w:rPr>
      </w:pPr>
    </w:p>
    <w:p w14:paraId="33A36622">
      <w:pPr>
        <w:rPr>
          <w:rFonts w:ascii="Times New Roman" w:hAnsi="Times New Roman" w:cs="Times New Roman"/>
          <w:sz w:val="24"/>
        </w:rPr>
      </w:pPr>
    </w:p>
    <w:p w14:paraId="0064314B">
      <w:pPr>
        <w:rPr>
          <w:rFonts w:ascii="Times New Roman" w:hAnsi="Times New Roman" w:cs="Times New Roman"/>
          <w:sz w:val="24"/>
        </w:rPr>
      </w:pPr>
    </w:p>
    <w:p w14:paraId="421DD055">
      <w:pPr>
        <w:rPr>
          <w:rFonts w:ascii="Times New Roman" w:hAnsi="Times New Roman" w:cs="Times New Roman"/>
          <w:sz w:val="24"/>
        </w:rPr>
      </w:pPr>
    </w:p>
    <w:p w14:paraId="72748886">
      <w:pPr>
        <w:rPr>
          <w:rFonts w:ascii="Times New Roman" w:hAnsi="Times New Roman" w:cs="Times New Roman"/>
          <w:sz w:val="24"/>
        </w:rPr>
      </w:pPr>
    </w:p>
    <w:p w14:paraId="16AAF7F4">
      <w:pPr>
        <w:rPr>
          <w:rFonts w:ascii="Times New Roman" w:hAnsi="Times New Roman" w:cs="Times New Roman"/>
          <w:sz w:val="24"/>
        </w:rPr>
      </w:pPr>
    </w:p>
    <w:p w14:paraId="4C884236">
      <w:pPr>
        <w:rPr>
          <w:rFonts w:ascii="Times New Roman" w:hAnsi="Times New Roman" w:cs="Times New Roman"/>
          <w:sz w:val="24"/>
        </w:rPr>
      </w:pPr>
    </w:p>
    <w:p w14:paraId="165CD0EE">
      <w:pPr>
        <w:rPr>
          <w:rFonts w:ascii="Times New Roman" w:hAnsi="Times New Roman" w:cs="Times New Roman"/>
          <w:sz w:val="24"/>
        </w:rPr>
      </w:pPr>
    </w:p>
    <w:p w14:paraId="08F41FAB">
      <w:pPr>
        <w:rPr>
          <w:rFonts w:ascii="Times New Roman" w:hAnsi="Times New Roman" w:cs="Times New Roman"/>
          <w:sz w:val="24"/>
        </w:rPr>
      </w:pPr>
    </w:p>
    <w:p w14:paraId="433CCB8A">
      <w:pPr>
        <w:rPr>
          <w:rFonts w:ascii="Times New Roman" w:hAnsi="Times New Roman" w:cs="Times New Roman"/>
          <w:sz w:val="24"/>
        </w:rPr>
      </w:pPr>
    </w:p>
    <w:p w14:paraId="125E5380">
      <w:pPr>
        <w:rPr>
          <w:rFonts w:ascii="Times New Roman" w:hAnsi="Times New Roman" w:cs="Times New Roman"/>
          <w:sz w:val="24"/>
        </w:rPr>
      </w:pPr>
    </w:p>
    <w:p w14:paraId="34731690">
      <w:pPr>
        <w:rPr>
          <w:rFonts w:ascii="Times New Roman" w:hAnsi="Times New Roman" w:cs="Times New Roman"/>
          <w:sz w:val="24"/>
        </w:rPr>
      </w:pPr>
    </w:p>
    <w:p w14:paraId="6359DFC3">
      <w:pPr>
        <w:rPr>
          <w:rFonts w:ascii="Times New Roman" w:hAnsi="Times New Roman" w:cs="Times New Roman"/>
          <w:sz w:val="24"/>
        </w:rPr>
      </w:pPr>
    </w:p>
    <w:p w14:paraId="0B488169">
      <w:pPr>
        <w:spacing w:line="360" w:lineRule="auto"/>
        <w:rPr>
          <w:rFonts w:hint="default" w:ascii="Arial" w:hAnsi="Arial" w:cs="Arial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default" w:ascii="Arial" w:hAnsi="Arial" w:cs="Arial"/>
          <w:sz w:val="24"/>
          <w:szCs w:val="24"/>
          <w:lang w:val="en-US" w:eastAsia="zh-CN"/>
        </w:rPr>
        <w:t>Supplementary Table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cs="Arial"/>
          <w:sz w:val="24"/>
          <w:szCs w:val="24"/>
          <w:lang w:val="en-US" w:eastAsia="zh-CN"/>
        </w:rPr>
        <w:t>1. List of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small molecule</w:t>
      </w:r>
      <w:r>
        <w:rPr>
          <w:rFonts w:hint="default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sz w:val="24"/>
          <w:szCs w:val="24"/>
          <w:lang w:val="en-US" w:eastAsia="zh-CN"/>
        </w:rPr>
        <w:t>drugs in functional assays</w:t>
      </w:r>
      <w:r>
        <w:rPr>
          <w:rFonts w:hint="default" w:ascii="Arial" w:hAnsi="Arial" w:cs="Arial"/>
          <w:sz w:val="24"/>
          <w:szCs w:val="24"/>
          <w:lang w:val="en-US" w:eastAsia="zh-CN"/>
        </w:rPr>
        <w:t>.</w:t>
      </w:r>
    </w:p>
    <w:tbl>
      <w:tblPr>
        <w:tblStyle w:val="15"/>
        <w:tblW w:w="88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4"/>
        <w:gridCol w:w="3004"/>
        <w:gridCol w:w="1838"/>
        <w:gridCol w:w="1838"/>
      </w:tblGrid>
      <w:tr w14:paraId="0939B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56C1A003">
            <w:pPr>
              <w:spacing w:line="360" w:lineRule="auto"/>
              <w:rPr>
                <w:rFonts w:hint="default" w:ascii="Arial" w:hAnsi="Arial" w:eastAsia="黑体" w:cs="Arial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黑体" w:cs="Arial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Name</w:t>
            </w:r>
          </w:p>
        </w:tc>
        <w:tc>
          <w:tcPr>
            <w:tcW w:w="300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44BC0C3A">
            <w:pPr>
              <w:spacing w:line="360" w:lineRule="auto"/>
              <w:rPr>
                <w:rFonts w:hint="default" w:ascii="Arial" w:hAnsi="Arial" w:eastAsia="黑体" w:cs="Arial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黑体" w:cs="Arial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Concentration</w:t>
            </w:r>
          </w:p>
        </w:tc>
        <w:tc>
          <w:tcPr>
            <w:tcW w:w="183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1BE9FE5C">
            <w:pPr>
              <w:spacing w:line="360" w:lineRule="auto"/>
              <w:rPr>
                <w:rFonts w:hint="default" w:ascii="Arial" w:hAnsi="Arial" w:eastAsia="黑体" w:cs="Arial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黑体" w:cs="Arial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Company</w:t>
            </w:r>
          </w:p>
        </w:tc>
        <w:tc>
          <w:tcPr>
            <w:tcW w:w="183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1E82728D">
            <w:pPr>
              <w:spacing w:line="360" w:lineRule="auto"/>
              <w:rPr>
                <w:rFonts w:hint="eastAsia" w:ascii="Arial" w:hAnsi="Arial" w:eastAsia="黑体" w:cs="Arial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Cat #</w:t>
            </w:r>
          </w:p>
        </w:tc>
      </w:tr>
      <w:tr w14:paraId="7E2E2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4" w:type="dxa"/>
            <w:tcBorders>
              <w:top w:val="single" w:color="000000" w:sz="4" w:space="0"/>
              <w:left w:val="nil"/>
              <w:bottom w:val="nil"/>
              <w:right w:val="nil"/>
              <w:tl2br w:val="nil"/>
            </w:tcBorders>
            <w:shd w:val="clear" w:color="auto" w:fill="FFFFFF"/>
          </w:tcPr>
          <w:p w14:paraId="0D4C0C39">
            <w:pPr>
              <w:spacing w:line="360" w:lineRule="auto"/>
              <w:jc w:val="both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THBS4</w:t>
            </w:r>
            <w:r>
              <w:rPr>
                <w:rFonts w:hint="eastAsia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recombinant protein</w:t>
            </w:r>
          </w:p>
        </w:tc>
        <w:tc>
          <w:tcPr>
            <w:tcW w:w="300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2833A16B">
            <w:pPr>
              <w:pStyle w:val="1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Arial" w:hAnsi="Arial" w:cs="Arial"/>
                <w:sz w:val="32"/>
                <w:szCs w:val="32"/>
                <w:lang w:val="en-US"/>
              </w:rPr>
            </w:pPr>
            <w:r>
              <w:rPr>
                <w:rFonts w:hint="eastAsia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In vivo: </w:t>
            </w:r>
            <w:r>
              <w:rPr>
                <w:rFonts w:hint="default" w:ascii="Arial" w:hAnsi="Arial" w:eastAsia="黑体" w:cs="Arial"/>
                <w:b w:val="0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  <w:r>
              <w:rPr>
                <w:rFonts w:hint="eastAsia" w:ascii="Arial" w:hAnsi="Arial" w:eastAsia="黑体" w:cs="Arial"/>
                <w:b w:val="0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mg</w:t>
            </w:r>
            <w:r>
              <w:rPr>
                <w:rFonts w:hint="default" w:ascii="Arial" w:hAnsi="Arial" w:eastAsia="黑体" w:cs="Arial"/>
                <w:b w:val="0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/m</w:t>
            </w:r>
            <w:r>
              <w:rPr>
                <w:rFonts w:hint="eastAsia" w:ascii="Arial" w:hAnsi="Arial" w:eastAsia="黑体" w:cs="Arial"/>
                <w:b w:val="0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L 50μL</w:t>
            </w:r>
          </w:p>
          <w:p w14:paraId="570F454C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In vitro: 500ng/mL </w:t>
            </w:r>
          </w:p>
        </w:tc>
        <w:tc>
          <w:tcPr>
            <w:tcW w:w="183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0A87D854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UscnLife Science</w:t>
            </w:r>
          </w:p>
        </w:tc>
        <w:tc>
          <w:tcPr>
            <w:tcW w:w="183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7B8D2DA1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URPD824Mu01</w:t>
            </w:r>
          </w:p>
        </w:tc>
      </w:tr>
      <w:tr w14:paraId="7DDF9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B7C8E0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ITGB1 neutralizing antibody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B59418">
            <w:pPr>
              <w:spacing w:line="360" w:lineRule="auto"/>
              <w:rPr>
                <w:rFonts w:hint="eastAsia" w:ascii="Arial" w:hAnsi="Arial" w:eastAsia="黑体" w:cs="Arial"/>
                <w:b w:val="0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In vivo: 20</w:t>
            </w:r>
            <w:r>
              <w:rPr>
                <w:rFonts w:hint="eastAsia" w:ascii="Arial" w:hAnsi="Arial" w:eastAsia="黑体" w:cs="Arial"/>
                <w:b w:val="0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μg/mL 50μL</w:t>
            </w:r>
          </w:p>
          <w:p w14:paraId="4A1AFC97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In vitro: 5</w:t>
            </w:r>
            <w:r>
              <w:rPr>
                <w:rFonts w:hint="eastAsia" w:ascii="Arial" w:hAnsi="Arial" w:eastAsia="黑体" w:cs="Arial"/>
                <w:b w:val="0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μg/mL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9C6A42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Sigma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14DD36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MABT409</w:t>
            </w:r>
          </w:p>
        </w:tc>
      </w:tr>
      <w:tr w14:paraId="3FDDE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20B588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HMGCR inhibitor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F2E7B7">
            <w:pPr>
              <w:spacing w:line="360" w:lineRule="auto"/>
              <w:rPr>
                <w:rFonts w:hint="eastAsia" w:ascii="Arial" w:hAnsi="Arial" w:eastAsia="黑体" w:cs="Arial"/>
                <w:b w:val="0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In vivo: 200μM </w:t>
            </w:r>
            <w:r>
              <w:rPr>
                <w:rFonts w:hint="eastAsia" w:ascii="Arial" w:hAnsi="Arial" w:eastAsia="黑体" w:cs="Arial"/>
                <w:b w:val="0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50μL</w:t>
            </w:r>
          </w:p>
          <w:p w14:paraId="1C5C04F4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In vitro: 50μM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AD8627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MCE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97C6EA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HY-17504B</w:t>
            </w:r>
          </w:p>
        </w:tc>
      </w:tr>
      <w:tr w14:paraId="3DFFE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270B7C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EGR1 inhibitor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3828C4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In vitro: 100μM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BC1420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MCE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D3A226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HY-163731</w:t>
            </w:r>
          </w:p>
        </w:tc>
      </w:tr>
    </w:tbl>
    <w:p w14:paraId="6DD219A4">
      <w:pPr>
        <w:spacing w:line="360" w:lineRule="auto"/>
        <w:rPr>
          <w:rFonts w:hint="default" w:ascii="Arial" w:hAnsi="Arial" w:cs="Arial"/>
          <w:sz w:val="24"/>
          <w:szCs w:val="24"/>
          <w:lang w:val="en-US" w:eastAsia="zh-CN"/>
        </w:rPr>
      </w:pPr>
    </w:p>
    <w:p w14:paraId="6A356E00">
      <w:pPr>
        <w:spacing w:line="360" w:lineRule="auto"/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 xml:space="preserve">Supplementary Table </w:t>
      </w:r>
      <w:r>
        <w:rPr>
          <w:rFonts w:hint="eastAsia" w:ascii="Arial" w:hAnsi="Arial" w:cs="Arial"/>
          <w:sz w:val="24"/>
          <w:szCs w:val="24"/>
          <w:lang w:val="en-US" w:eastAsia="zh-CN"/>
        </w:rPr>
        <w:t>2</w:t>
      </w:r>
      <w:r>
        <w:rPr>
          <w:rFonts w:hint="default" w:ascii="Arial" w:hAnsi="Arial" w:cs="Arial"/>
          <w:sz w:val="24"/>
          <w:szCs w:val="24"/>
          <w:lang w:val="en-US" w:eastAsia="zh-CN"/>
        </w:rPr>
        <w:t>. List of primer sequences for Real-time qPCR.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1"/>
        <w:gridCol w:w="3284"/>
        <w:gridCol w:w="3827"/>
      </w:tblGrid>
      <w:tr w14:paraId="7C686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5" w:type="dxa"/>
            <w:gridSpan w:val="2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4AA57BC6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qRT-PCR Primers</w:t>
            </w:r>
          </w:p>
        </w:tc>
        <w:tc>
          <w:tcPr>
            <w:tcW w:w="382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3DC25AF1">
            <w:pP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6CA45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single" w:color="000000" w:sz="4" w:space="0"/>
              <w:left w:val="nil"/>
              <w:bottom w:val="nil"/>
              <w:right w:val="nil"/>
              <w:tl2br w:val="nil"/>
            </w:tcBorders>
            <w:shd w:val="clear" w:color="auto" w:fill="FFFFFF"/>
          </w:tcPr>
          <w:p w14:paraId="4BE00070">
            <w:pPr>
              <w:spacing w:line="360" w:lineRule="auto"/>
              <w:rPr>
                <w:rFonts w:hint="default" w:ascii="Arial" w:hAnsi="Arial" w:cs="Arial"/>
                <w:b/>
                <w:bCs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Gene Name</w:t>
            </w:r>
          </w:p>
        </w:tc>
        <w:tc>
          <w:tcPr>
            <w:tcW w:w="328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1CC45021">
            <w:pPr>
              <w:spacing w:line="360" w:lineRule="auto"/>
              <w:rPr>
                <w:rFonts w:hint="default" w:ascii="Arial" w:hAnsi="Arial" w:cs="Arial"/>
                <w:b/>
                <w:bCs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Forward (5’ to 3’ )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0A43B70B">
            <w:pPr>
              <w:spacing w:line="360" w:lineRule="auto"/>
              <w:rPr>
                <w:rFonts w:hint="default" w:ascii="Arial" w:hAnsi="Arial" w:cs="Arial"/>
                <w:b/>
                <w:bCs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Reverse (5’ to 3’ )</w:t>
            </w:r>
          </w:p>
        </w:tc>
      </w:tr>
      <w:tr w14:paraId="08D5A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47D865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Gapdh</w:t>
            </w:r>
          </w:p>
        </w:tc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E7B567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CTGGGCTACACTGAGCACC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BA8E9E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AAGTGGTCGTTGAGGGCAATG</w:t>
            </w:r>
          </w:p>
        </w:tc>
      </w:tr>
      <w:tr w14:paraId="0F3AB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B4512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Hmgcr</w:t>
            </w:r>
          </w:p>
        </w:tc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146D72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AGCTTGCCCGAATTGTATGTG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213CF4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TCTGTTGTGAACCATGTGACTTC</w:t>
            </w:r>
          </w:p>
        </w:tc>
      </w:tr>
      <w:tr w14:paraId="025F3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94F904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Egr1</w:t>
            </w:r>
          </w:p>
        </w:tc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5E7D2D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TCGGCTCCTTTCCTCACTCA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AAE1AD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CTCATAGGGTTGTTCGCTCGG</w:t>
            </w:r>
          </w:p>
        </w:tc>
      </w:tr>
      <w:tr w14:paraId="1D5E68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C90CC7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Hoxa9</w:t>
            </w:r>
          </w:p>
        </w:tc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93A0F9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CCCCGACTTCAGTCCTTGC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19F54C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GATGCACGTAGGGGTGGTG</w:t>
            </w:r>
          </w:p>
        </w:tc>
      </w:tr>
      <w:tr w14:paraId="48A60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F7AEB1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Zic3</w:t>
            </w:r>
          </w:p>
        </w:tc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803F71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TGCTGCCAGTTCAGGCTATG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5E8EB5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GCAGAAGGGGTTTTAGTGGTATC</w:t>
            </w:r>
          </w:p>
        </w:tc>
      </w:tr>
      <w:tr w14:paraId="1E765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EF9DD2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Hic1</w:t>
            </w:r>
          </w:p>
        </w:tc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45D1C0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GGCCATTCGAGGCAGCTAC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A3D5BF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AGGTTTAGCAGGTTGTCATGC</w:t>
            </w:r>
          </w:p>
        </w:tc>
      </w:tr>
      <w:tr w14:paraId="13E80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BA7D8D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Myc</w:t>
            </w:r>
          </w:p>
        </w:tc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026649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ATGCCCCTCAACGTGAACTTC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31C08E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CGCAACATAGGATGGAGAGCA</w:t>
            </w:r>
          </w:p>
        </w:tc>
      </w:tr>
      <w:tr w14:paraId="035FA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3AE14C09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Mycn</w:t>
            </w:r>
          </w:p>
        </w:tc>
        <w:tc>
          <w:tcPr>
            <w:tcW w:w="328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52377E06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CCTCACTCCTAATCCGGTCAT</w:t>
            </w:r>
          </w:p>
        </w:tc>
        <w:tc>
          <w:tcPr>
            <w:tcW w:w="382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6D287E28">
            <w:pPr>
              <w:spacing w:line="360" w:lineRule="auto"/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>GTGCTGTAGTTTTTCGTTCACTG</w:t>
            </w:r>
          </w:p>
        </w:tc>
      </w:tr>
    </w:tbl>
    <w:p w14:paraId="2370265F">
      <w:pPr>
        <w:rPr>
          <w:rFonts w:hint="default" w:ascii="Arial" w:hAnsi="Arial" w:cs="Arial"/>
          <w:sz w:val="21"/>
          <w:szCs w:val="21"/>
          <w:lang w:val="en-US" w:eastAsia="zh-CN"/>
        </w:rPr>
      </w:pPr>
    </w:p>
    <w:p w14:paraId="1F439B4E">
      <w:pPr>
        <w:spacing w:line="360" w:lineRule="auto"/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 xml:space="preserve">Supplementary Table </w:t>
      </w:r>
      <w:r>
        <w:rPr>
          <w:rFonts w:hint="eastAsia" w:ascii="Arial" w:hAnsi="Arial" w:cs="Arial"/>
          <w:sz w:val="24"/>
          <w:szCs w:val="24"/>
          <w:lang w:val="en-US" w:eastAsia="zh-CN"/>
        </w:rPr>
        <w:t>3</w:t>
      </w:r>
      <w:r>
        <w:rPr>
          <w:rFonts w:hint="default" w:ascii="Arial" w:hAnsi="Arial" w:cs="Arial"/>
          <w:sz w:val="24"/>
          <w:szCs w:val="24"/>
          <w:lang w:val="en-US" w:eastAsia="zh-CN"/>
        </w:rPr>
        <w:t>. List of antibodies used in this study.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42ECD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3218D5F1">
            <w:pPr>
              <w:spacing w:line="360" w:lineRule="auto"/>
              <w:rPr>
                <w:rFonts w:hint="default" w:ascii="Arial" w:hAnsi="Arial" w:eastAsia="黑体" w:cs="Arial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Antibody</w:t>
            </w:r>
          </w:p>
        </w:tc>
        <w:tc>
          <w:tcPr>
            <w:tcW w:w="213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35C81A99">
            <w:pPr>
              <w:spacing w:line="360" w:lineRule="auto"/>
              <w:rPr>
                <w:rFonts w:hint="default" w:ascii="Arial" w:hAnsi="Arial" w:eastAsia="黑体" w:cs="Arial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Isotype</w:t>
            </w:r>
          </w:p>
        </w:tc>
        <w:tc>
          <w:tcPr>
            <w:tcW w:w="21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2C2FD204">
            <w:pPr>
              <w:spacing w:line="360" w:lineRule="auto"/>
              <w:rPr>
                <w:rFonts w:hint="default" w:ascii="Arial" w:hAnsi="Arial" w:eastAsia="黑体" w:cs="Arial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Company</w:t>
            </w:r>
          </w:p>
        </w:tc>
        <w:tc>
          <w:tcPr>
            <w:tcW w:w="21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53C09427">
            <w:pPr>
              <w:spacing w:line="360" w:lineRule="auto"/>
              <w:rPr>
                <w:rFonts w:hint="default" w:ascii="Arial" w:hAnsi="Arial" w:eastAsia="黑体" w:cs="Arial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Cat #</w:t>
            </w:r>
          </w:p>
        </w:tc>
      </w:tr>
      <w:tr w14:paraId="06B52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single" w:color="000000" w:sz="4" w:space="0"/>
              <w:left w:val="nil"/>
              <w:bottom w:val="nil"/>
              <w:right w:val="nil"/>
              <w:tl2br w:val="nil"/>
            </w:tcBorders>
            <w:shd w:val="clear" w:color="auto" w:fill="FFFFFF"/>
          </w:tcPr>
          <w:p w14:paraId="0D2C7D5E">
            <w:pPr>
              <w:spacing w:line="360" w:lineRule="auto"/>
              <w:jc w:val="both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THBS4</w:t>
            </w:r>
          </w:p>
        </w:tc>
        <w:tc>
          <w:tcPr>
            <w:tcW w:w="213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23C29692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6D7CD318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Abcam</w:t>
            </w:r>
          </w:p>
        </w:tc>
        <w:tc>
          <w:tcPr>
            <w:tcW w:w="21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793B0833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ab263898</w:t>
            </w:r>
          </w:p>
        </w:tc>
      </w:tr>
      <w:tr w14:paraId="302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528648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P63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76B23A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B71F4C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Genetex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77B46A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GTX102425</w:t>
            </w:r>
          </w:p>
        </w:tc>
      </w:tr>
      <w:tr w14:paraId="33EFB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485EB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LEF1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6612D5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636161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Zenbio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93EADE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380956</w:t>
            </w:r>
          </w:p>
        </w:tc>
      </w:tr>
      <w:tr w14:paraId="0F9D5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78D06B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Vimentin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EA3821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18DEAC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Beyotime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154D7D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AF1975</w:t>
            </w:r>
          </w:p>
        </w:tc>
      </w:tr>
      <w:tr w14:paraId="7EB5F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E027D4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Vimentin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1DE3DC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Mouse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E829AB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Beyotime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BA38E6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AF0318</w:t>
            </w:r>
          </w:p>
        </w:tc>
      </w:tr>
      <w:tr w14:paraId="2244D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4A8084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COL3A1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F48488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AC52F5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Proteintech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0F1D6D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22734-1-AP</w:t>
            </w:r>
          </w:p>
        </w:tc>
      </w:tr>
      <w:tr w14:paraId="33EE2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942809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KRT14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211287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51AD05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Beyotime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99D3A9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AF1987</w:t>
            </w:r>
          </w:p>
        </w:tc>
      </w:tr>
      <w:tr w14:paraId="55E48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1EB078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KRT14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D0AAA5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Mouse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ED2902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Boster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313CA6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A01432</w:t>
            </w:r>
          </w:p>
        </w:tc>
      </w:tr>
      <w:tr w14:paraId="6952A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0636E2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YAP1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CDBB73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Mouse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6CA60A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Proteintech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71700D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66900-1-Ig</w:t>
            </w:r>
          </w:p>
        </w:tc>
      </w:tr>
      <w:tr w14:paraId="140E65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C55C92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ROCK2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599830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BFB6FF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Boster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3DE7F4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A01023-1</w:t>
            </w:r>
          </w:p>
        </w:tc>
      </w:tr>
      <w:tr w14:paraId="44879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55BC67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ITGB1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E19524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00071A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Proteintech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9773B4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12594-1-AP</w:t>
            </w:r>
          </w:p>
        </w:tc>
      </w:tr>
      <w:tr w14:paraId="12128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3D5632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BMP4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AF98AB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CB8508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Beyotime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D56482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AF6312</w:t>
            </w:r>
          </w:p>
        </w:tc>
      </w:tr>
      <w:tr w14:paraId="765ED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44FE2E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β-catenin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FFDABB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AD1CD6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Boster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D1B0F1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A00004</w:t>
            </w:r>
          </w:p>
        </w:tc>
      </w:tr>
      <w:tr w14:paraId="6A1CB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925343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PCNA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18D79B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Mouse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1535C4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Servicebio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9B2EC7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GB12010-100</w:t>
            </w:r>
          </w:p>
        </w:tc>
      </w:tr>
      <w:tr w14:paraId="77A1A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22F9C6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HMGCR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3830B5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F2CE6C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Beyotime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556F3A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AF7119</w:t>
            </w:r>
          </w:p>
        </w:tc>
      </w:tr>
      <w:tr w14:paraId="18ED9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CFCADD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SMAD1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57CF08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78A64B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Beyotime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9B7F3E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AF1504</w:t>
            </w:r>
          </w:p>
        </w:tc>
      </w:tr>
      <w:tr w14:paraId="20012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686211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EGR1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2916E9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69F04A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Abcam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8C1B00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ab300449</w:t>
            </w:r>
          </w:p>
        </w:tc>
      </w:tr>
      <w:tr w14:paraId="55BB5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5BDEAD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DCN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207878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37A852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Beyotime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8B2301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AF6693</w:t>
            </w:r>
          </w:p>
        </w:tc>
      </w:tr>
      <w:tr w14:paraId="51C4C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ED2034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LY6A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B59467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700E89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Proteintech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B409A5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87403-1-RR</w:t>
            </w:r>
          </w:p>
        </w:tc>
      </w:tr>
      <w:tr w14:paraId="59667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6EAAEF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ACTA2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3D73B5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F4EFF2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Beyotime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A32406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AG0101</w:t>
            </w:r>
          </w:p>
        </w:tc>
      </w:tr>
      <w:tr w14:paraId="35E4C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E00012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CAMK1D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251C2E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Rabbit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DAE736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Abcam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DCE8F0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ab172618</w:t>
            </w:r>
          </w:p>
        </w:tc>
      </w:tr>
      <w:tr w14:paraId="55552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6D594F2E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SPP1</w:t>
            </w:r>
          </w:p>
        </w:tc>
        <w:tc>
          <w:tcPr>
            <w:tcW w:w="213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14439794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Goat</w:t>
            </w:r>
          </w:p>
        </w:tc>
        <w:tc>
          <w:tcPr>
            <w:tcW w:w="21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313BF9DD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R&amp;D</w:t>
            </w:r>
          </w:p>
        </w:tc>
        <w:tc>
          <w:tcPr>
            <w:tcW w:w="21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18EA89FB">
            <w:pPr>
              <w:spacing w:line="360" w:lineRule="auto"/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AF808-SP</w:t>
            </w:r>
          </w:p>
        </w:tc>
      </w:tr>
    </w:tbl>
    <w:p w14:paraId="71FCC09F">
      <w:pPr>
        <w:rPr>
          <w:rFonts w:hint="default"/>
          <w:lang w:val="en-US" w:eastAsia="zh-CN"/>
        </w:rPr>
      </w:pPr>
    </w:p>
    <w:p w14:paraId="3E989984">
      <w:pPr>
        <w:rPr>
          <w:rFonts w:hint="eastAsia" w:ascii="Times New Roman" w:hAnsi="Times New Roman" w:cs="Times New Roman"/>
          <w:sz w:val="24"/>
          <w:lang w:eastAsia="zh-CN"/>
        </w:rPr>
      </w:pPr>
    </w:p>
    <w:p w14:paraId="5275D905">
      <w:pPr>
        <w:pStyle w:val="30"/>
        <w:rPr>
          <w:rFonts w:ascii="Times New Roman" w:hAnsi="Times New Roman" w:cs="Times New Roman"/>
          <w:sz w:val="24"/>
        </w:rPr>
      </w:pPr>
    </w:p>
    <w:p w14:paraId="714385A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860CC92E-EF2E-4756-8C22-8BAC3BAA6F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BA0094D4-972F-4CAA-BA72-98E18D84ED7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F814B0E0-61B6-4E1D-A916-D9A4D2AA7339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054118"/>
    <w:multiLevelType w:val="singleLevel"/>
    <w:tmpl w:val="A0054118"/>
    <w:lvl w:ilvl="0" w:tentative="0">
      <w:start w:val="1"/>
      <w:numFmt w:val="upperLetter"/>
      <w:suff w:val="space"/>
      <w:lvlText w:val="(%1)"/>
      <w:lvlJc w:val="left"/>
    </w:lvl>
  </w:abstractNum>
  <w:abstractNum w:abstractNumId="1">
    <w:nsid w:val="C4299FF3"/>
    <w:multiLevelType w:val="singleLevel"/>
    <w:tmpl w:val="C4299FF3"/>
    <w:lvl w:ilvl="0" w:tentative="0">
      <w:start w:val="1"/>
      <w:numFmt w:val="upperLetter"/>
      <w:suff w:val="space"/>
      <w:lvlText w:val="(%1)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FD5"/>
    <w:rsid w:val="00A92FD5"/>
    <w:rsid w:val="00E0229A"/>
    <w:rsid w:val="0C875573"/>
    <w:rsid w:val="0D9C2BF8"/>
    <w:rsid w:val="17A857FA"/>
    <w:rsid w:val="2A682B1A"/>
    <w:rsid w:val="2D79212A"/>
    <w:rsid w:val="552437FF"/>
    <w:rsid w:val="5DCC2370"/>
    <w:rsid w:val="683C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2">
    <w:name w:val="标题 6 字符"/>
    <w:basedOn w:val="16"/>
    <w:link w:val="7"/>
    <w:semiHidden/>
    <w:uiPriority w:val="9"/>
    <w:rPr>
      <w:rFonts w:cstheme="majorBidi"/>
      <w:b/>
      <w:bCs/>
      <w:color w:val="2F5597" w:themeColor="accent1" w:themeShade="BF"/>
    </w:rPr>
  </w:style>
  <w:style w:type="character" w:customStyle="1" w:styleId="23">
    <w:name w:val="标题 7 字符"/>
    <w:basedOn w:val="16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3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99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2F5597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1276</Words>
  <Characters>7911</Characters>
  <Lines>178</Lines>
  <Paragraphs>44</Paragraphs>
  <TotalTime>3</TotalTime>
  <ScaleCrop>false</ScaleCrop>
  <LinksUpToDate>false</LinksUpToDate>
  <CharactersWithSpaces>9117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2026-04-28T06:16:00Z</dcterms:created>
  <dc:creator>悦晰 赵</dc:creator>
  <cp:lastModifiedBy>Yi Ping</cp:lastModifiedBy>
  <dcterms:modified xsi:type="dcterms:W3CDTF">2026-05-22T06:38:07Z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eyJoZGlkIjoiZmNiNDQzOGYxNTAxMjZmYzE0NWEyZjEwNGFmNmNhYWYiLCJ1c2VySWQiOiIzOTczNTEyNTEifQ==</vt:lpwstr>
  </property>
  <property fmtid="{D5CDD505-2E9C-101B-9397-08002B2CF9AE}" pid="3" name="KSOProductBuildVer">
    <vt:lpwstr>2052-12.1.0.26373</vt:lpwstr>
  </property>
  <property fmtid="{D5CDD505-2E9C-101B-9397-08002B2CF9AE}" pid="4" name="ICV">
    <vt:lpwstr>17D88E28D3FA41CF85EC7E0D795BEC04_13</vt:lpwstr>
  </property>
</Properties>
</file>