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10AF5" w14:textId="4258416C" w:rsidR="00DD554E" w:rsidRDefault="00D1030E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Supplementary material of the manuscript titled: “</w:t>
      </w:r>
      <w:r w:rsidR="00AA7732" w:rsidRPr="00AA7732">
        <w:rPr>
          <w:b/>
          <w:color w:val="000000"/>
          <w:sz w:val="28"/>
          <w:szCs w:val="28"/>
        </w:rPr>
        <w:t xml:space="preserve">High-resolution large ensemble for extreme precipitation forecasting with </w:t>
      </w:r>
      <w:r w:rsidR="007969CB">
        <w:rPr>
          <w:b/>
          <w:color w:val="000000"/>
          <w:sz w:val="28"/>
          <w:szCs w:val="28"/>
        </w:rPr>
        <w:t xml:space="preserve">multiple </w:t>
      </w:r>
      <w:r w:rsidR="00AA7732" w:rsidRPr="00AA7732">
        <w:rPr>
          <w:b/>
          <w:color w:val="000000"/>
          <w:sz w:val="28"/>
          <w:szCs w:val="28"/>
        </w:rPr>
        <w:t>AI weather models</w:t>
      </w:r>
      <w:r>
        <w:rPr>
          <w:b/>
          <w:color w:val="000000"/>
          <w:sz w:val="28"/>
          <w:szCs w:val="28"/>
        </w:rPr>
        <w:t>”</w:t>
      </w:r>
    </w:p>
    <w:p w14:paraId="2275F108" w14:textId="3B59FFB1" w:rsidR="00BB27FB" w:rsidRPr="00CC61C4" w:rsidRDefault="00BB27FB" w:rsidP="00BB27FB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center"/>
        <w:rPr>
          <w:bCs/>
          <w:color w:val="000000"/>
          <w:lang w:val="en-US"/>
        </w:rPr>
      </w:pPr>
      <w:r w:rsidRPr="00CC61C4">
        <w:rPr>
          <w:rFonts w:eastAsia="Times New Roman"/>
          <w:bCs/>
          <w:color w:val="000000"/>
          <w:lang w:val="en-US"/>
        </w:rPr>
        <w:t>Yanbo Nie</w:t>
      </w:r>
      <w:r w:rsidRPr="00CC61C4">
        <w:rPr>
          <w:bCs/>
          <w:color w:val="000000"/>
          <w:lang w:val="en-US"/>
        </w:rPr>
        <w:t>*</w:t>
      </w:r>
      <w:r w:rsidRPr="00CC61C4">
        <w:rPr>
          <w:rFonts w:eastAsia="Times New Roman"/>
          <w:bCs/>
          <w:color w:val="000000"/>
          <w:vertAlign w:val="superscript"/>
          <w:lang w:val="en-US"/>
        </w:rPr>
        <w:t>1</w:t>
      </w:r>
      <w:r w:rsidRPr="00CC61C4">
        <w:rPr>
          <w:rFonts w:eastAsia="Times New Roman"/>
          <w:bCs/>
          <w:color w:val="000000"/>
          <w:lang w:val="en-US"/>
        </w:rPr>
        <w:t>, Agniv Sengupta</w:t>
      </w:r>
      <w:r w:rsidRPr="00CC61C4">
        <w:rPr>
          <w:rFonts w:eastAsia="Times New Roman"/>
          <w:bCs/>
          <w:color w:val="000000"/>
          <w:vertAlign w:val="superscript"/>
          <w:lang w:val="en-US"/>
        </w:rPr>
        <w:t>1</w:t>
      </w:r>
      <w:r w:rsidRPr="00CC61C4">
        <w:rPr>
          <w:rFonts w:eastAsia="Times New Roman"/>
          <w:bCs/>
          <w:color w:val="000000"/>
          <w:lang w:val="en-US"/>
        </w:rPr>
        <w:t xml:space="preserve">, </w:t>
      </w:r>
      <w:r w:rsidR="00305D6A" w:rsidRPr="0095331A">
        <w:rPr>
          <w:rFonts w:eastAsia="Times New Roman"/>
          <w:bCs/>
          <w:color w:val="000000"/>
          <w:lang w:val="en-US"/>
        </w:rPr>
        <w:t>Dan</w:t>
      </w:r>
      <w:r w:rsidR="00305D6A">
        <w:rPr>
          <w:rFonts w:eastAsia="Times New Roman"/>
          <w:bCs/>
          <w:color w:val="000000"/>
          <w:lang w:val="en-US"/>
        </w:rPr>
        <w:t>iel</w:t>
      </w:r>
      <w:r w:rsidR="00305D6A" w:rsidRPr="0095331A">
        <w:rPr>
          <w:rFonts w:eastAsia="Times New Roman"/>
          <w:bCs/>
          <w:color w:val="000000"/>
          <w:lang w:val="en-US"/>
        </w:rPr>
        <w:t xml:space="preserve"> </w:t>
      </w:r>
      <w:r w:rsidR="009022D7" w:rsidRPr="009022D7">
        <w:rPr>
          <w:rFonts w:eastAsia="Times New Roman"/>
          <w:bCs/>
          <w:color w:val="000000"/>
          <w:lang w:val="en-US"/>
        </w:rPr>
        <w:t xml:space="preserve">F. </w:t>
      </w:r>
      <w:r w:rsidRPr="0095331A">
        <w:rPr>
          <w:rFonts w:eastAsia="Times New Roman"/>
          <w:bCs/>
          <w:color w:val="000000"/>
          <w:lang w:val="en-US"/>
        </w:rPr>
        <w:t>Steinhoff</w:t>
      </w:r>
      <w:r w:rsidRPr="00CC61C4">
        <w:rPr>
          <w:rFonts w:eastAsia="Times New Roman"/>
          <w:bCs/>
          <w:color w:val="000000"/>
          <w:vertAlign w:val="superscript"/>
          <w:lang w:val="en-US"/>
        </w:rPr>
        <w:t>1</w:t>
      </w:r>
      <w:r w:rsidRPr="00CC61C4">
        <w:rPr>
          <w:bCs/>
          <w:color w:val="000000"/>
          <w:lang w:val="en-US"/>
        </w:rPr>
        <w:t xml:space="preserve">, </w:t>
      </w:r>
      <w:r w:rsidRPr="00CC61C4">
        <w:rPr>
          <w:rFonts w:eastAsia="Times New Roman"/>
          <w:bCs/>
          <w:color w:val="000000"/>
          <w:lang w:val="en-US"/>
        </w:rPr>
        <w:t>Jorge Baño-Medina</w:t>
      </w:r>
      <w:r w:rsidRPr="00CC61C4">
        <w:rPr>
          <w:rFonts w:eastAsia="Times New Roman"/>
          <w:bCs/>
          <w:color w:val="000000"/>
          <w:vertAlign w:val="superscript"/>
          <w:lang w:val="en-US"/>
        </w:rPr>
        <w:t>2</w:t>
      </w:r>
      <w:r w:rsidRPr="00CC61C4">
        <w:rPr>
          <w:rFonts w:eastAsia="Times New Roman"/>
          <w:bCs/>
          <w:color w:val="000000"/>
          <w:lang w:val="en-US"/>
        </w:rPr>
        <w:t>, and Luca Delle Monache</w:t>
      </w:r>
      <w:r w:rsidRPr="00CC61C4">
        <w:rPr>
          <w:rFonts w:eastAsia="Times New Roman"/>
          <w:bCs/>
          <w:color w:val="000000"/>
          <w:vertAlign w:val="superscript"/>
          <w:lang w:val="en-US"/>
        </w:rPr>
        <w:t>1</w:t>
      </w:r>
    </w:p>
    <w:p w14:paraId="21AC92B4" w14:textId="77777777" w:rsidR="00BB27FB" w:rsidRDefault="00BB27FB" w:rsidP="00D6207F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color w:val="000000"/>
        </w:rPr>
      </w:pPr>
      <w:r>
        <w:rPr>
          <w:rFonts w:eastAsia="Times New Roman"/>
          <w:color w:val="000000"/>
          <w:vertAlign w:val="superscript"/>
        </w:rPr>
        <w:t xml:space="preserve">1 </w:t>
      </w:r>
      <w:r>
        <w:rPr>
          <w:rFonts w:eastAsia="Times New Roman"/>
          <w:color w:val="000000"/>
        </w:rPr>
        <w:t>Center for Western Weather and Water Extremes, Scripps Institution of Oceanography, University of California San Diego, La Jolla, CA, USA</w:t>
      </w:r>
    </w:p>
    <w:p w14:paraId="7484D236" w14:textId="77777777" w:rsidR="00BB27FB" w:rsidRPr="00F42006" w:rsidRDefault="00BB27FB" w:rsidP="00D6207F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color w:val="000000"/>
          <w:lang w:val="es-ES"/>
        </w:rPr>
      </w:pPr>
      <w:r w:rsidRPr="00F42006">
        <w:rPr>
          <w:rFonts w:eastAsia="Times New Roman"/>
          <w:color w:val="000000"/>
          <w:vertAlign w:val="superscript"/>
          <w:lang w:val="es-ES"/>
        </w:rPr>
        <w:t xml:space="preserve">2 </w:t>
      </w:r>
      <w:proofErr w:type="gramStart"/>
      <w:r w:rsidRPr="00F42006">
        <w:rPr>
          <w:lang w:val="es-ES"/>
        </w:rPr>
        <w:t>Instituto</w:t>
      </w:r>
      <w:proofErr w:type="gramEnd"/>
      <w:r w:rsidRPr="00F42006">
        <w:rPr>
          <w:lang w:val="es-ES"/>
        </w:rPr>
        <w:t xml:space="preserve"> de </w:t>
      </w:r>
      <w:proofErr w:type="spellStart"/>
      <w:r w:rsidRPr="00F42006">
        <w:rPr>
          <w:lang w:val="es-ES"/>
        </w:rPr>
        <w:t>Fisica</w:t>
      </w:r>
      <w:proofErr w:type="spellEnd"/>
      <w:r w:rsidRPr="00F42006">
        <w:rPr>
          <w:lang w:val="es-ES"/>
        </w:rPr>
        <w:t xml:space="preserve"> de Cantabria (IFCA), CSIC-Universidad de Cantabria, Santander, Spain</w:t>
      </w:r>
    </w:p>
    <w:p w14:paraId="13110AF9" w14:textId="77777777" w:rsidR="00DD554E" w:rsidRPr="00633B0C" w:rsidRDefault="00DD554E" w:rsidP="0037421A">
      <w:pPr>
        <w:jc w:val="both"/>
        <w:rPr>
          <w:lang w:val="es-ES"/>
        </w:rPr>
      </w:pPr>
    </w:p>
    <w:p w14:paraId="13110AFA" w14:textId="77777777" w:rsidR="00DD554E" w:rsidRPr="00633B0C" w:rsidRDefault="00DD554E">
      <w:pPr>
        <w:rPr>
          <w:lang w:val="es-ES"/>
        </w:rPr>
      </w:pPr>
    </w:p>
    <w:p w14:paraId="13110AFB" w14:textId="77777777" w:rsidR="00DD554E" w:rsidRPr="00633B0C" w:rsidRDefault="00DD554E">
      <w:pPr>
        <w:rPr>
          <w:lang w:val="es-ES"/>
        </w:rPr>
      </w:pPr>
    </w:p>
    <w:p w14:paraId="13110AFC" w14:textId="77777777" w:rsidR="00DD554E" w:rsidRPr="00633B0C" w:rsidRDefault="00DD554E">
      <w:pPr>
        <w:rPr>
          <w:lang w:val="es-ES"/>
        </w:rPr>
      </w:pPr>
    </w:p>
    <w:p w14:paraId="13110AFD" w14:textId="77777777" w:rsidR="00DD554E" w:rsidRPr="00633B0C" w:rsidRDefault="00DD554E">
      <w:pPr>
        <w:rPr>
          <w:lang w:val="es-ES"/>
        </w:rPr>
      </w:pPr>
    </w:p>
    <w:p w14:paraId="13110AFE" w14:textId="77777777" w:rsidR="00DD554E" w:rsidRPr="00633B0C" w:rsidRDefault="00DD554E">
      <w:pPr>
        <w:rPr>
          <w:lang w:val="es-ES"/>
        </w:rPr>
      </w:pPr>
    </w:p>
    <w:p w14:paraId="13110AFF" w14:textId="77777777" w:rsidR="00DD554E" w:rsidRPr="00633B0C" w:rsidRDefault="00DD554E">
      <w:pPr>
        <w:rPr>
          <w:color w:val="00B0F0"/>
          <w:szCs w:val="24"/>
          <w:lang w:val="es-ES"/>
        </w:rPr>
      </w:pPr>
    </w:p>
    <w:p w14:paraId="13110B00" w14:textId="77777777" w:rsidR="00DD554E" w:rsidRDefault="00D1030E">
      <w:pPr>
        <w:rPr>
          <w:b/>
          <w:szCs w:val="24"/>
        </w:rPr>
      </w:pPr>
      <w:r>
        <w:rPr>
          <w:b/>
          <w:szCs w:val="24"/>
        </w:rPr>
        <w:t xml:space="preserve">Contents of this file </w:t>
      </w:r>
    </w:p>
    <w:p w14:paraId="13110B01" w14:textId="77777777" w:rsidR="00DD554E" w:rsidRDefault="00D1030E">
      <w:pPr>
        <w:rPr>
          <w:szCs w:val="24"/>
        </w:rPr>
      </w:pPr>
      <w:r>
        <w:rPr>
          <w:szCs w:val="24"/>
        </w:rPr>
        <w:tab/>
      </w:r>
    </w:p>
    <w:p w14:paraId="13110B02" w14:textId="61878689" w:rsidR="00DD554E" w:rsidRPr="000B4AC5" w:rsidRDefault="00D1030E">
      <w:pPr>
        <w:rPr>
          <w:szCs w:val="24"/>
          <w:lang w:val="en-US"/>
        </w:rPr>
      </w:pPr>
      <w:r>
        <w:rPr>
          <w:szCs w:val="24"/>
        </w:rPr>
        <w:t>Figures S1 to S</w:t>
      </w:r>
      <w:r w:rsidR="001F23B6">
        <w:rPr>
          <w:szCs w:val="24"/>
        </w:rPr>
        <w:t>11</w:t>
      </w:r>
    </w:p>
    <w:p w14:paraId="51987230" w14:textId="45BCC10D" w:rsidR="00D92D89" w:rsidRDefault="00D92D89">
      <w:pPr>
        <w:rPr>
          <w:szCs w:val="24"/>
        </w:rPr>
      </w:pPr>
      <w:r>
        <w:rPr>
          <w:szCs w:val="24"/>
        </w:rPr>
        <w:t>Table S1</w:t>
      </w:r>
    </w:p>
    <w:p w14:paraId="14B1D0AF" w14:textId="77777777" w:rsidR="00CF62C8" w:rsidRDefault="00CF62C8">
      <w:pPr>
        <w:rPr>
          <w:szCs w:val="24"/>
        </w:rPr>
      </w:pPr>
    </w:p>
    <w:p w14:paraId="13110B03" w14:textId="77777777" w:rsidR="00DD554E" w:rsidRDefault="00D1030E">
      <w:r>
        <w:br w:type="page"/>
      </w:r>
    </w:p>
    <w:p w14:paraId="13110B05" w14:textId="4C3307E9" w:rsidR="00DD554E" w:rsidRDefault="00C5733E">
      <w:pPr>
        <w:pBdr>
          <w:top w:val="nil"/>
          <w:left w:val="nil"/>
          <w:bottom w:val="nil"/>
          <w:right w:val="nil"/>
          <w:between w:val="nil"/>
        </w:pBd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C5733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14:paraId="022238B5" w14:textId="77777777" w:rsidR="00EB1903" w:rsidRDefault="00EB1903" w:rsidP="00EB19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7F7680E5" w14:textId="5416109E" w:rsidR="007F2511" w:rsidRPr="00634974" w:rsidRDefault="00B6171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</w:rPr>
      </w:pPr>
      <w:r w:rsidRPr="00B61710">
        <w:rPr>
          <w:noProof/>
          <w:color w:val="000000"/>
          <w:szCs w:val="24"/>
        </w:rPr>
        <w:drawing>
          <wp:inline distT="0" distB="0" distL="0" distR="0" wp14:anchorId="6D885C68" wp14:editId="1A465B7D">
            <wp:extent cx="4571999" cy="4526350"/>
            <wp:effectExtent l="0" t="0" r="635" b="0"/>
            <wp:docPr id="1632353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5348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999" cy="452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10B06" w14:textId="5B85C516" w:rsidR="00DD554E" w:rsidRDefault="00D1030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Fig. S</w:t>
      </w:r>
      <w:r w:rsidR="00FE0D70">
        <w:rPr>
          <w:b/>
          <w:color w:val="000000"/>
          <w:szCs w:val="24"/>
        </w:rPr>
        <w:t>1</w:t>
      </w:r>
      <w:r w:rsidR="00670846" w:rsidRPr="00611AD4">
        <w:rPr>
          <w:b/>
          <w:bCs/>
          <w:color w:val="000000"/>
        </w:rPr>
        <w:t xml:space="preserve"> </w:t>
      </w:r>
      <w:r w:rsidR="00670846" w:rsidRPr="00611AD4">
        <w:rPr>
          <w:b/>
          <w:bCs/>
        </w:rPr>
        <w:t>|</w:t>
      </w:r>
      <w:r w:rsidR="00670846">
        <w:rPr>
          <w:b/>
          <w:color w:val="000000"/>
        </w:rPr>
        <w:t xml:space="preserve"> </w:t>
      </w:r>
      <w:r w:rsidR="00E82860" w:rsidRPr="00E82860">
        <w:rPr>
          <w:b/>
          <w:color w:val="000000"/>
          <w:szCs w:val="24"/>
        </w:rPr>
        <w:t xml:space="preserve">Comparison of </w:t>
      </w:r>
      <w:r w:rsidR="00E82860">
        <w:rPr>
          <w:b/>
          <w:color w:val="000000"/>
          <w:szCs w:val="24"/>
        </w:rPr>
        <w:t>f</w:t>
      </w:r>
      <w:r w:rsidR="00E640A6" w:rsidRPr="00E640A6">
        <w:rPr>
          <w:b/>
          <w:color w:val="000000"/>
          <w:szCs w:val="24"/>
        </w:rPr>
        <w:t>ractions skill score (FSS)</w:t>
      </w:r>
      <w:r w:rsidR="00E640A6">
        <w:rPr>
          <w:b/>
          <w:color w:val="000000"/>
          <w:szCs w:val="24"/>
        </w:rPr>
        <w:t xml:space="preserve"> </w:t>
      </w:r>
      <w:r w:rsidR="00A63610">
        <w:rPr>
          <w:rFonts w:eastAsia="Times New Roman"/>
          <w:b/>
          <w:color w:val="000000"/>
          <w:lang w:val="en-US"/>
        </w:rPr>
        <w:t>for ensemble mean precipitation</w:t>
      </w:r>
      <w:r>
        <w:rPr>
          <w:b/>
          <w:color w:val="000000"/>
          <w:szCs w:val="24"/>
        </w:rPr>
        <w:t xml:space="preserve">. </w:t>
      </w:r>
      <w:r w:rsidR="00A63610" w:rsidRPr="00A63610">
        <w:rPr>
          <w:bCs/>
          <w:color w:val="000000"/>
          <w:szCs w:val="24"/>
        </w:rPr>
        <w:t xml:space="preserve">FSSs </w:t>
      </w:r>
      <w:r w:rsidR="000E73BD">
        <w:rPr>
          <w:rFonts w:eastAsia="Times New Roman"/>
          <w:color w:val="000000"/>
        </w:rPr>
        <w:t>for a</w:t>
      </w:r>
      <w:r w:rsidR="00A63610">
        <w:rPr>
          <w:rFonts w:eastAsia="Times New Roman"/>
          <w:color w:val="000000"/>
        </w:rPr>
        <w:t xml:space="preserve"> 50-mm precipitation threshold as a function of window size (km) at </w:t>
      </w:r>
      <w:r w:rsidR="00A63610" w:rsidRPr="00A63610">
        <w:rPr>
          <w:rFonts w:eastAsia="Times New Roman"/>
          <w:b/>
          <w:bCs/>
          <w:color w:val="000000"/>
        </w:rPr>
        <w:t>a</w:t>
      </w:r>
      <w:r w:rsidR="00A63610">
        <w:rPr>
          <w:rFonts w:eastAsia="Times New Roman"/>
          <w:color w:val="000000"/>
        </w:rPr>
        <w:t xml:space="preserve"> 4-day and </w:t>
      </w:r>
      <w:r w:rsidR="00A63610" w:rsidRPr="00A63610">
        <w:rPr>
          <w:rFonts w:eastAsia="Times New Roman"/>
          <w:b/>
          <w:bCs/>
          <w:color w:val="000000"/>
        </w:rPr>
        <w:t>b</w:t>
      </w:r>
      <w:r w:rsidR="00A63610">
        <w:rPr>
          <w:rFonts w:eastAsia="Times New Roman"/>
          <w:color w:val="000000"/>
        </w:rPr>
        <w:t xml:space="preserve"> 6-day lead times</w:t>
      </w:r>
      <w:r>
        <w:rPr>
          <w:color w:val="000000"/>
          <w:szCs w:val="24"/>
        </w:rPr>
        <w:t>.</w:t>
      </w:r>
      <w:r w:rsidR="00A63610">
        <w:rPr>
          <w:color w:val="000000"/>
          <w:szCs w:val="24"/>
        </w:rPr>
        <w:t xml:space="preserve"> </w:t>
      </w:r>
      <w:r w:rsidR="00A63610">
        <w:rPr>
          <w:rFonts w:eastAsia="Times New Roman"/>
          <w:color w:val="000000"/>
        </w:rPr>
        <w:t xml:space="preserve">FSS </w:t>
      </w:r>
      <w:r w:rsidR="000E73BD">
        <w:rPr>
          <w:rFonts w:eastAsia="Times New Roman"/>
          <w:color w:val="000000"/>
        </w:rPr>
        <w:t>for</w:t>
      </w:r>
      <w:r w:rsidR="00A63610">
        <w:rPr>
          <w:rFonts w:eastAsia="Times New Roman"/>
          <w:color w:val="000000"/>
        </w:rPr>
        <w:t xml:space="preserve"> a fixed window size (48 km × 48 km</w:t>
      </w:r>
      <w:r w:rsidR="000E73BD" w:rsidRPr="00424B02">
        <w:rPr>
          <w:rFonts w:eastAsia="Times New Roman"/>
          <w:bCs/>
          <w:color w:val="000000"/>
        </w:rPr>
        <w:t xml:space="preserve">; equivalent to </w:t>
      </w:r>
      <w:r w:rsidR="00A63610">
        <w:rPr>
          <w:rFonts w:eastAsia="Times New Roman"/>
          <w:color w:val="000000"/>
        </w:rPr>
        <w:t xml:space="preserve">12 × 12 grids) as a function of precipitation thresholds at </w:t>
      </w:r>
      <w:r w:rsidR="00A63610">
        <w:rPr>
          <w:rFonts w:eastAsia="Times New Roman"/>
          <w:b/>
          <w:bCs/>
          <w:color w:val="000000"/>
        </w:rPr>
        <w:t>c</w:t>
      </w:r>
      <w:r w:rsidR="00A63610">
        <w:rPr>
          <w:rFonts w:eastAsia="Times New Roman"/>
          <w:color w:val="000000"/>
        </w:rPr>
        <w:t xml:space="preserve"> 4-day and </w:t>
      </w:r>
      <w:r w:rsidR="00A63610">
        <w:rPr>
          <w:rFonts w:eastAsia="Times New Roman"/>
          <w:b/>
          <w:bCs/>
          <w:color w:val="000000"/>
        </w:rPr>
        <w:t>d</w:t>
      </w:r>
      <w:r w:rsidR="00A63610">
        <w:rPr>
          <w:rFonts w:eastAsia="Times New Roman"/>
          <w:color w:val="000000"/>
        </w:rPr>
        <w:t xml:space="preserve"> 6-day lead times</w:t>
      </w:r>
      <w:r w:rsidR="00912EB3">
        <w:rPr>
          <w:rFonts w:eastAsia="Times New Roman"/>
          <w:color w:val="000000"/>
        </w:rPr>
        <w:t>.</w:t>
      </w:r>
      <w:r w:rsidR="006D572A">
        <w:rPr>
          <w:rFonts w:eastAsia="Times New Roman"/>
          <w:color w:val="000000"/>
        </w:rPr>
        <w:t xml:space="preserve"> </w:t>
      </w:r>
      <w:r w:rsidR="00611DD0" w:rsidRPr="00611DD0">
        <w:rPr>
          <w:rFonts w:eastAsia="Times New Roman"/>
          <w:bCs/>
          <w:color w:val="000000"/>
        </w:rPr>
        <w:t>Results are shown for WAI-LE (solid red line</w:t>
      </w:r>
      <w:r w:rsidR="00576E41">
        <w:rPr>
          <w:rFonts w:eastAsia="Times New Roman"/>
          <w:bCs/>
          <w:color w:val="000000"/>
        </w:rPr>
        <w:t>s</w:t>
      </w:r>
      <w:r w:rsidR="00611DD0" w:rsidRPr="00611DD0">
        <w:rPr>
          <w:rFonts w:eastAsia="Times New Roman"/>
          <w:bCs/>
          <w:color w:val="000000"/>
        </w:rPr>
        <w:t>), GAI-LE (solid yellow line</w:t>
      </w:r>
      <w:r w:rsidR="00576E41">
        <w:rPr>
          <w:rFonts w:eastAsia="Times New Roman"/>
          <w:bCs/>
          <w:color w:val="000000"/>
        </w:rPr>
        <w:t>s</w:t>
      </w:r>
      <w:r w:rsidR="00611DD0" w:rsidRPr="00611DD0">
        <w:rPr>
          <w:rFonts w:eastAsia="Times New Roman"/>
          <w:bCs/>
          <w:color w:val="000000"/>
        </w:rPr>
        <w:t>), ECMWF EPS (dashed blue line</w:t>
      </w:r>
      <w:r w:rsidR="00576E41">
        <w:rPr>
          <w:rFonts w:eastAsia="Times New Roman"/>
          <w:bCs/>
          <w:color w:val="000000"/>
        </w:rPr>
        <w:t>s</w:t>
      </w:r>
      <w:r w:rsidR="00611DD0" w:rsidRPr="00611DD0">
        <w:rPr>
          <w:rFonts w:eastAsia="Times New Roman"/>
          <w:bCs/>
          <w:color w:val="000000"/>
        </w:rPr>
        <w:t>), and West-WRF (dashed green line</w:t>
      </w:r>
      <w:r w:rsidR="00576E41">
        <w:rPr>
          <w:rFonts w:eastAsia="Times New Roman"/>
          <w:bCs/>
          <w:color w:val="000000"/>
        </w:rPr>
        <w:t>s</w:t>
      </w:r>
      <w:r w:rsidR="00611DD0" w:rsidRPr="00611DD0">
        <w:rPr>
          <w:rFonts w:eastAsia="Times New Roman"/>
          <w:bCs/>
          <w:color w:val="000000"/>
        </w:rPr>
        <w:t>).</w:t>
      </w:r>
    </w:p>
    <w:p w14:paraId="13110B07" w14:textId="77777777" w:rsidR="00DD554E" w:rsidRDefault="00DD55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55735A8E" w14:textId="348B58A6" w:rsidR="00D70A01" w:rsidRDefault="00D70A01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14:paraId="267A7500" w14:textId="5C62CD85" w:rsidR="00E96BA5" w:rsidRDefault="002F6DEC" w:rsidP="0013016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</w:rPr>
      </w:pPr>
      <w:r w:rsidRPr="002F6DEC">
        <w:rPr>
          <w:noProof/>
          <w:color w:val="000000"/>
          <w:szCs w:val="24"/>
        </w:rPr>
        <w:lastRenderedPageBreak/>
        <w:drawing>
          <wp:inline distT="0" distB="0" distL="0" distR="0" wp14:anchorId="4894D28A" wp14:editId="0CBC22F7">
            <wp:extent cx="5211683" cy="2525335"/>
            <wp:effectExtent l="0" t="0" r="0" b="2540"/>
            <wp:docPr id="1473014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014688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683" cy="252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B2A76" w14:textId="4ED40F85" w:rsidR="00130169" w:rsidRPr="00D54FBD" w:rsidRDefault="00130169" w:rsidP="00130169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color w:val="000000"/>
          <w:szCs w:val="24"/>
          <w:lang w:val="en-US"/>
        </w:rPr>
      </w:pPr>
      <w:r>
        <w:rPr>
          <w:b/>
          <w:color w:val="000000"/>
          <w:szCs w:val="24"/>
        </w:rPr>
        <w:t>Fig. S</w:t>
      </w:r>
      <w:r w:rsidR="00FE0D70">
        <w:rPr>
          <w:b/>
          <w:color w:val="000000"/>
          <w:szCs w:val="24"/>
        </w:rPr>
        <w:t>2</w:t>
      </w:r>
      <w:r w:rsidR="00670846" w:rsidRPr="00611AD4">
        <w:rPr>
          <w:b/>
          <w:bCs/>
          <w:color w:val="000000"/>
        </w:rPr>
        <w:t xml:space="preserve"> </w:t>
      </w:r>
      <w:r w:rsidR="00670846" w:rsidRPr="00611AD4">
        <w:rPr>
          <w:b/>
          <w:bCs/>
        </w:rPr>
        <w:t>|</w:t>
      </w:r>
      <w:r>
        <w:rPr>
          <w:b/>
          <w:color w:val="000000"/>
          <w:szCs w:val="24"/>
        </w:rPr>
        <w:t xml:space="preserve"> </w:t>
      </w:r>
      <w:r w:rsidR="000E73BD" w:rsidRPr="000E73BD">
        <w:rPr>
          <w:b/>
          <w:color w:val="000000"/>
          <w:szCs w:val="24"/>
        </w:rPr>
        <w:t xml:space="preserve">Comparison of </w:t>
      </w:r>
      <w:r w:rsidR="000E73BD">
        <w:rPr>
          <w:rFonts w:eastAsia="Times New Roman"/>
          <w:b/>
          <w:bCs/>
          <w:color w:val="000000"/>
        </w:rPr>
        <w:t>s</w:t>
      </w:r>
      <w:r w:rsidR="006D572A" w:rsidRPr="006D572A">
        <w:rPr>
          <w:rFonts w:eastAsia="Times New Roman"/>
          <w:b/>
          <w:bCs/>
          <w:color w:val="000000"/>
        </w:rPr>
        <w:t xml:space="preserve">pread-skill </w:t>
      </w:r>
      <w:r w:rsidR="000E73BD">
        <w:rPr>
          <w:rFonts w:eastAsia="Times New Roman"/>
          <w:b/>
          <w:bCs/>
          <w:color w:val="000000"/>
        </w:rPr>
        <w:t>relationships.</w:t>
      </w:r>
      <w:r w:rsidR="006D572A">
        <w:rPr>
          <w:rFonts w:eastAsia="Times New Roman"/>
          <w:b/>
          <w:bCs/>
          <w:color w:val="000000"/>
        </w:rPr>
        <w:t xml:space="preserve"> </w:t>
      </w:r>
      <w:r w:rsidR="000E73BD" w:rsidRPr="00DA6764">
        <w:rPr>
          <w:rFonts w:eastAsia="Times New Roman"/>
          <w:color w:val="000000"/>
        </w:rPr>
        <w:t xml:space="preserve">Spread–skill relationship </w:t>
      </w:r>
      <w:r w:rsidR="006D572A" w:rsidRPr="000E73BD">
        <w:rPr>
          <w:rFonts w:eastAsia="Times New Roman"/>
          <w:color w:val="000000"/>
        </w:rPr>
        <w:t xml:space="preserve">at </w:t>
      </w:r>
      <w:r w:rsidR="000E73BD" w:rsidRPr="000E73BD">
        <w:rPr>
          <w:rFonts w:eastAsia="Times New Roman"/>
          <w:b/>
          <w:bCs/>
          <w:color w:val="000000"/>
        </w:rPr>
        <w:t>a</w:t>
      </w:r>
      <w:r w:rsidR="000E73BD">
        <w:rPr>
          <w:rFonts w:eastAsia="Times New Roman"/>
          <w:color w:val="000000"/>
        </w:rPr>
        <w:t xml:space="preserve"> </w:t>
      </w:r>
      <w:r w:rsidR="000B4AC5">
        <w:rPr>
          <w:rFonts w:eastAsia="Times New Roman"/>
          <w:color w:val="000000"/>
        </w:rPr>
        <w:t>4</w:t>
      </w:r>
      <w:r w:rsidR="006D572A" w:rsidRPr="000E73BD">
        <w:rPr>
          <w:rFonts w:eastAsia="Times New Roman"/>
          <w:color w:val="000000"/>
        </w:rPr>
        <w:t>-day and</w:t>
      </w:r>
      <w:r w:rsidR="000E73BD">
        <w:rPr>
          <w:rFonts w:eastAsia="Times New Roman"/>
          <w:color w:val="000000"/>
        </w:rPr>
        <w:t xml:space="preserve"> </w:t>
      </w:r>
      <w:r w:rsidR="000E73BD" w:rsidRPr="000E73BD">
        <w:rPr>
          <w:rFonts w:eastAsia="Times New Roman"/>
          <w:b/>
          <w:bCs/>
          <w:color w:val="000000"/>
        </w:rPr>
        <w:t>b</w:t>
      </w:r>
      <w:r w:rsidR="006D572A" w:rsidRPr="000E73BD">
        <w:rPr>
          <w:rFonts w:eastAsia="Times New Roman"/>
          <w:color w:val="000000"/>
        </w:rPr>
        <w:t xml:space="preserve"> 6-day lead times</w:t>
      </w:r>
      <w:r w:rsidR="006E4F32" w:rsidRPr="000E73BD">
        <w:rPr>
          <w:rFonts w:hint="eastAsia"/>
          <w:color w:val="000000"/>
          <w:szCs w:val="24"/>
        </w:rPr>
        <w:t>.</w:t>
      </w:r>
      <w:r w:rsidRPr="000E73BD">
        <w:rPr>
          <w:color w:val="000000"/>
          <w:szCs w:val="24"/>
        </w:rPr>
        <w:t xml:space="preserve"> </w:t>
      </w:r>
      <w:r w:rsidR="006D572A">
        <w:rPr>
          <w:rFonts w:eastAsia="Times New Roman"/>
          <w:color w:val="000000"/>
        </w:rPr>
        <w:t>The dashed diagonal represents the</w:t>
      </w:r>
      <w:r w:rsidR="000E73BD">
        <w:rPr>
          <w:rFonts w:eastAsia="Times New Roman"/>
          <w:color w:val="000000"/>
        </w:rPr>
        <w:t xml:space="preserve"> ideal</w:t>
      </w:r>
      <w:r w:rsidR="006D572A">
        <w:rPr>
          <w:rFonts w:eastAsia="Times New Roman"/>
          <w:color w:val="000000"/>
        </w:rPr>
        <w:t xml:space="preserve"> 1</w:t>
      </w:r>
      <w:r w:rsidR="000E73BD">
        <w:rPr>
          <w:rFonts w:eastAsia="Times New Roman"/>
          <w:color w:val="000000"/>
        </w:rPr>
        <w:t>:</w:t>
      </w:r>
      <w:r w:rsidR="006D572A">
        <w:rPr>
          <w:rFonts w:eastAsia="Times New Roman"/>
          <w:color w:val="000000"/>
        </w:rPr>
        <w:t xml:space="preserve">1 </w:t>
      </w:r>
      <w:r w:rsidR="000E73BD">
        <w:rPr>
          <w:rFonts w:eastAsia="Times New Roman"/>
          <w:color w:val="000000"/>
        </w:rPr>
        <w:t>calibration</w:t>
      </w:r>
      <w:r w:rsidR="00E811EB">
        <w:rPr>
          <w:rFonts w:hint="eastAsia"/>
          <w:color w:val="000000"/>
          <w:szCs w:val="24"/>
        </w:rPr>
        <w:t>.</w:t>
      </w:r>
      <w:r w:rsidR="006D572A">
        <w:rPr>
          <w:color w:val="000000"/>
          <w:szCs w:val="24"/>
        </w:rPr>
        <w:t xml:space="preserve"> </w:t>
      </w:r>
      <w:r w:rsidR="00611DD0" w:rsidRPr="00611DD0">
        <w:rPr>
          <w:rFonts w:eastAsia="Times New Roman"/>
          <w:bCs/>
          <w:color w:val="000000"/>
        </w:rPr>
        <w:t>Results are shown for WAI-LE (solid red line), GAI-LE (solid yellow line), ECMWF EPS (dashed blue line), and West-WRF (dashed green line).</w:t>
      </w:r>
      <w:r w:rsidR="00FA1A72">
        <w:rPr>
          <w:rFonts w:eastAsia="Times New Roman"/>
          <w:bCs/>
          <w:color w:val="000000"/>
        </w:rPr>
        <w:t xml:space="preserve"> </w:t>
      </w:r>
    </w:p>
    <w:p w14:paraId="6751A6EE" w14:textId="77777777" w:rsidR="00A24E88" w:rsidRDefault="00A24E88" w:rsidP="000723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4DC98CD2" w14:textId="4A790715" w:rsidR="00D70A01" w:rsidRDefault="00D70A01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14:paraId="029E7E73" w14:textId="290302E6" w:rsidR="007D4950" w:rsidRDefault="002E1F50" w:rsidP="003445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</w:rPr>
      </w:pPr>
      <w:r w:rsidRPr="002E1F50">
        <w:rPr>
          <w:noProof/>
          <w:color w:val="000000"/>
          <w:szCs w:val="24"/>
        </w:rPr>
        <w:lastRenderedPageBreak/>
        <w:drawing>
          <wp:inline distT="0" distB="0" distL="0" distR="0" wp14:anchorId="7392F570" wp14:editId="62C36A1F">
            <wp:extent cx="5943600" cy="2303780"/>
            <wp:effectExtent l="0" t="0" r="0" b="0"/>
            <wp:docPr id="1605645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459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5B901" w14:textId="352ED06C" w:rsidR="007D4950" w:rsidRDefault="007D4950" w:rsidP="007D495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Fig. S</w:t>
      </w:r>
      <w:r w:rsidR="00FE0D70">
        <w:rPr>
          <w:b/>
          <w:color w:val="000000"/>
          <w:szCs w:val="24"/>
        </w:rPr>
        <w:t>3</w:t>
      </w:r>
      <w:r w:rsidR="00670846" w:rsidRPr="00611AD4">
        <w:rPr>
          <w:b/>
          <w:bCs/>
          <w:color w:val="000000"/>
        </w:rPr>
        <w:t xml:space="preserve"> </w:t>
      </w:r>
      <w:r w:rsidR="00670846" w:rsidRPr="00611AD4">
        <w:rPr>
          <w:b/>
          <w:bCs/>
        </w:rPr>
        <w:t>|</w:t>
      </w:r>
      <w:r>
        <w:rPr>
          <w:b/>
          <w:color w:val="000000"/>
          <w:szCs w:val="24"/>
        </w:rPr>
        <w:t xml:space="preserve"> </w:t>
      </w:r>
      <w:r w:rsidR="007510DB" w:rsidRPr="007510DB">
        <w:rPr>
          <w:b/>
          <w:color w:val="000000"/>
          <w:szCs w:val="24"/>
        </w:rPr>
        <w:t xml:space="preserve">Comparison of </w:t>
      </w:r>
      <w:r w:rsidR="007510DB">
        <w:rPr>
          <w:b/>
          <w:color w:val="000000"/>
          <w:szCs w:val="24"/>
        </w:rPr>
        <w:t>r</w:t>
      </w:r>
      <w:r w:rsidR="0001403C">
        <w:rPr>
          <w:b/>
          <w:color w:val="000000"/>
          <w:szCs w:val="24"/>
        </w:rPr>
        <w:t>eliability diagrams</w:t>
      </w:r>
      <w:r>
        <w:rPr>
          <w:b/>
          <w:color w:val="000000"/>
          <w:szCs w:val="24"/>
        </w:rPr>
        <w:t>.</w:t>
      </w:r>
      <w:r w:rsidR="0001403C">
        <w:rPr>
          <w:b/>
          <w:color w:val="000000"/>
          <w:szCs w:val="24"/>
        </w:rPr>
        <w:t xml:space="preserve"> </w:t>
      </w:r>
      <w:r w:rsidR="007510DB" w:rsidRPr="007510DB">
        <w:rPr>
          <w:bCs/>
          <w:color w:val="000000"/>
          <w:szCs w:val="24"/>
        </w:rPr>
        <w:t>Reliability diagrams</w:t>
      </w:r>
      <w:r w:rsidR="007510DB">
        <w:rPr>
          <w:rFonts w:eastAsia="Times New Roman"/>
          <w:color w:val="000000"/>
        </w:rPr>
        <w:t xml:space="preserve"> at 2-day, 4-day, and 6-day lead times.</w:t>
      </w:r>
      <w:r w:rsidR="007510DB" w:rsidRPr="007510DB">
        <w:rPr>
          <w:rFonts w:eastAsia="Times New Roman"/>
          <w:color w:val="000000"/>
        </w:rPr>
        <w:t xml:space="preserve"> </w:t>
      </w:r>
      <w:r w:rsidR="00611DD0" w:rsidRPr="00611DD0">
        <w:rPr>
          <w:rFonts w:eastAsia="Times New Roman"/>
          <w:bCs/>
          <w:color w:val="000000"/>
        </w:rPr>
        <w:t>Results are shown for WAI-LE (solid red line), GAI-LE (solid yellow line), ECMWF EPS (dashed blue line), and West-WRF (dashed green line)</w:t>
      </w:r>
      <w:r w:rsidR="0001403C">
        <w:rPr>
          <w:rFonts w:eastAsia="Times New Roman"/>
          <w:color w:val="000000"/>
        </w:rPr>
        <w:t>.</w:t>
      </w:r>
    </w:p>
    <w:p w14:paraId="7952A9CE" w14:textId="77777777" w:rsidR="007D4950" w:rsidRDefault="007D4950" w:rsidP="0007239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</w:p>
    <w:p w14:paraId="09EA48F0" w14:textId="54875B97" w:rsidR="00D70A01" w:rsidRPr="00D66CEF" w:rsidRDefault="00D70A01" w:rsidP="00D66CEF">
      <w:pPr>
        <w:rPr>
          <w:color w:val="000000"/>
          <w:szCs w:val="24"/>
        </w:rPr>
      </w:pPr>
    </w:p>
    <w:p w14:paraId="4DBCA52F" w14:textId="0E560AAF" w:rsidR="00D70A01" w:rsidRDefault="00D70A01">
      <w:pPr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14:paraId="30598C5B" w14:textId="77777777" w:rsidR="008B4B6E" w:rsidRDefault="008B4B6E" w:rsidP="008B4B6E">
      <w:pPr>
        <w:spacing w:before="120"/>
        <w:jc w:val="center"/>
      </w:pPr>
      <w:r w:rsidRPr="000B4965">
        <w:rPr>
          <w:noProof/>
        </w:rPr>
        <w:lastRenderedPageBreak/>
        <w:drawing>
          <wp:inline distT="0" distB="0" distL="0" distR="0" wp14:anchorId="66A81AD5" wp14:editId="5A1A411B">
            <wp:extent cx="3657600" cy="4286739"/>
            <wp:effectExtent l="0" t="0" r="0" b="6350"/>
            <wp:docPr id="2142231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318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28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A4A0F" w14:textId="573DF923" w:rsidR="008B4B6E" w:rsidRDefault="008B4B6E" w:rsidP="008B4B6E">
      <w:pPr>
        <w:spacing w:before="120"/>
        <w:jc w:val="both"/>
        <w:rPr>
          <w:color w:val="000000"/>
          <w:lang w:val="en-US"/>
        </w:rPr>
      </w:pPr>
      <w:r>
        <w:rPr>
          <w:b/>
          <w:color w:val="000000"/>
          <w:szCs w:val="24"/>
        </w:rPr>
        <w:t>Fig. S4</w:t>
      </w:r>
      <w:r w:rsidR="00670846" w:rsidRPr="00611AD4">
        <w:rPr>
          <w:b/>
          <w:bCs/>
          <w:color w:val="000000"/>
        </w:rPr>
        <w:t xml:space="preserve"> </w:t>
      </w:r>
      <w:r w:rsidR="00670846" w:rsidRPr="00611AD4">
        <w:rPr>
          <w:b/>
          <w:bCs/>
        </w:rPr>
        <w:t>|</w:t>
      </w:r>
      <w:r w:rsidR="00670846">
        <w:rPr>
          <w:b/>
          <w:color w:val="000000"/>
        </w:rPr>
        <w:t xml:space="preserve"> </w:t>
      </w:r>
      <w:r>
        <w:rPr>
          <w:b/>
          <w:color w:val="000000"/>
          <w:szCs w:val="24"/>
        </w:rPr>
        <w:t xml:space="preserve">Differences in extreme precipitation statistics between reanalysis data and observations. </w:t>
      </w:r>
      <w:r>
        <w:t xml:space="preserve">Differences in </w:t>
      </w:r>
      <w:r w:rsidRPr="00352517">
        <w:rPr>
          <w:b/>
          <w:bCs/>
        </w:rPr>
        <w:t>a</w:t>
      </w:r>
      <w:r>
        <w:t xml:space="preserve"> the 95th percentile (mm) and </w:t>
      </w:r>
      <w:r w:rsidRPr="00352517">
        <w:rPr>
          <w:b/>
          <w:bCs/>
        </w:rPr>
        <w:t>b</w:t>
      </w:r>
      <w:r>
        <w:t xml:space="preserve"> the frequency of precipitation exceeding 50 mm (%) between the </w:t>
      </w:r>
      <w:r w:rsidRPr="00352517">
        <w:rPr>
          <w:color w:val="000000"/>
          <w:lang w:val="en-US"/>
        </w:rPr>
        <w:t>CW3E 6-km</w:t>
      </w:r>
      <w:r>
        <w:rPr>
          <w:color w:val="000000"/>
          <w:lang w:val="en-US"/>
        </w:rPr>
        <w:t xml:space="preserve"> regional</w:t>
      </w:r>
      <w:r w:rsidRPr="00352517">
        <w:rPr>
          <w:color w:val="000000"/>
          <w:lang w:val="en-US"/>
        </w:rPr>
        <w:t xml:space="preserve"> reanalysis</w:t>
      </w:r>
      <w:r>
        <w:t xml:space="preserve"> and PRISM during winters (December</w:t>
      </w:r>
      <w:r>
        <w:rPr>
          <w:color w:val="000000"/>
        </w:rPr>
        <w:t>–</w:t>
      </w:r>
      <w:r>
        <w:t xml:space="preserve">February) from </w:t>
      </w:r>
      <w:r w:rsidRPr="00C3042C">
        <w:rPr>
          <w:color w:val="000000"/>
          <w:lang w:val="en-US"/>
        </w:rPr>
        <w:t>2012</w:t>
      </w:r>
      <w:r>
        <w:rPr>
          <w:color w:val="000000"/>
        </w:rPr>
        <w:t>–</w:t>
      </w:r>
      <w:r w:rsidRPr="00C3042C">
        <w:rPr>
          <w:color w:val="000000"/>
          <w:lang w:val="en-US"/>
        </w:rPr>
        <w:t>13</w:t>
      </w:r>
      <w:r>
        <w:rPr>
          <w:color w:val="000000"/>
          <w:lang w:val="en-US"/>
        </w:rPr>
        <w:t xml:space="preserve"> to </w:t>
      </w:r>
      <w:r w:rsidRPr="00C3042C">
        <w:rPr>
          <w:color w:val="000000"/>
          <w:lang w:val="en-US"/>
        </w:rPr>
        <w:t>2022</w:t>
      </w:r>
      <w:r>
        <w:rPr>
          <w:color w:val="000000"/>
        </w:rPr>
        <w:t>–</w:t>
      </w:r>
      <w:r w:rsidRPr="00C3042C">
        <w:rPr>
          <w:color w:val="000000"/>
          <w:lang w:val="en-US"/>
        </w:rPr>
        <w:t>23</w:t>
      </w:r>
      <w:r>
        <w:rPr>
          <w:color w:val="000000"/>
          <w:lang w:val="en-US"/>
        </w:rPr>
        <w:t xml:space="preserve">. </w:t>
      </w:r>
      <w:r w:rsidRPr="003B238B">
        <w:rPr>
          <w:b/>
          <w:bCs/>
          <w:color w:val="000000"/>
          <w:lang w:val="en-US"/>
        </w:rPr>
        <w:t>c, d</w:t>
      </w:r>
      <w:r>
        <w:rPr>
          <w:color w:val="000000"/>
          <w:lang w:val="en-US"/>
        </w:rPr>
        <w:t xml:space="preserve"> As in a and b, but between ERA5 and PRISM.</w:t>
      </w:r>
    </w:p>
    <w:p w14:paraId="1914C3AF" w14:textId="46D29BE7" w:rsidR="008B4B6E" w:rsidRDefault="008B4B6E">
      <w:pPr>
        <w:rPr>
          <w:rFonts w:ascii="SimSun" w:hAnsi="SimSun" w:cs="SimSun"/>
          <w:b/>
          <w:szCs w:val="24"/>
          <w:lang w:val="en-US"/>
        </w:rPr>
      </w:pPr>
      <w:r>
        <w:rPr>
          <w:rFonts w:ascii="SimSun" w:hAnsi="SimSun" w:cs="SimSun"/>
          <w:b/>
          <w:szCs w:val="24"/>
          <w:lang w:val="en-US"/>
        </w:rPr>
        <w:br w:type="page"/>
      </w:r>
    </w:p>
    <w:p w14:paraId="77B0824C" w14:textId="4E7C0B44" w:rsidR="00EC5E8D" w:rsidRDefault="00EC5E8D">
      <w:pPr>
        <w:spacing w:before="280" w:after="280"/>
        <w:jc w:val="center"/>
        <w:rPr>
          <w:rFonts w:ascii="SimSun" w:hAnsi="SimSun" w:cs="SimSun"/>
          <w:b/>
          <w:szCs w:val="24"/>
        </w:rPr>
      </w:pPr>
      <w:r w:rsidRPr="00EC5E8D">
        <w:rPr>
          <w:rFonts w:ascii="SimSun" w:hAnsi="SimSun" w:cs="SimSun"/>
          <w:b/>
          <w:noProof/>
          <w:szCs w:val="24"/>
        </w:rPr>
        <w:lastRenderedPageBreak/>
        <w:drawing>
          <wp:inline distT="0" distB="0" distL="0" distR="0" wp14:anchorId="07C9037A" wp14:editId="1C5F9D96">
            <wp:extent cx="4114788" cy="5253844"/>
            <wp:effectExtent l="0" t="0" r="635" b="4445"/>
            <wp:docPr id="2015903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03479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788" cy="525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9D4D" w14:textId="63120C80" w:rsidR="00EC5E8D" w:rsidRPr="00EC5E8D" w:rsidRDefault="00EC5E8D" w:rsidP="00EC5E8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Cs/>
          <w:color w:val="000000"/>
          <w:szCs w:val="24"/>
          <w:lang w:val="en-US"/>
        </w:rPr>
      </w:pPr>
      <w:r>
        <w:rPr>
          <w:b/>
          <w:color w:val="000000"/>
          <w:szCs w:val="24"/>
        </w:rPr>
        <w:t>Fig. S5</w:t>
      </w:r>
      <w:r w:rsidR="00670846" w:rsidRPr="00611AD4">
        <w:rPr>
          <w:b/>
          <w:bCs/>
          <w:color w:val="000000"/>
        </w:rPr>
        <w:t xml:space="preserve"> </w:t>
      </w:r>
      <w:r w:rsidR="00670846" w:rsidRPr="00611AD4">
        <w:rPr>
          <w:b/>
          <w:bCs/>
        </w:rPr>
        <w:t>|</w:t>
      </w:r>
      <w:r w:rsidR="00670846">
        <w:rPr>
          <w:b/>
          <w:color w:val="000000"/>
        </w:rPr>
        <w:t xml:space="preserve"> </w:t>
      </w:r>
      <w:r w:rsidR="00D24628" w:rsidRPr="00A52523">
        <w:rPr>
          <w:rFonts w:eastAsia="Times New Roman"/>
          <w:b/>
          <w:color w:val="000000"/>
        </w:rPr>
        <w:t xml:space="preserve">Comparison of observed precipitation and </w:t>
      </w:r>
      <w:r w:rsidR="00EC07B1" w:rsidRPr="00D24628">
        <w:rPr>
          <w:rFonts w:eastAsia="Times New Roman"/>
          <w:b/>
          <w:color w:val="000000"/>
        </w:rPr>
        <w:t xml:space="preserve">optimized </w:t>
      </w:r>
      <w:r w:rsidR="00EC07B1">
        <w:rPr>
          <w:rFonts w:eastAsia="Times New Roman"/>
          <w:b/>
          <w:color w:val="000000"/>
        </w:rPr>
        <w:t xml:space="preserve">AI </w:t>
      </w:r>
      <w:r w:rsidR="00D24628" w:rsidRPr="00A52523">
        <w:rPr>
          <w:rFonts w:eastAsia="Times New Roman"/>
          <w:b/>
          <w:color w:val="000000"/>
        </w:rPr>
        <w:t xml:space="preserve">precipitation </w:t>
      </w:r>
      <w:r w:rsidR="00EC07B1" w:rsidRPr="00A52523">
        <w:rPr>
          <w:rFonts w:eastAsia="Times New Roman"/>
          <w:b/>
          <w:color w:val="000000"/>
        </w:rPr>
        <w:t>forecast</w:t>
      </w:r>
      <w:r w:rsidR="00EC07B1">
        <w:rPr>
          <w:rFonts w:eastAsia="Times New Roman"/>
          <w:b/>
          <w:color w:val="000000"/>
        </w:rPr>
        <w:t>s</w:t>
      </w:r>
      <w:r w:rsidR="00EC07B1" w:rsidRPr="00A52523">
        <w:rPr>
          <w:rFonts w:eastAsia="Times New Roman"/>
          <w:b/>
          <w:color w:val="000000"/>
        </w:rPr>
        <w:t xml:space="preserve"> </w:t>
      </w:r>
      <w:r w:rsidR="00D24628" w:rsidRPr="00A52523">
        <w:rPr>
          <w:rFonts w:eastAsia="Times New Roman"/>
          <w:b/>
          <w:color w:val="000000"/>
        </w:rPr>
        <w:t xml:space="preserve">for </w:t>
      </w:r>
      <w:r w:rsidR="00D24628">
        <w:rPr>
          <w:rFonts w:eastAsia="Times New Roman"/>
          <w:b/>
          <w:color w:val="000000"/>
          <w:lang w:val="en-US"/>
        </w:rPr>
        <w:t>extreme events</w:t>
      </w:r>
      <w:r>
        <w:rPr>
          <w:b/>
          <w:color w:val="000000"/>
          <w:szCs w:val="24"/>
        </w:rPr>
        <w:t>.</w:t>
      </w:r>
      <w:r w:rsidR="00ED71D1">
        <w:rPr>
          <w:b/>
          <w:color w:val="000000"/>
          <w:szCs w:val="24"/>
        </w:rPr>
        <w:t xml:space="preserve"> </w:t>
      </w:r>
      <w:r w:rsidR="00ED71D1" w:rsidRPr="00ED71D1">
        <w:rPr>
          <w:bCs/>
          <w:color w:val="000000"/>
          <w:szCs w:val="24"/>
        </w:rPr>
        <w:t>As</w:t>
      </w:r>
      <w:r w:rsidR="00ED71D1" w:rsidRPr="00ED71D1">
        <w:rPr>
          <w:rFonts w:eastAsia="Times New Roman"/>
          <w:bCs/>
          <w:color w:val="000000"/>
        </w:rPr>
        <w:t xml:space="preserve"> in </w:t>
      </w:r>
      <w:r w:rsidR="00ED71D1">
        <w:rPr>
          <w:rFonts w:eastAsia="Times New Roman"/>
          <w:bCs/>
          <w:color w:val="000000"/>
        </w:rPr>
        <w:t xml:space="preserve">Fig. 7 in the main manuscript, but for </w:t>
      </w:r>
      <w:r w:rsidR="00EC07B1">
        <w:rPr>
          <w:rFonts w:eastAsia="Times New Roman"/>
          <w:bCs/>
          <w:color w:val="000000"/>
        </w:rPr>
        <w:t xml:space="preserve">AI-based ensembles </w:t>
      </w:r>
      <w:r w:rsidR="00EC07B1" w:rsidRPr="00EC07B1">
        <w:rPr>
          <w:rFonts w:eastAsia="Times New Roman"/>
          <w:bCs/>
          <w:color w:val="000000"/>
        </w:rPr>
        <w:t>optimized by either distribution adjustment or hierarchical modeling</w:t>
      </w:r>
      <w:r w:rsidR="00EC07B1">
        <w:rPr>
          <w:rFonts w:eastAsia="Times New Roman"/>
          <w:bCs/>
          <w:color w:val="000000"/>
        </w:rPr>
        <w:t>.</w:t>
      </w:r>
    </w:p>
    <w:p w14:paraId="04314783" w14:textId="2C50C007" w:rsidR="00997A78" w:rsidRDefault="00997A78">
      <w:pPr>
        <w:rPr>
          <w:rFonts w:ascii="SimSun" w:hAnsi="SimSun" w:cs="SimSun"/>
          <w:b/>
          <w:szCs w:val="24"/>
        </w:rPr>
      </w:pPr>
      <w:r>
        <w:rPr>
          <w:rFonts w:ascii="SimSun" w:hAnsi="SimSun" w:cs="SimSun"/>
          <w:b/>
          <w:szCs w:val="24"/>
        </w:rPr>
        <w:br w:type="page"/>
      </w:r>
    </w:p>
    <w:p w14:paraId="55D6D1B1" w14:textId="3C9D9386" w:rsidR="0000560E" w:rsidRPr="0000560E" w:rsidRDefault="00610328">
      <w:pPr>
        <w:spacing w:before="280" w:after="280"/>
        <w:jc w:val="center"/>
        <w:rPr>
          <w:rFonts w:ascii="SimSun" w:hAnsi="SimSun" w:cs="SimSun"/>
          <w:b/>
          <w:szCs w:val="24"/>
        </w:rPr>
      </w:pPr>
      <w:r w:rsidRPr="00610328">
        <w:rPr>
          <w:rFonts w:ascii="SimSun" w:hAnsi="SimSun" w:cs="SimSun"/>
          <w:b/>
          <w:noProof/>
          <w:szCs w:val="24"/>
        </w:rPr>
        <w:lastRenderedPageBreak/>
        <w:drawing>
          <wp:inline distT="0" distB="0" distL="0" distR="0" wp14:anchorId="6754DF28" wp14:editId="65B16DB7">
            <wp:extent cx="5943600" cy="4730620"/>
            <wp:effectExtent l="0" t="0" r="0" b="0"/>
            <wp:docPr id="1788797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797263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9DBE" w14:textId="5F045B1D" w:rsidR="008C4E30" w:rsidRDefault="00D1030E" w:rsidP="008C4E3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Cs/>
          <w:color w:val="000000"/>
          <w:szCs w:val="24"/>
          <w:lang w:val="en-US"/>
        </w:rPr>
      </w:pPr>
      <w:r>
        <w:rPr>
          <w:b/>
          <w:color w:val="000000"/>
          <w:szCs w:val="24"/>
        </w:rPr>
        <w:t>Fig. S</w:t>
      </w:r>
      <w:r w:rsidR="003F1DF9">
        <w:rPr>
          <w:b/>
          <w:color w:val="000000"/>
          <w:szCs w:val="24"/>
        </w:rPr>
        <w:t>6</w:t>
      </w:r>
      <w:r w:rsidR="00670846" w:rsidRPr="00611AD4">
        <w:rPr>
          <w:b/>
          <w:bCs/>
          <w:color w:val="000000"/>
        </w:rPr>
        <w:t xml:space="preserve"> </w:t>
      </w:r>
      <w:r w:rsidR="00670846" w:rsidRPr="00611AD4">
        <w:rPr>
          <w:b/>
          <w:bCs/>
        </w:rPr>
        <w:t>|</w:t>
      </w:r>
      <w:r w:rsidR="00670846">
        <w:rPr>
          <w:b/>
          <w:color w:val="000000"/>
        </w:rPr>
        <w:t xml:space="preserve"> </w:t>
      </w:r>
      <w:r w:rsidR="005D4B08">
        <w:rPr>
          <w:b/>
          <w:color w:val="000000"/>
          <w:szCs w:val="24"/>
        </w:rPr>
        <w:t>Average f</w:t>
      </w:r>
      <w:r w:rsidR="005D4B08" w:rsidRPr="00B42286">
        <w:rPr>
          <w:b/>
          <w:color w:val="000000"/>
          <w:szCs w:val="24"/>
        </w:rPr>
        <w:t>orecast skills for extreme</w:t>
      </w:r>
      <w:r w:rsidR="00310471">
        <w:rPr>
          <w:b/>
          <w:color w:val="000000"/>
          <w:szCs w:val="24"/>
        </w:rPr>
        <w:t xml:space="preserve"> events</w:t>
      </w:r>
      <w:r w:rsidR="005D4B08">
        <w:rPr>
          <w:b/>
          <w:color w:val="000000"/>
          <w:szCs w:val="24"/>
        </w:rPr>
        <w:t xml:space="preserve">. </w:t>
      </w:r>
      <w:r w:rsidR="005D4B08" w:rsidRPr="00B42286">
        <w:rPr>
          <w:b/>
          <w:color w:val="000000"/>
          <w:szCs w:val="24"/>
        </w:rPr>
        <w:t>a</w:t>
      </w:r>
      <w:r w:rsidR="005D4B08" w:rsidRPr="00B42286">
        <w:rPr>
          <w:bCs/>
          <w:color w:val="000000"/>
          <w:szCs w:val="24"/>
        </w:rPr>
        <w:t xml:space="preserve"> Root mean square error (RMSE, mm)</w:t>
      </w:r>
      <w:r w:rsidR="005D4B08">
        <w:rPr>
          <w:bCs/>
          <w:color w:val="000000"/>
          <w:szCs w:val="24"/>
        </w:rPr>
        <w:t xml:space="preserve"> for </w:t>
      </w:r>
      <w:r w:rsidR="00A63610">
        <w:rPr>
          <w:bCs/>
          <w:color w:val="000000"/>
          <w:szCs w:val="24"/>
        </w:rPr>
        <w:t xml:space="preserve">the </w:t>
      </w:r>
      <w:r w:rsidR="005D4B08">
        <w:rPr>
          <w:bCs/>
          <w:color w:val="000000"/>
          <w:szCs w:val="24"/>
        </w:rPr>
        <w:t>ensemble mean</w:t>
      </w:r>
      <w:r w:rsidR="00F27D52">
        <w:rPr>
          <w:bCs/>
          <w:color w:val="000000"/>
          <w:szCs w:val="24"/>
        </w:rPr>
        <w:t>s</w:t>
      </w:r>
      <w:r w:rsidR="005D4B08">
        <w:rPr>
          <w:bCs/>
          <w:color w:val="000000"/>
          <w:szCs w:val="24"/>
        </w:rPr>
        <w:t>,</w:t>
      </w:r>
      <w:r w:rsidR="005D4B08" w:rsidRPr="00B42286">
        <w:rPr>
          <w:bCs/>
          <w:color w:val="000000"/>
          <w:szCs w:val="24"/>
        </w:rPr>
        <w:t xml:space="preserve"> </w:t>
      </w:r>
      <w:r w:rsidR="005D4B08" w:rsidRPr="00B42286">
        <w:rPr>
          <w:b/>
          <w:color w:val="000000"/>
          <w:szCs w:val="24"/>
        </w:rPr>
        <w:t>b</w:t>
      </w:r>
      <w:r w:rsidR="005D4B08" w:rsidRPr="00B42286">
        <w:rPr>
          <w:bCs/>
          <w:color w:val="000000"/>
          <w:szCs w:val="24"/>
        </w:rPr>
        <w:t xml:space="preserve"> equitable threat score (ETS) </w:t>
      </w:r>
      <w:r w:rsidR="00310471">
        <w:rPr>
          <w:bCs/>
          <w:color w:val="000000"/>
          <w:szCs w:val="24"/>
        </w:rPr>
        <w:t>for</w:t>
      </w:r>
      <w:r w:rsidR="005D4B08" w:rsidRPr="00B42286">
        <w:rPr>
          <w:bCs/>
          <w:color w:val="000000"/>
          <w:szCs w:val="24"/>
        </w:rPr>
        <w:t xml:space="preserve"> a 50-mm threshold</w:t>
      </w:r>
      <w:r w:rsidR="005D4B08">
        <w:rPr>
          <w:bCs/>
          <w:color w:val="000000"/>
          <w:szCs w:val="24"/>
        </w:rPr>
        <w:t xml:space="preserve"> for </w:t>
      </w:r>
      <w:r w:rsidR="00A63610">
        <w:rPr>
          <w:bCs/>
          <w:color w:val="000000"/>
          <w:szCs w:val="24"/>
        </w:rPr>
        <w:t xml:space="preserve">the </w:t>
      </w:r>
      <w:r w:rsidR="005D4B08">
        <w:rPr>
          <w:bCs/>
          <w:color w:val="000000"/>
          <w:szCs w:val="24"/>
        </w:rPr>
        <w:t>ensemble mean</w:t>
      </w:r>
      <w:r w:rsidR="00F27D52">
        <w:rPr>
          <w:bCs/>
          <w:color w:val="000000"/>
          <w:szCs w:val="24"/>
        </w:rPr>
        <w:t>s</w:t>
      </w:r>
      <w:r w:rsidR="005D4B08">
        <w:rPr>
          <w:bCs/>
          <w:color w:val="000000"/>
          <w:szCs w:val="24"/>
        </w:rPr>
        <w:t xml:space="preserve">, </w:t>
      </w:r>
      <w:r w:rsidR="005D4B08" w:rsidRPr="00E27E16">
        <w:rPr>
          <w:b/>
          <w:color w:val="000000"/>
          <w:szCs w:val="24"/>
        </w:rPr>
        <w:t>c</w:t>
      </w:r>
      <w:r w:rsidR="005D4B08">
        <w:rPr>
          <w:bCs/>
          <w:color w:val="000000"/>
          <w:szCs w:val="24"/>
        </w:rPr>
        <w:t xml:space="preserve"> </w:t>
      </w:r>
      <w:r w:rsidR="005D4B08" w:rsidRPr="00B42286">
        <w:rPr>
          <w:bCs/>
          <w:color w:val="000000"/>
          <w:szCs w:val="24"/>
        </w:rPr>
        <w:t>continuous ranked probabilistic score (CRP</w:t>
      </w:r>
      <w:r w:rsidR="005D4B08">
        <w:rPr>
          <w:bCs/>
          <w:color w:val="000000"/>
          <w:szCs w:val="24"/>
          <w:lang w:val="en-US"/>
        </w:rPr>
        <w:t>S, mm</w:t>
      </w:r>
      <w:r w:rsidR="005D4B08" w:rsidRPr="00B42286">
        <w:rPr>
          <w:rFonts w:hint="eastAsia"/>
          <w:bCs/>
          <w:color w:val="000000"/>
          <w:szCs w:val="24"/>
        </w:rPr>
        <w:t>)</w:t>
      </w:r>
      <w:r w:rsidR="005D4B08">
        <w:rPr>
          <w:bCs/>
          <w:color w:val="000000"/>
          <w:szCs w:val="24"/>
        </w:rPr>
        <w:t>,</w:t>
      </w:r>
      <w:r w:rsidR="005D4B08" w:rsidRPr="00B42286">
        <w:rPr>
          <w:bCs/>
          <w:color w:val="000000"/>
          <w:szCs w:val="24"/>
        </w:rPr>
        <w:t xml:space="preserve"> </w:t>
      </w:r>
      <w:r w:rsidR="005D4B08">
        <w:rPr>
          <w:bCs/>
          <w:color w:val="000000"/>
          <w:szCs w:val="24"/>
        </w:rPr>
        <w:t xml:space="preserve">and </w:t>
      </w:r>
      <w:r w:rsidR="005D4B08" w:rsidRPr="00E27E16">
        <w:rPr>
          <w:b/>
          <w:color w:val="000000"/>
          <w:szCs w:val="24"/>
        </w:rPr>
        <w:t>d</w:t>
      </w:r>
      <w:r w:rsidR="005D4B08">
        <w:rPr>
          <w:bCs/>
          <w:color w:val="000000"/>
          <w:szCs w:val="24"/>
        </w:rPr>
        <w:t xml:space="preserve"> Brier score (BS) </w:t>
      </w:r>
      <w:r w:rsidR="00310471">
        <w:rPr>
          <w:rFonts w:eastAsia="Times New Roman"/>
          <w:color w:val="000000"/>
          <w:lang w:val="en-US"/>
        </w:rPr>
        <w:t>for</w:t>
      </w:r>
      <w:r w:rsidR="004E689B">
        <w:rPr>
          <w:rFonts w:eastAsia="Times New Roman"/>
          <w:color w:val="000000"/>
          <w:lang w:val="en-US"/>
        </w:rPr>
        <w:t xml:space="preserve"> a 50-mm threshold</w:t>
      </w:r>
      <w:r w:rsidR="004E689B">
        <w:rPr>
          <w:bCs/>
          <w:color w:val="000000"/>
          <w:szCs w:val="24"/>
        </w:rPr>
        <w:t xml:space="preserve"> </w:t>
      </w:r>
      <w:r w:rsidR="005D4B08">
        <w:rPr>
          <w:bCs/>
          <w:color w:val="000000"/>
          <w:szCs w:val="24"/>
        </w:rPr>
        <w:t xml:space="preserve">valid on the </w:t>
      </w:r>
      <w:r w:rsidR="00310471" w:rsidRPr="006839D6">
        <w:rPr>
          <w:rFonts w:eastAsia="Times New Roman"/>
          <w:color w:val="000000"/>
        </w:rPr>
        <w:t xml:space="preserve">five independent </w:t>
      </w:r>
      <w:r w:rsidR="00310471">
        <w:rPr>
          <w:rFonts w:eastAsia="Times New Roman"/>
          <w:color w:val="000000"/>
        </w:rPr>
        <w:t>r</w:t>
      </w:r>
      <w:r w:rsidR="00310471" w:rsidRPr="006839D6">
        <w:rPr>
          <w:rFonts w:eastAsia="Times New Roman"/>
          <w:color w:val="000000"/>
        </w:rPr>
        <w:t xml:space="preserve">egional </w:t>
      </w:r>
      <w:r w:rsidR="00310471">
        <w:rPr>
          <w:rFonts w:eastAsia="Times New Roman"/>
          <w:color w:val="000000"/>
        </w:rPr>
        <w:t>e</w:t>
      </w:r>
      <w:r w:rsidR="00310471" w:rsidRPr="006839D6">
        <w:rPr>
          <w:rFonts w:eastAsia="Times New Roman"/>
          <w:color w:val="000000"/>
        </w:rPr>
        <w:t xml:space="preserve">xtreme </w:t>
      </w:r>
      <w:r w:rsidR="00310471">
        <w:rPr>
          <w:rFonts w:eastAsia="Times New Roman"/>
          <w:color w:val="000000"/>
        </w:rPr>
        <w:t>p</w:t>
      </w:r>
      <w:r w:rsidR="00310471" w:rsidRPr="006839D6">
        <w:rPr>
          <w:rFonts w:eastAsia="Times New Roman"/>
          <w:color w:val="000000"/>
        </w:rPr>
        <w:t xml:space="preserve">recipitation </w:t>
      </w:r>
      <w:r w:rsidR="00310471">
        <w:rPr>
          <w:rFonts w:eastAsia="Times New Roman"/>
          <w:color w:val="000000"/>
        </w:rPr>
        <w:t>d</w:t>
      </w:r>
      <w:r w:rsidR="00310471" w:rsidRPr="006839D6">
        <w:rPr>
          <w:rFonts w:eastAsia="Times New Roman"/>
          <w:color w:val="000000"/>
        </w:rPr>
        <w:t xml:space="preserve">ays (REPDs) </w:t>
      </w:r>
      <w:r w:rsidR="005D4B08">
        <w:rPr>
          <w:bCs/>
          <w:color w:val="000000"/>
          <w:szCs w:val="24"/>
        </w:rPr>
        <w:t>(see Methods in the main manuscript)</w:t>
      </w:r>
      <w:r w:rsidR="005D4B08" w:rsidRPr="00B42286">
        <w:rPr>
          <w:bCs/>
          <w:color w:val="000000"/>
          <w:szCs w:val="24"/>
        </w:rPr>
        <w:t xml:space="preserve"> as a function of lead times (days)</w:t>
      </w:r>
      <w:r w:rsidR="005D4B08">
        <w:rPr>
          <w:color w:val="000000"/>
          <w:szCs w:val="24"/>
        </w:rPr>
        <w:t>.</w:t>
      </w:r>
      <w:r w:rsidR="00E640A6">
        <w:rPr>
          <w:color w:val="000000"/>
          <w:szCs w:val="24"/>
        </w:rPr>
        <w:t xml:space="preserve"> </w:t>
      </w:r>
      <w:r w:rsidR="00611DD0" w:rsidRPr="00611DD0">
        <w:rPr>
          <w:rFonts w:eastAsia="Times New Roman"/>
          <w:bCs/>
          <w:color w:val="000000"/>
        </w:rPr>
        <w:t xml:space="preserve">Results are shown for </w:t>
      </w:r>
      <w:r w:rsidR="001A78D3">
        <w:rPr>
          <w:bCs/>
          <w:color w:val="000000"/>
        </w:rPr>
        <w:t>the hybrid AI ensemble processed by quantile mapping (QM) (</w:t>
      </w:r>
      <w:r w:rsidR="007F131B">
        <w:rPr>
          <w:bCs/>
          <w:color w:val="000000"/>
        </w:rPr>
        <w:t xml:space="preserve">black </w:t>
      </w:r>
      <w:r w:rsidR="001A78D3" w:rsidRPr="00A26C95">
        <w:rPr>
          <w:bCs/>
          <w:color w:val="000000"/>
        </w:rPr>
        <w:t>dash-dot lines</w:t>
      </w:r>
      <w:r w:rsidR="001A78D3">
        <w:rPr>
          <w:bCs/>
          <w:color w:val="000000"/>
        </w:rPr>
        <w:t>), the hybrid AI ensemble not processed by QM (</w:t>
      </w:r>
      <w:r w:rsidR="007F131B">
        <w:rPr>
          <w:bCs/>
          <w:color w:val="000000"/>
        </w:rPr>
        <w:t xml:space="preserve">black </w:t>
      </w:r>
      <w:r w:rsidR="001A78D3">
        <w:rPr>
          <w:bCs/>
          <w:color w:val="000000"/>
        </w:rPr>
        <w:t xml:space="preserve">solid lines), QM-processed WAI-LE (red </w:t>
      </w:r>
      <w:r w:rsidR="001A78D3" w:rsidRPr="00A26C95">
        <w:rPr>
          <w:bCs/>
          <w:color w:val="000000"/>
        </w:rPr>
        <w:t>dash-dot lines</w:t>
      </w:r>
      <w:r w:rsidR="001A78D3">
        <w:rPr>
          <w:bCs/>
          <w:color w:val="000000"/>
        </w:rPr>
        <w:t xml:space="preserve">), original </w:t>
      </w:r>
      <w:r w:rsidR="001A78D3" w:rsidRPr="00611DD0">
        <w:rPr>
          <w:rFonts w:eastAsia="Times New Roman"/>
          <w:bCs/>
          <w:color w:val="000000"/>
        </w:rPr>
        <w:t>WAI-LE (solid red line</w:t>
      </w:r>
      <w:r w:rsidR="001A78D3">
        <w:rPr>
          <w:rFonts w:eastAsia="Times New Roman"/>
          <w:bCs/>
          <w:color w:val="000000"/>
        </w:rPr>
        <w:t>s</w:t>
      </w:r>
      <w:r w:rsidR="001A78D3" w:rsidRPr="00611DD0">
        <w:rPr>
          <w:rFonts w:eastAsia="Times New Roman"/>
          <w:bCs/>
          <w:color w:val="000000"/>
        </w:rPr>
        <w:t>),</w:t>
      </w:r>
      <w:r w:rsidR="001A78D3">
        <w:rPr>
          <w:bCs/>
          <w:color w:val="000000"/>
        </w:rPr>
        <w:t xml:space="preserve"> QM-processed GAI-LE (yellow </w:t>
      </w:r>
      <w:r w:rsidR="001A78D3" w:rsidRPr="00A26C95">
        <w:rPr>
          <w:bCs/>
          <w:color w:val="000000"/>
        </w:rPr>
        <w:t>dash-dot lines</w:t>
      </w:r>
      <w:r w:rsidR="001A78D3">
        <w:rPr>
          <w:bCs/>
          <w:color w:val="000000"/>
        </w:rPr>
        <w:t>)</w:t>
      </w:r>
      <w:r w:rsidR="00611DD0" w:rsidRPr="00611DD0">
        <w:rPr>
          <w:rFonts w:eastAsia="Times New Roman"/>
          <w:bCs/>
          <w:color w:val="000000"/>
        </w:rPr>
        <w:t xml:space="preserve">, </w:t>
      </w:r>
      <w:r w:rsidR="001A78D3">
        <w:rPr>
          <w:rFonts w:eastAsia="Times New Roman"/>
          <w:bCs/>
          <w:color w:val="000000"/>
        </w:rPr>
        <w:t xml:space="preserve">original </w:t>
      </w:r>
      <w:r w:rsidR="00611DD0" w:rsidRPr="00611DD0">
        <w:rPr>
          <w:rFonts w:eastAsia="Times New Roman"/>
          <w:bCs/>
          <w:color w:val="000000"/>
        </w:rPr>
        <w:t>GAI-LE (solid yellow line</w:t>
      </w:r>
      <w:r w:rsidR="001A78D3">
        <w:rPr>
          <w:rFonts w:eastAsia="Times New Roman"/>
          <w:bCs/>
          <w:color w:val="000000"/>
        </w:rPr>
        <w:t>s</w:t>
      </w:r>
      <w:r w:rsidR="00611DD0" w:rsidRPr="00611DD0">
        <w:rPr>
          <w:rFonts w:eastAsia="Times New Roman"/>
          <w:bCs/>
          <w:color w:val="000000"/>
        </w:rPr>
        <w:t>), ECMWF EPS (dashed blue line), and West-WRF (dashed green line).</w:t>
      </w:r>
    </w:p>
    <w:p w14:paraId="6DD2792E" w14:textId="31015FE0" w:rsidR="001C4703" w:rsidRDefault="001C4703" w:rsidP="00E30736">
      <w:pPr>
        <w:rPr>
          <w:bCs/>
          <w:color w:val="000000"/>
          <w:szCs w:val="24"/>
          <w:lang w:val="en-US"/>
        </w:rPr>
      </w:pPr>
    </w:p>
    <w:p w14:paraId="5D207F0C" w14:textId="4792D922" w:rsidR="007E0BB0" w:rsidRDefault="007E0BB0" w:rsidP="007E0BB0">
      <w:pPr>
        <w:jc w:val="center"/>
        <w:rPr>
          <w:bCs/>
          <w:color w:val="000000"/>
          <w:szCs w:val="24"/>
          <w:lang w:val="en-US"/>
        </w:rPr>
      </w:pPr>
      <w:r w:rsidRPr="007E0BB0">
        <w:rPr>
          <w:bCs/>
          <w:noProof/>
          <w:color w:val="000000"/>
          <w:szCs w:val="24"/>
          <w:lang w:val="en-US"/>
        </w:rPr>
        <w:lastRenderedPageBreak/>
        <w:drawing>
          <wp:inline distT="0" distB="0" distL="0" distR="0" wp14:anchorId="67A0CBFC" wp14:editId="5F7E0C1C">
            <wp:extent cx="3657600" cy="3080824"/>
            <wp:effectExtent l="0" t="0" r="0" b="5715"/>
            <wp:docPr id="193478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828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8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5B04F" w14:textId="4A242758" w:rsidR="007E0BB0" w:rsidRDefault="007E0BB0" w:rsidP="00E30736">
      <w:pPr>
        <w:rPr>
          <w:bCs/>
          <w:color w:val="000000"/>
          <w:szCs w:val="24"/>
          <w:lang w:val="en-US"/>
        </w:rPr>
      </w:pPr>
      <w:r>
        <w:rPr>
          <w:b/>
          <w:color w:val="000000"/>
          <w:szCs w:val="24"/>
        </w:rPr>
        <w:t>Fig. S7</w:t>
      </w:r>
      <w:r w:rsidRPr="00611AD4">
        <w:rPr>
          <w:b/>
          <w:bCs/>
          <w:color w:val="000000"/>
        </w:rPr>
        <w:t xml:space="preserve"> </w:t>
      </w:r>
      <w:r w:rsidRPr="00611AD4">
        <w:rPr>
          <w:b/>
          <w:bCs/>
        </w:rPr>
        <w:t>|</w:t>
      </w:r>
      <w:r>
        <w:rPr>
          <w:b/>
          <w:color w:val="000000"/>
        </w:rPr>
        <w:t xml:space="preserve"> </w:t>
      </w:r>
      <w:r w:rsidR="006771B7" w:rsidRPr="006771B7">
        <w:rPr>
          <w:b/>
          <w:color w:val="000000"/>
          <w:szCs w:val="24"/>
        </w:rPr>
        <w:t xml:space="preserve">Forecasted </w:t>
      </w:r>
      <w:r w:rsidR="006771B7">
        <w:rPr>
          <w:b/>
          <w:color w:val="000000"/>
          <w:szCs w:val="24"/>
        </w:rPr>
        <w:t>precipitation</w:t>
      </w:r>
      <w:r w:rsidR="006771B7" w:rsidRPr="006771B7">
        <w:rPr>
          <w:b/>
          <w:color w:val="000000"/>
          <w:szCs w:val="24"/>
        </w:rPr>
        <w:t xml:space="preserve"> average</w:t>
      </w:r>
      <w:r w:rsidR="006771B7">
        <w:rPr>
          <w:b/>
          <w:color w:val="000000"/>
          <w:szCs w:val="24"/>
        </w:rPr>
        <w:t>d</w:t>
      </w:r>
      <w:r w:rsidR="006771B7" w:rsidRPr="006771B7">
        <w:rPr>
          <w:b/>
          <w:color w:val="000000"/>
          <w:szCs w:val="24"/>
        </w:rPr>
        <w:t xml:space="preserve"> over </w:t>
      </w:r>
      <w:r w:rsidR="006771B7">
        <w:rPr>
          <w:b/>
          <w:color w:val="000000"/>
          <w:szCs w:val="24"/>
        </w:rPr>
        <w:t>41</w:t>
      </w:r>
      <w:r w:rsidR="006771B7" w:rsidRPr="006771B7">
        <w:rPr>
          <w:b/>
          <w:color w:val="000000"/>
          <w:szCs w:val="24"/>
        </w:rPr>
        <w:t>°–</w:t>
      </w:r>
      <w:r w:rsidR="006771B7">
        <w:rPr>
          <w:b/>
          <w:color w:val="000000"/>
          <w:szCs w:val="24"/>
        </w:rPr>
        <w:t>42</w:t>
      </w:r>
      <w:r w:rsidR="006771B7" w:rsidRPr="006771B7">
        <w:rPr>
          <w:b/>
          <w:color w:val="000000"/>
          <w:szCs w:val="24"/>
        </w:rPr>
        <w:t>°N</w:t>
      </w:r>
      <w:r w:rsidR="006771B7">
        <w:rPr>
          <w:b/>
          <w:color w:val="000000"/>
          <w:szCs w:val="24"/>
        </w:rPr>
        <w:t>,</w:t>
      </w:r>
      <w:r w:rsidR="006771B7" w:rsidRPr="006771B7">
        <w:rPr>
          <w:b/>
          <w:color w:val="000000"/>
          <w:szCs w:val="24"/>
        </w:rPr>
        <w:t xml:space="preserve"> 124.2°–123.2°</w:t>
      </w:r>
      <w:r w:rsidR="006771B7">
        <w:rPr>
          <w:b/>
          <w:color w:val="000000"/>
          <w:szCs w:val="24"/>
        </w:rPr>
        <w:t xml:space="preserve">W, </w:t>
      </w:r>
      <w:r w:rsidR="00266520">
        <w:rPr>
          <w:b/>
          <w:color w:val="000000"/>
          <w:szCs w:val="24"/>
        </w:rPr>
        <w:t xml:space="preserve">valid </w:t>
      </w:r>
      <w:r w:rsidR="006771B7" w:rsidRPr="006771B7">
        <w:rPr>
          <w:b/>
          <w:color w:val="000000"/>
          <w:szCs w:val="24"/>
        </w:rPr>
        <w:t xml:space="preserve">on </w:t>
      </w:r>
      <w:r w:rsidR="006771B7">
        <w:rPr>
          <w:b/>
          <w:color w:val="000000"/>
          <w:szCs w:val="24"/>
        </w:rPr>
        <w:t>January</w:t>
      </w:r>
      <w:r w:rsidR="006771B7" w:rsidRPr="006771B7">
        <w:rPr>
          <w:b/>
          <w:color w:val="000000"/>
          <w:szCs w:val="24"/>
        </w:rPr>
        <w:t xml:space="preserve"> </w:t>
      </w:r>
      <w:r w:rsidR="006771B7">
        <w:rPr>
          <w:b/>
          <w:color w:val="000000"/>
          <w:szCs w:val="24"/>
        </w:rPr>
        <w:t>14</w:t>
      </w:r>
      <w:r w:rsidR="006771B7" w:rsidRPr="006771B7">
        <w:rPr>
          <w:b/>
          <w:color w:val="000000"/>
          <w:szCs w:val="24"/>
        </w:rPr>
        <w:t>, 202</w:t>
      </w:r>
      <w:r w:rsidR="006771B7">
        <w:rPr>
          <w:b/>
          <w:color w:val="000000"/>
          <w:szCs w:val="24"/>
        </w:rPr>
        <w:t>4</w:t>
      </w:r>
      <w:r w:rsidR="006771B7" w:rsidRPr="006771B7">
        <w:rPr>
          <w:b/>
          <w:color w:val="000000"/>
          <w:szCs w:val="24"/>
        </w:rPr>
        <w:t xml:space="preserve">, as a function of </w:t>
      </w:r>
      <w:r w:rsidR="006771B7">
        <w:rPr>
          <w:b/>
          <w:color w:val="000000"/>
          <w:szCs w:val="24"/>
        </w:rPr>
        <w:t>lead</w:t>
      </w:r>
      <w:r w:rsidR="006771B7" w:rsidRPr="006771B7">
        <w:rPr>
          <w:b/>
          <w:color w:val="000000"/>
          <w:szCs w:val="24"/>
        </w:rPr>
        <w:t xml:space="preserve"> time.</w:t>
      </w:r>
      <w:r>
        <w:rPr>
          <w:b/>
          <w:color w:val="000000"/>
          <w:szCs w:val="24"/>
        </w:rPr>
        <w:t xml:space="preserve"> </w:t>
      </w:r>
      <w:r w:rsidR="007F131B" w:rsidRPr="00611DD0">
        <w:rPr>
          <w:rFonts w:eastAsia="Times New Roman"/>
          <w:bCs/>
          <w:color w:val="000000"/>
        </w:rPr>
        <w:t xml:space="preserve">Results are shown for </w:t>
      </w:r>
      <w:r w:rsidR="007F131B">
        <w:rPr>
          <w:bCs/>
          <w:color w:val="000000"/>
        </w:rPr>
        <w:t xml:space="preserve">the hybrid AI ensemble processed by quantile mapping (QM) (black </w:t>
      </w:r>
      <w:r w:rsidR="007F131B" w:rsidRPr="00A26C95">
        <w:rPr>
          <w:bCs/>
          <w:color w:val="000000"/>
        </w:rPr>
        <w:t>dash-dot lines</w:t>
      </w:r>
      <w:r w:rsidR="007F131B">
        <w:rPr>
          <w:bCs/>
          <w:color w:val="000000"/>
        </w:rPr>
        <w:t xml:space="preserve">), the hybrid AI ensemble not processed by QM (black solid lines), original </w:t>
      </w:r>
      <w:r w:rsidR="007F131B" w:rsidRPr="00611DD0">
        <w:rPr>
          <w:rFonts w:eastAsia="Times New Roman"/>
          <w:bCs/>
          <w:color w:val="000000"/>
        </w:rPr>
        <w:t>WAI-LE (solid red line</w:t>
      </w:r>
      <w:r w:rsidR="007F131B">
        <w:rPr>
          <w:rFonts w:eastAsia="Times New Roman"/>
          <w:bCs/>
          <w:color w:val="000000"/>
        </w:rPr>
        <w:t>s</w:t>
      </w:r>
      <w:r w:rsidR="007F131B" w:rsidRPr="00611DD0">
        <w:rPr>
          <w:rFonts w:eastAsia="Times New Roman"/>
          <w:bCs/>
          <w:color w:val="000000"/>
        </w:rPr>
        <w:t>),</w:t>
      </w:r>
      <w:r w:rsidR="007F131B">
        <w:rPr>
          <w:bCs/>
          <w:color w:val="000000"/>
        </w:rPr>
        <w:t xml:space="preserve"> </w:t>
      </w:r>
      <w:r w:rsidR="007F131B">
        <w:rPr>
          <w:rFonts w:eastAsia="Times New Roman"/>
          <w:bCs/>
          <w:color w:val="000000"/>
        </w:rPr>
        <w:t xml:space="preserve">original </w:t>
      </w:r>
      <w:r w:rsidR="007F131B" w:rsidRPr="00611DD0">
        <w:rPr>
          <w:rFonts w:eastAsia="Times New Roman"/>
          <w:bCs/>
          <w:color w:val="000000"/>
        </w:rPr>
        <w:t>GAI-LE (solid yellow line</w:t>
      </w:r>
      <w:r w:rsidR="007F131B">
        <w:rPr>
          <w:rFonts w:eastAsia="Times New Roman"/>
          <w:bCs/>
          <w:color w:val="000000"/>
        </w:rPr>
        <w:t>s</w:t>
      </w:r>
      <w:r w:rsidR="007F131B" w:rsidRPr="00611DD0">
        <w:rPr>
          <w:rFonts w:eastAsia="Times New Roman"/>
          <w:bCs/>
          <w:color w:val="000000"/>
        </w:rPr>
        <w:t>), ECMWF EPS (dashed blue line</w:t>
      </w:r>
      <w:r w:rsidR="007F131B">
        <w:rPr>
          <w:rFonts w:eastAsia="Times New Roman"/>
          <w:bCs/>
          <w:color w:val="000000"/>
        </w:rPr>
        <w:t>s</w:t>
      </w:r>
      <w:r w:rsidR="007F131B" w:rsidRPr="00611DD0">
        <w:rPr>
          <w:rFonts w:eastAsia="Times New Roman"/>
          <w:bCs/>
          <w:color w:val="000000"/>
        </w:rPr>
        <w:t>), and West-WRF (dashed green line</w:t>
      </w:r>
      <w:r w:rsidR="007F131B">
        <w:rPr>
          <w:rFonts w:eastAsia="Times New Roman"/>
          <w:bCs/>
          <w:color w:val="000000"/>
        </w:rPr>
        <w:t>s</w:t>
      </w:r>
      <w:r w:rsidR="007F131B" w:rsidRPr="00611DD0">
        <w:rPr>
          <w:rFonts w:eastAsia="Times New Roman"/>
          <w:bCs/>
          <w:color w:val="000000"/>
        </w:rPr>
        <w:t>).</w:t>
      </w:r>
      <w:r w:rsidR="007F131B">
        <w:rPr>
          <w:rFonts w:eastAsia="Times New Roman"/>
          <w:bCs/>
          <w:color w:val="000000"/>
        </w:rPr>
        <w:t xml:space="preserve"> The thick lines are ensemble means, and the thin lines represent individual members. The shadings represent </w:t>
      </w:r>
      <w:r w:rsidR="005E3CC4">
        <w:rPr>
          <w:rFonts w:eastAsia="Times New Roman"/>
          <w:bCs/>
          <w:color w:val="000000"/>
        </w:rPr>
        <w:t>the spreads (</w:t>
      </w:r>
      <w:r w:rsidR="007F131B">
        <w:rPr>
          <w:rFonts w:eastAsia="Times New Roman"/>
          <w:bCs/>
          <w:color w:val="000000"/>
        </w:rPr>
        <w:t>1.0 standard deviations</w:t>
      </w:r>
      <w:r w:rsidR="005E3CC4">
        <w:rPr>
          <w:rFonts w:eastAsia="Times New Roman"/>
          <w:bCs/>
          <w:color w:val="000000"/>
        </w:rPr>
        <w:t>)</w:t>
      </w:r>
      <w:r w:rsidR="007F131B">
        <w:rPr>
          <w:rFonts w:eastAsia="Times New Roman"/>
          <w:bCs/>
          <w:color w:val="000000"/>
        </w:rPr>
        <w:t xml:space="preserve">. The horizontal black line represents the PRISM observation. </w:t>
      </w:r>
    </w:p>
    <w:p w14:paraId="2C1E8DE8" w14:textId="774C9833" w:rsidR="004977D8" w:rsidRDefault="004977D8">
      <w:pPr>
        <w:rPr>
          <w:bCs/>
          <w:color w:val="000000"/>
          <w:szCs w:val="24"/>
          <w:lang w:val="en-US"/>
        </w:rPr>
      </w:pPr>
      <w:r>
        <w:rPr>
          <w:bCs/>
          <w:color w:val="000000"/>
          <w:szCs w:val="24"/>
          <w:lang w:val="en-US"/>
        </w:rPr>
        <w:br w:type="page"/>
      </w:r>
    </w:p>
    <w:p w14:paraId="5077E6D8" w14:textId="77777777" w:rsidR="007E0BB0" w:rsidRDefault="007E0BB0" w:rsidP="00E30736">
      <w:pPr>
        <w:rPr>
          <w:bCs/>
          <w:color w:val="000000"/>
          <w:szCs w:val="24"/>
          <w:lang w:val="en-US"/>
        </w:rPr>
      </w:pPr>
    </w:p>
    <w:p w14:paraId="2CA60A53" w14:textId="34B714BA" w:rsidR="004977D8" w:rsidRDefault="004977D8" w:rsidP="00E30736">
      <w:pPr>
        <w:rPr>
          <w:bCs/>
          <w:color w:val="000000"/>
          <w:szCs w:val="24"/>
          <w:lang w:val="en-US"/>
        </w:rPr>
      </w:pPr>
      <w:r w:rsidRPr="004977D8">
        <w:rPr>
          <w:bCs/>
          <w:noProof/>
          <w:color w:val="000000"/>
          <w:szCs w:val="24"/>
          <w:lang w:val="en-US"/>
        </w:rPr>
        <w:drawing>
          <wp:inline distT="0" distB="0" distL="0" distR="0" wp14:anchorId="6EA30473" wp14:editId="668AA64E">
            <wp:extent cx="5943600" cy="5380990"/>
            <wp:effectExtent l="0" t="0" r="0" b="3810"/>
            <wp:docPr id="157217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766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4AC82" w14:textId="0DD36190" w:rsidR="004977D8" w:rsidRPr="009C60E6" w:rsidRDefault="004977D8" w:rsidP="004977D8">
      <w:pPr>
        <w:rPr>
          <w:bCs/>
          <w:color w:val="000000"/>
          <w:szCs w:val="24"/>
          <w:lang w:val="en-US"/>
        </w:rPr>
      </w:pPr>
      <w:r>
        <w:rPr>
          <w:b/>
          <w:color w:val="000000"/>
          <w:szCs w:val="24"/>
        </w:rPr>
        <w:t>Fig. S8</w:t>
      </w:r>
      <w:r w:rsidRPr="00611AD4">
        <w:rPr>
          <w:b/>
          <w:bCs/>
          <w:color w:val="000000"/>
        </w:rPr>
        <w:t xml:space="preserve"> </w:t>
      </w:r>
      <w:r w:rsidRPr="00611AD4">
        <w:rPr>
          <w:b/>
          <w:bCs/>
        </w:rPr>
        <w:t>|</w:t>
      </w:r>
      <w:r>
        <w:rPr>
          <w:b/>
          <w:color w:val="000000"/>
        </w:rPr>
        <w:t xml:space="preserve"> </w:t>
      </w:r>
      <w:r w:rsidR="00266520">
        <w:rPr>
          <w:b/>
          <w:color w:val="000000"/>
        </w:rPr>
        <w:t xml:space="preserve">AI-based </w:t>
      </w:r>
      <w:r>
        <w:rPr>
          <w:b/>
          <w:color w:val="000000"/>
          <w:szCs w:val="24"/>
        </w:rPr>
        <w:t>precipitation</w:t>
      </w:r>
      <w:r w:rsidR="00266520" w:rsidRPr="00266520">
        <w:rPr>
          <w:b/>
          <w:color w:val="000000"/>
          <w:szCs w:val="24"/>
        </w:rPr>
        <w:t xml:space="preserve"> </w:t>
      </w:r>
      <w:r w:rsidR="00266520">
        <w:rPr>
          <w:b/>
          <w:color w:val="000000"/>
          <w:szCs w:val="24"/>
        </w:rPr>
        <w:t>f</w:t>
      </w:r>
      <w:r w:rsidR="00266520" w:rsidRPr="006771B7">
        <w:rPr>
          <w:b/>
          <w:color w:val="000000"/>
          <w:szCs w:val="24"/>
        </w:rPr>
        <w:t>orecast</w:t>
      </w:r>
      <w:r w:rsidR="00266520">
        <w:rPr>
          <w:b/>
          <w:color w:val="000000"/>
          <w:szCs w:val="24"/>
        </w:rPr>
        <w:t xml:space="preserve"> maps</w:t>
      </w:r>
      <w:r>
        <w:rPr>
          <w:b/>
          <w:color w:val="000000"/>
          <w:szCs w:val="24"/>
        </w:rPr>
        <w:t xml:space="preserve"> </w:t>
      </w:r>
      <w:r w:rsidR="00266520">
        <w:rPr>
          <w:b/>
          <w:color w:val="000000"/>
          <w:szCs w:val="24"/>
        </w:rPr>
        <w:t xml:space="preserve">valid </w:t>
      </w:r>
      <w:r w:rsidRPr="006771B7">
        <w:rPr>
          <w:b/>
          <w:color w:val="000000"/>
          <w:szCs w:val="24"/>
        </w:rPr>
        <w:t xml:space="preserve">on </w:t>
      </w:r>
      <w:r>
        <w:rPr>
          <w:b/>
          <w:color w:val="000000"/>
          <w:szCs w:val="24"/>
        </w:rPr>
        <w:t>January</w:t>
      </w:r>
      <w:r w:rsidRPr="006771B7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14</w:t>
      </w:r>
      <w:r w:rsidRPr="006771B7">
        <w:rPr>
          <w:b/>
          <w:color w:val="000000"/>
          <w:szCs w:val="24"/>
        </w:rPr>
        <w:t>, 202</w:t>
      </w:r>
      <w:r>
        <w:rPr>
          <w:b/>
          <w:color w:val="000000"/>
          <w:szCs w:val="24"/>
        </w:rPr>
        <w:t>4</w:t>
      </w:r>
      <w:r w:rsidRPr="006771B7">
        <w:rPr>
          <w:b/>
          <w:color w:val="000000"/>
          <w:szCs w:val="24"/>
        </w:rPr>
        <w:t>.</w:t>
      </w:r>
      <w:r>
        <w:rPr>
          <w:b/>
          <w:color w:val="000000"/>
          <w:szCs w:val="24"/>
        </w:rPr>
        <w:t xml:space="preserve"> </w:t>
      </w:r>
      <w:r w:rsidRPr="00611DD0">
        <w:rPr>
          <w:rFonts w:eastAsia="Times New Roman"/>
          <w:bCs/>
          <w:color w:val="000000"/>
        </w:rPr>
        <w:t xml:space="preserve">Results are shown for </w:t>
      </w:r>
      <w:r w:rsidR="00266520" w:rsidRPr="00266520">
        <w:rPr>
          <w:rFonts w:eastAsia="Times New Roman"/>
          <w:bCs/>
          <w:color w:val="000000"/>
        </w:rPr>
        <w:t>25 random</w:t>
      </w:r>
      <w:r w:rsidR="00266520">
        <w:rPr>
          <w:rFonts w:eastAsia="Times New Roman"/>
          <w:bCs/>
          <w:color w:val="000000"/>
        </w:rPr>
        <w:t>ly selected</w:t>
      </w:r>
      <w:r w:rsidR="00266520" w:rsidRPr="00266520">
        <w:rPr>
          <w:rFonts w:eastAsia="Times New Roman"/>
          <w:bCs/>
          <w:color w:val="000000"/>
        </w:rPr>
        <w:t xml:space="preserve"> members </w:t>
      </w:r>
      <w:r w:rsidR="00266520">
        <w:rPr>
          <w:rFonts w:eastAsia="Times New Roman"/>
          <w:bCs/>
          <w:color w:val="000000"/>
        </w:rPr>
        <w:t xml:space="preserve">of </w:t>
      </w:r>
      <w:r>
        <w:rPr>
          <w:bCs/>
          <w:color w:val="000000"/>
        </w:rPr>
        <w:t xml:space="preserve">the </w:t>
      </w:r>
      <w:r w:rsidR="00FA1E9D">
        <w:rPr>
          <w:bCs/>
          <w:color w:val="000000"/>
        </w:rPr>
        <w:t>HAI-LE</w:t>
      </w:r>
      <w:r>
        <w:rPr>
          <w:bCs/>
          <w:color w:val="000000"/>
        </w:rPr>
        <w:t xml:space="preserve"> ensemble processed by quantile mapping</w:t>
      </w:r>
      <w:r w:rsidR="00FA1E9D">
        <w:rPr>
          <w:bCs/>
          <w:color w:val="000000"/>
        </w:rPr>
        <w:t xml:space="preserve"> </w:t>
      </w:r>
      <w:r w:rsidR="00FA1E9D" w:rsidRPr="006839D6">
        <w:rPr>
          <w:rFonts w:eastAsia="Times New Roman"/>
          <w:color w:val="000000"/>
        </w:rPr>
        <w:t xml:space="preserve">at a </w:t>
      </w:r>
      <w:r w:rsidR="00FA1E9D">
        <w:rPr>
          <w:rFonts w:eastAsia="Times New Roman"/>
          <w:color w:val="000000"/>
        </w:rPr>
        <w:t>3</w:t>
      </w:r>
      <w:r w:rsidR="00FA1E9D" w:rsidRPr="006839D6">
        <w:rPr>
          <w:rFonts w:eastAsia="Times New Roman"/>
          <w:color w:val="000000"/>
        </w:rPr>
        <w:t>-day lead time</w:t>
      </w:r>
      <w:r>
        <w:rPr>
          <w:rFonts w:eastAsia="Times New Roman"/>
          <w:bCs/>
          <w:color w:val="000000"/>
        </w:rPr>
        <w:t xml:space="preserve">. </w:t>
      </w:r>
    </w:p>
    <w:p w14:paraId="7533C113" w14:textId="77777777" w:rsidR="004977D8" w:rsidRPr="00E30736" w:rsidRDefault="004977D8" w:rsidP="00E30736">
      <w:pPr>
        <w:rPr>
          <w:bCs/>
          <w:color w:val="000000"/>
          <w:szCs w:val="24"/>
          <w:lang w:val="en-US"/>
        </w:rPr>
      </w:pPr>
    </w:p>
    <w:p w14:paraId="0BA24C20" w14:textId="4FAB6ABE" w:rsidR="00765585" w:rsidRDefault="00765585">
      <w:pPr>
        <w:rPr>
          <w:lang w:val="en-US"/>
        </w:rPr>
      </w:pPr>
      <w:r>
        <w:rPr>
          <w:lang w:val="en-US"/>
        </w:rPr>
        <w:br w:type="page"/>
      </w:r>
    </w:p>
    <w:p w14:paraId="44C828C9" w14:textId="77777777" w:rsidR="00610328" w:rsidRPr="00610328" w:rsidRDefault="00610328" w:rsidP="0061032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  <w:lang w:val="en-US"/>
        </w:rPr>
      </w:pPr>
      <w:r w:rsidRPr="006A3935">
        <w:rPr>
          <w:noProof/>
          <w:color w:val="000000"/>
          <w:szCs w:val="24"/>
        </w:rPr>
        <w:lastRenderedPageBreak/>
        <w:drawing>
          <wp:inline distT="0" distB="0" distL="0" distR="0" wp14:anchorId="7BAAAE2C" wp14:editId="0142292A">
            <wp:extent cx="5943302" cy="4723130"/>
            <wp:effectExtent l="0" t="0" r="635" b="1270"/>
            <wp:docPr id="1076449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44997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02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190BE" w14:textId="343E2835" w:rsidR="00610328" w:rsidRDefault="00610328" w:rsidP="0061032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Fig. S</w:t>
      </w:r>
      <w:r w:rsidR="00C5000E">
        <w:rPr>
          <w:b/>
          <w:color w:val="000000"/>
          <w:szCs w:val="24"/>
        </w:rPr>
        <w:t>9</w:t>
      </w:r>
      <w:r w:rsidR="00670846" w:rsidRPr="00611AD4">
        <w:rPr>
          <w:b/>
          <w:bCs/>
          <w:color w:val="000000"/>
        </w:rPr>
        <w:t xml:space="preserve"> </w:t>
      </w:r>
      <w:r w:rsidR="00670846" w:rsidRPr="00611AD4">
        <w:rPr>
          <w:b/>
          <w:bCs/>
        </w:rPr>
        <w:t>|</w:t>
      </w:r>
      <w:r w:rsidR="00670846">
        <w:rPr>
          <w:b/>
          <w:color w:val="000000"/>
        </w:rPr>
        <w:t xml:space="preserve"> </w:t>
      </w:r>
      <w:r w:rsidRPr="00E82860">
        <w:rPr>
          <w:b/>
          <w:color w:val="000000"/>
          <w:szCs w:val="24"/>
        </w:rPr>
        <w:t xml:space="preserve">Comparison of </w:t>
      </w:r>
      <w:r>
        <w:rPr>
          <w:b/>
          <w:color w:val="000000"/>
          <w:szCs w:val="24"/>
        </w:rPr>
        <w:t>evaluation metrics</w:t>
      </w:r>
      <w:r w:rsidRPr="00EB1903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regarding</w:t>
      </w:r>
      <w:r>
        <w:rPr>
          <w:rFonts w:eastAsia="Times New Roman"/>
          <w:b/>
          <w:color w:val="000000"/>
          <w:lang w:val="en-US"/>
        </w:rPr>
        <w:t xml:space="preserve"> </w:t>
      </w:r>
      <w:r w:rsidRPr="00C11C47">
        <w:rPr>
          <w:rFonts w:eastAsia="Times New Roman"/>
          <w:b/>
          <w:color w:val="000000"/>
          <w:lang w:val="en-US"/>
        </w:rPr>
        <w:t>the grid</w:t>
      </w:r>
      <w:r>
        <w:rPr>
          <w:rFonts w:eastAsia="Times New Roman"/>
          <w:b/>
          <w:color w:val="000000"/>
          <w:lang w:val="en-US"/>
        </w:rPr>
        <w:t xml:space="preserve"> </w:t>
      </w:r>
      <w:r w:rsidRPr="00C11C47">
        <w:rPr>
          <w:rFonts w:eastAsia="Times New Roman"/>
          <w:b/>
          <w:color w:val="000000"/>
          <w:lang w:val="en-US"/>
        </w:rPr>
        <w:t>point</w:t>
      </w:r>
      <w:r>
        <w:rPr>
          <w:rFonts w:eastAsia="Times New Roman"/>
          <w:b/>
          <w:color w:val="000000"/>
          <w:lang w:val="en-US"/>
        </w:rPr>
        <w:t>-based</w:t>
      </w:r>
      <w:r w:rsidRPr="00C11C47">
        <w:rPr>
          <w:rFonts w:eastAsia="Times New Roman"/>
          <w:b/>
          <w:color w:val="000000"/>
          <w:lang w:val="en-US"/>
        </w:rPr>
        <w:t xml:space="preserve"> 95th percentile of wet</w:t>
      </w:r>
      <w:r>
        <w:rPr>
          <w:rFonts w:eastAsia="Times New Roman"/>
          <w:b/>
          <w:color w:val="000000"/>
          <w:lang w:val="en-US"/>
        </w:rPr>
        <w:t>-</w:t>
      </w:r>
      <w:r w:rsidRPr="00C11C47">
        <w:rPr>
          <w:rFonts w:eastAsia="Times New Roman"/>
          <w:b/>
          <w:color w:val="000000"/>
          <w:lang w:val="en-US"/>
        </w:rPr>
        <w:t>day</w:t>
      </w:r>
      <w:r>
        <w:rPr>
          <w:rFonts w:eastAsia="Times New Roman"/>
          <w:b/>
          <w:color w:val="000000"/>
          <w:lang w:val="en-US"/>
        </w:rPr>
        <w:t xml:space="preserve"> precipitation</w:t>
      </w:r>
      <w:r>
        <w:rPr>
          <w:b/>
          <w:color w:val="000000"/>
          <w:szCs w:val="24"/>
        </w:rPr>
        <w:t xml:space="preserve">. </w:t>
      </w:r>
      <w:proofErr w:type="spellStart"/>
      <w:proofErr w:type="gramStart"/>
      <w:r>
        <w:rPr>
          <w:b/>
          <w:color w:val="000000"/>
          <w:szCs w:val="24"/>
        </w:rPr>
        <w:t>a</w:t>
      </w:r>
      <w:proofErr w:type="spellEnd"/>
      <w:proofErr w:type="gramEnd"/>
      <w:r>
        <w:rPr>
          <w:b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E</w:t>
      </w:r>
      <w:r w:rsidRPr="00C11C47">
        <w:rPr>
          <w:bCs/>
          <w:color w:val="000000"/>
          <w:szCs w:val="24"/>
        </w:rPr>
        <w:t>quitable threat score (ETS)</w:t>
      </w:r>
      <w:r>
        <w:rPr>
          <w:bCs/>
          <w:color w:val="000000"/>
          <w:szCs w:val="24"/>
        </w:rPr>
        <w:t>,</w:t>
      </w:r>
      <w:r w:rsidRPr="00C11C47">
        <w:rPr>
          <w:b/>
          <w:color w:val="000000"/>
          <w:szCs w:val="24"/>
        </w:rPr>
        <w:t xml:space="preserve"> b</w:t>
      </w:r>
      <w:r w:rsidRPr="00C11C47">
        <w:rPr>
          <w:bCs/>
          <w:color w:val="000000"/>
          <w:szCs w:val="24"/>
        </w:rPr>
        <w:t xml:space="preserve"> Brier score (BS)</w:t>
      </w:r>
      <w:r>
        <w:rPr>
          <w:bCs/>
          <w:color w:val="000000"/>
          <w:szCs w:val="24"/>
        </w:rPr>
        <w:t xml:space="preserve">, and </w:t>
      </w:r>
      <w:r w:rsidRPr="00C11C47">
        <w:rPr>
          <w:b/>
          <w:color w:val="000000"/>
          <w:szCs w:val="24"/>
        </w:rPr>
        <w:t>c</w:t>
      </w:r>
      <w:r>
        <w:rPr>
          <w:bCs/>
          <w:color w:val="000000"/>
          <w:szCs w:val="24"/>
        </w:rPr>
        <w:t xml:space="preserve"> </w:t>
      </w:r>
      <w:r w:rsidRPr="00C11C47">
        <w:rPr>
          <w:bCs/>
          <w:color w:val="000000"/>
          <w:szCs w:val="24"/>
        </w:rPr>
        <w:t>Area under the relative operating characteristic curve (AUC) as a function of forecast lead time (days)</w:t>
      </w:r>
      <w:r>
        <w:rPr>
          <w:rFonts w:eastAsia="Times New Roman"/>
          <w:color w:val="000000"/>
        </w:rPr>
        <w:t xml:space="preserve">. </w:t>
      </w:r>
      <w:r w:rsidRPr="004C363B">
        <w:rPr>
          <w:rFonts w:eastAsia="Times New Roman"/>
          <w:b/>
          <w:bCs/>
          <w:color w:val="000000"/>
        </w:rPr>
        <w:t>d</w:t>
      </w:r>
      <w:r>
        <w:rPr>
          <w:rFonts w:eastAsia="Times New Roman"/>
          <w:color w:val="000000"/>
        </w:rPr>
        <w:t xml:space="preserve"> </w:t>
      </w:r>
      <w:r w:rsidRPr="004C363B">
        <w:rPr>
          <w:rFonts w:eastAsia="Times New Roman"/>
          <w:color w:val="000000"/>
        </w:rPr>
        <w:t xml:space="preserve">Reliability diagram at </w:t>
      </w:r>
      <w:r>
        <w:rPr>
          <w:rFonts w:eastAsia="Times New Roman"/>
          <w:color w:val="000000"/>
        </w:rPr>
        <w:t xml:space="preserve">a </w:t>
      </w:r>
      <w:r w:rsidRPr="004C363B">
        <w:rPr>
          <w:rFonts w:eastAsia="Times New Roman"/>
          <w:color w:val="000000"/>
        </w:rPr>
        <w:t>2-day</w:t>
      </w:r>
      <w:r>
        <w:rPr>
          <w:rFonts w:eastAsia="Times New Roman"/>
          <w:color w:val="000000"/>
        </w:rPr>
        <w:t xml:space="preserve"> lead time. </w:t>
      </w:r>
      <w:r w:rsidR="00AB769D" w:rsidRPr="00611DD0">
        <w:rPr>
          <w:rFonts w:eastAsia="Times New Roman"/>
          <w:bCs/>
          <w:color w:val="000000"/>
        </w:rPr>
        <w:t xml:space="preserve">Results are shown for </w:t>
      </w:r>
      <w:r w:rsidR="00AB769D">
        <w:rPr>
          <w:bCs/>
          <w:color w:val="000000"/>
        </w:rPr>
        <w:t xml:space="preserve">the hybrid AI ensemble processed by quantile mapping (QM) (gray </w:t>
      </w:r>
      <w:r w:rsidR="00AB769D" w:rsidRPr="00A26C95">
        <w:rPr>
          <w:bCs/>
          <w:color w:val="000000"/>
        </w:rPr>
        <w:t>dash-dot lines</w:t>
      </w:r>
      <w:r w:rsidR="00AB769D">
        <w:rPr>
          <w:bCs/>
          <w:color w:val="000000"/>
        </w:rPr>
        <w:t xml:space="preserve">), the hybrid AI ensemble not processed by QM (gray solid lines), QM-processed WAI-LE (red </w:t>
      </w:r>
      <w:r w:rsidR="00AB769D" w:rsidRPr="00A26C95">
        <w:rPr>
          <w:bCs/>
          <w:color w:val="000000"/>
        </w:rPr>
        <w:t>dash-dot lines</w:t>
      </w:r>
      <w:r w:rsidR="00AB769D">
        <w:rPr>
          <w:bCs/>
          <w:color w:val="000000"/>
        </w:rPr>
        <w:t xml:space="preserve">), original </w:t>
      </w:r>
      <w:r w:rsidR="00AB769D" w:rsidRPr="00611DD0">
        <w:rPr>
          <w:rFonts w:eastAsia="Times New Roman"/>
          <w:bCs/>
          <w:color w:val="000000"/>
        </w:rPr>
        <w:t>WAI-LE (solid red line</w:t>
      </w:r>
      <w:r w:rsidR="00AB769D">
        <w:rPr>
          <w:rFonts w:eastAsia="Times New Roman"/>
          <w:bCs/>
          <w:color w:val="000000"/>
        </w:rPr>
        <w:t>s</w:t>
      </w:r>
      <w:r w:rsidR="00AB769D" w:rsidRPr="00611DD0">
        <w:rPr>
          <w:rFonts w:eastAsia="Times New Roman"/>
          <w:bCs/>
          <w:color w:val="000000"/>
        </w:rPr>
        <w:t>),</w:t>
      </w:r>
      <w:r w:rsidR="00AB769D">
        <w:rPr>
          <w:bCs/>
          <w:color w:val="000000"/>
        </w:rPr>
        <w:t xml:space="preserve"> QM-processed GAI-LE (yellow </w:t>
      </w:r>
      <w:r w:rsidR="00AB769D" w:rsidRPr="00A26C95">
        <w:rPr>
          <w:bCs/>
          <w:color w:val="000000"/>
        </w:rPr>
        <w:t>dash-dot lines</w:t>
      </w:r>
      <w:r w:rsidR="00AB769D">
        <w:rPr>
          <w:bCs/>
          <w:color w:val="000000"/>
        </w:rPr>
        <w:t>)</w:t>
      </w:r>
      <w:r w:rsidR="00AB769D" w:rsidRPr="00611DD0">
        <w:rPr>
          <w:rFonts w:eastAsia="Times New Roman"/>
          <w:bCs/>
          <w:color w:val="000000"/>
        </w:rPr>
        <w:t xml:space="preserve">, </w:t>
      </w:r>
      <w:r w:rsidR="00AB769D">
        <w:rPr>
          <w:rFonts w:eastAsia="Times New Roman"/>
          <w:bCs/>
          <w:color w:val="000000"/>
        </w:rPr>
        <w:t xml:space="preserve">original </w:t>
      </w:r>
      <w:r w:rsidR="00AB769D" w:rsidRPr="00611DD0">
        <w:rPr>
          <w:rFonts w:eastAsia="Times New Roman"/>
          <w:bCs/>
          <w:color w:val="000000"/>
        </w:rPr>
        <w:t>GAI-LE (solid yellow line</w:t>
      </w:r>
      <w:r w:rsidR="00AB769D">
        <w:rPr>
          <w:rFonts w:eastAsia="Times New Roman"/>
          <w:bCs/>
          <w:color w:val="000000"/>
        </w:rPr>
        <w:t>s</w:t>
      </w:r>
      <w:r w:rsidR="00AB769D" w:rsidRPr="00611DD0">
        <w:rPr>
          <w:rFonts w:eastAsia="Times New Roman"/>
          <w:bCs/>
          <w:color w:val="000000"/>
        </w:rPr>
        <w:t>), ECMWF EPS (dashed blue line), and West-WRF (dashed green line)</w:t>
      </w:r>
      <w:r w:rsidRPr="00611DD0">
        <w:rPr>
          <w:rFonts w:eastAsia="Times New Roman"/>
          <w:color w:val="000000"/>
        </w:rPr>
        <w:t>.</w:t>
      </w:r>
    </w:p>
    <w:p w14:paraId="48DA207B" w14:textId="47C07EAF" w:rsidR="000E4D0D" w:rsidRPr="003F1DF9" w:rsidRDefault="000E4D0D">
      <w:pPr>
        <w:rPr>
          <w:lang w:val="en-US"/>
        </w:rPr>
      </w:pPr>
      <w:r>
        <w:br w:type="page"/>
      </w:r>
    </w:p>
    <w:p w14:paraId="23137C65" w14:textId="5813A567" w:rsidR="000E4D0D" w:rsidRPr="006E6770" w:rsidRDefault="00332246" w:rsidP="0033602D">
      <w:pPr>
        <w:jc w:val="center"/>
      </w:pPr>
      <w:r w:rsidRPr="00332246">
        <w:rPr>
          <w:noProof/>
        </w:rPr>
        <w:lastRenderedPageBreak/>
        <w:drawing>
          <wp:inline distT="0" distB="0" distL="0" distR="0" wp14:anchorId="04BD3996" wp14:editId="069701F4">
            <wp:extent cx="5943600" cy="4806315"/>
            <wp:effectExtent l="0" t="0" r="0" b="0"/>
            <wp:docPr id="2066762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6220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9B41E" w14:textId="5DF7505F" w:rsidR="000E4D0D" w:rsidRDefault="000E4D0D" w:rsidP="00DD3D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Fig. S</w:t>
      </w:r>
      <w:r w:rsidR="00C5000E">
        <w:rPr>
          <w:b/>
          <w:color w:val="000000"/>
        </w:rPr>
        <w:t>10</w:t>
      </w:r>
      <w:r w:rsidR="00670846" w:rsidRPr="00611AD4">
        <w:rPr>
          <w:b/>
          <w:bCs/>
          <w:color w:val="000000"/>
        </w:rPr>
        <w:t xml:space="preserve"> </w:t>
      </w:r>
      <w:r w:rsidR="00670846" w:rsidRPr="00611AD4">
        <w:rPr>
          <w:b/>
          <w:bCs/>
        </w:rPr>
        <w:t>|</w:t>
      </w:r>
      <w:r w:rsidR="00670846">
        <w:rPr>
          <w:b/>
          <w:color w:val="000000"/>
        </w:rPr>
        <w:t xml:space="preserve"> </w:t>
      </w:r>
      <w:r w:rsidRPr="007510DB">
        <w:rPr>
          <w:b/>
          <w:color w:val="000000"/>
        </w:rPr>
        <w:t xml:space="preserve">Comparison of </w:t>
      </w:r>
      <w:r>
        <w:rPr>
          <w:rFonts w:hint="eastAsia"/>
          <w:b/>
          <w:color w:val="000000"/>
        </w:rPr>
        <w:t>p</w:t>
      </w:r>
      <w:r>
        <w:rPr>
          <w:b/>
          <w:color w:val="000000"/>
        </w:rPr>
        <w:t xml:space="preserve">robabilistic predictive skills for 1-model and 8-model </w:t>
      </w:r>
      <w:r>
        <w:rPr>
          <w:rFonts w:eastAsia="Times New Roman"/>
          <w:b/>
          <w:color w:val="000000"/>
          <w:lang w:val="en-US"/>
        </w:rPr>
        <w:t>WAI ensembles, 1-model and 6-model GAI</w:t>
      </w:r>
      <w:r>
        <w:rPr>
          <w:rFonts w:eastAsia="Times New Roman" w:hint="eastAsia"/>
          <w:b/>
          <w:color w:val="000000"/>
          <w:lang w:val="en-US"/>
        </w:rPr>
        <w:t xml:space="preserve"> ensembles,</w:t>
      </w:r>
      <w:r>
        <w:rPr>
          <w:rFonts w:eastAsia="Times New Roman"/>
          <w:b/>
          <w:color w:val="000000"/>
          <w:lang w:val="en-US"/>
        </w:rPr>
        <w:t xml:space="preserve"> and 14-model hybrid AI ensemble</w:t>
      </w:r>
      <w:r>
        <w:rPr>
          <w:b/>
          <w:color w:val="000000"/>
        </w:rPr>
        <w:t xml:space="preserve">. </w:t>
      </w:r>
      <w:r w:rsidRPr="00B42286">
        <w:rPr>
          <w:b/>
          <w:color w:val="000000"/>
        </w:rPr>
        <w:t>a</w:t>
      </w:r>
      <w:r w:rsidRPr="00B42286">
        <w:rPr>
          <w:bCs/>
          <w:color w:val="000000"/>
        </w:rPr>
        <w:t xml:space="preserve"> continuous ranked probabilistic score (CRP</w:t>
      </w:r>
      <w:r>
        <w:rPr>
          <w:bCs/>
          <w:color w:val="000000"/>
          <w:lang w:val="en-US"/>
        </w:rPr>
        <w:t>S, mm</w:t>
      </w:r>
      <w:r w:rsidRPr="00B42286">
        <w:rPr>
          <w:rFonts w:hint="eastAsia"/>
          <w:bCs/>
          <w:color w:val="000000"/>
        </w:rPr>
        <w:t>)</w:t>
      </w:r>
      <w:r>
        <w:rPr>
          <w:bCs/>
          <w:color w:val="000000"/>
        </w:rPr>
        <w:t xml:space="preserve"> </w:t>
      </w:r>
      <w:r w:rsidRPr="00B42286">
        <w:rPr>
          <w:bCs/>
          <w:color w:val="000000"/>
        </w:rPr>
        <w:t>as a function of lead times (days)</w:t>
      </w:r>
      <w:r>
        <w:rPr>
          <w:bCs/>
          <w:color w:val="000000"/>
        </w:rPr>
        <w:t xml:space="preserve">, </w:t>
      </w:r>
      <w:r>
        <w:rPr>
          <w:b/>
          <w:color w:val="000000"/>
        </w:rPr>
        <w:t>b</w:t>
      </w:r>
      <w:r>
        <w:rPr>
          <w:bCs/>
          <w:color w:val="000000"/>
        </w:rPr>
        <w:t xml:space="preserve"> Brier score (BS) </w:t>
      </w:r>
      <w:r>
        <w:rPr>
          <w:rFonts w:eastAsia="Times New Roman"/>
          <w:color w:val="000000"/>
          <w:lang w:val="en-US"/>
        </w:rPr>
        <w:t xml:space="preserve">for a 50-mm threshold </w:t>
      </w:r>
      <w:r w:rsidRPr="00B42286">
        <w:rPr>
          <w:bCs/>
          <w:color w:val="000000"/>
        </w:rPr>
        <w:t>as a function of lead times</w:t>
      </w:r>
      <w:r>
        <w:rPr>
          <w:bCs/>
          <w:color w:val="000000"/>
        </w:rPr>
        <w:t xml:space="preserve">, </w:t>
      </w:r>
      <w:r w:rsidRPr="001F2433">
        <w:rPr>
          <w:b/>
          <w:color w:val="000000"/>
        </w:rPr>
        <w:t>c</w:t>
      </w:r>
      <w:r>
        <w:rPr>
          <w:bCs/>
          <w:color w:val="000000"/>
        </w:rPr>
        <w:t xml:space="preserve"> s</w:t>
      </w:r>
      <w:r>
        <w:rPr>
          <w:rFonts w:eastAsia="Times New Roman"/>
          <w:color w:val="000000"/>
        </w:rPr>
        <w:t>pread-skill relationships at a 2-day lead time</w:t>
      </w:r>
      <w:r>
        <w:rPr>
          <w:color w:val="000000"/>
        </w:rPr>
        <w:t xml:space="preserve">, and </w:t>
      </w:r>
      <w:r w:rsidRPr="00562CB9">
        <w:rPr>
          <w:b/>
          <w:bCs/>
          <w:color w:val="000000"/>
        </w:rPr>
        <w:t>d</w:t>
      </w:r>
      <w:r w:rsidRPr="00562CB9">
        <w:rPr>
          <w:color w:val="000000"/>
        </w:rPr>
        <w:t xml:space="preserve"> Area under the relative operating characteristic curve (AUC) for the 50-mm threshold as a function of lead time</w:t>
      </w:r>
      <w:r>
        <w:rPr>
          <w:color w:val="000000"/>
        </w:rPr>
        <w:t>.</w:t>
      </w:r>
      <w:r w:rsidR="00227C97">
        <w:rPr>
          <w:color w:val="000000"/>
        </w:rPr>
        <w:t xml:space="preserve"> The solid lines represent the ensembles </w:t>
      </w:r>
      <w:r w:rsidR="00C34ECE">
        <w:rPr>
          <w:color w:val="000000"/>
        </w:rPr>
        <w:t>of</w:t>
      </w:r>
      <w:r w:rsidR="00227C97">
        <w:rPr>
          <w:color w:val="000000"/>
        </w:rPr>
        <w:t xml:space="preserve"> WAI models. The dot lines represent the ensembles </w:t>
      </w:r>
      <w:r w:rsidR="00C34ECE">
        <w:rPr>
          <w:color w:val="000000"/>
        </w:rPr>
        <w:t>of</w:t>
      </w:r>
      <w:r w:rsidR="00227C97">
        <w:rPr>
          <w:color w:val="000000"/>
        </w:rPr>
        <w:t xml:space="preserve"> GAI models. The </w:t>
      </w:r>
      <w:r w:rsidR="00227C97" w:rsidRPr="00227C97">
        <w:rPr>
          <w:color w:val="000000"/>
        </w:rPr>
        <w:t>dash-dot lines</w:t>
      </w:r>
      <w:r w:rsidR="00227C97">
        <w:rPr>
          <w:color w:val="000000"/>
        </w:rPr>
        <w:t xml:space="preserve"> represent the </w:t>
      </w:r>
      <w:r w:rsidR="00227C97" w:rsidRPr="00227C97">
        <w:rPr>
          <w:color w:val="000000"/>
        </w:rPr>
        <w:t>hybrid AI ensemble</w:t>
      </w:r>
      <w:r w:rsidR="000914CF">
        <w:rPr>
          <w:color w:val="000000"/>
        </w:rPr>
        <w:t>.</w:t>
      </w:r>
    </w:p>
    <w:p w14:paraId="5F3A7B19" w14:textId="1A12BFB6" w:rsidR="00DD3D04" w:rsidRDefault="00DD3D04">
      <w:pPr>
        <w:rPr>
          <w:color w:val="000000"/>
        </w:rPr>
      </w:pPr>
      <w:r>
        <w:rPr>
          <w:color w:val="000000"/>
        </w:rPr>
        <w:br w:type="page"/>
      </w:r>
    </w:p>
    <w:p w14:paraId="0AF12B1B" w14:textId="694B5735" w:rsidR="00DD3D04" w:rsidRDefault="009C60E6" w:rsidP="00DD3D04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9C60E6">
        <w:rPr>
          <w:bCs/>
          <w:noProof/>
          <w:color w:val="000000"/>
        </w:rPr>
        <w:lastRenderedPageBreak/>
        <w:drawing>
          <wp:inline distT="0" distB="0" distL="0" distR="0" wp14:anchorId="0A5D8DF5" wp14:editId="7DA02372">
            <wp:extent cx="5943600" cy="2176780"/>
            <wp:effectExtent l="0" t="0" r="0" b="0"/>
            <wp:docPr id="658711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1113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E18B" w14:textId="79ADE083" w:rsidR="00DD3D04" w:rsidRDefault="00FC3092" w:rsidP="00DD3D04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  <w:r w:rsidRPr="00FC3092">
        <w:rPr>
          <w:b/>
          <w:color w:val="000000"/>
        </w:rPr>
        <w:t>Fig. S</w:t>
      </w:r>
      <w:r w:rsidR="00C5000E">
        <w:rPr>
          <w:b/>
          <w:color w:val="000000"/>
        </w:rPr>
        <w:t>11</w:t>
      </w:r>
      <w:r w:rsidRPr="00FC3092">
        <w:rPr>
          <w:b/>
          <w:color w:val="000000"/>
        </w:rPr>
        <w:t xml:space="preserve"> | Binned spread–skill relationships for QM-adjusted AI ensembles generated using different combinations of checkpoint diversity and initial-condition (IC) perturbations.</w:t>
      </w:r>
      <w:r w:rsidRPr="00FC3092">
        <w:rPr>
          <w:bCs/>
          <w:color w:val="000000"/>
        </w:rPr>
        <w:t xml:space="preserve"> Blue, orange, green, and black lines denote ensembles generated from 8 checkpoints with 1 IC, 1 checkpoint with 8 ICs, 1 checkpoint with 51 ICs, and 8 checkpoints with 51 ICs, respectively. </w:t>
      </w:r>
      <w:r>
        <w:rPr>
          <w:bCs/>
          <w:color w:val="000000"/>
        </w:rPr>
        <w:t>T</w:t>
      </w:r>
      <w:r w:rsidRPr="00FC3092">
        <w:rPr>
          <w:bCs/>
          <w:color w:val="000000"/>
        </w:rPr>
        <w:t>he dashed 1:1 diagonal line represents an ideal calibration.</w:t>
      </w:r>
    </w:p>
    <w:p w14:paraId="39FED185" w14:textId="77777777" w:rsidR="009B6EBD" w:rsidRPr="00DD3D04" w:rsidRDefault="009B6EBD" w:rsidP="00DD3D04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</w:rPr>
      </w:pPr>
    </w:p>
    <w:p w14:paraId="458D23F8" w14:textId="1DA99EE9" w:rsidR="00205048" w:rsidRDefault="00205048">
      <w:r>
        <w:br w:type="page"/>
      </w:r>
    </w:p>
    <w:p w14:paraId="7A25B478" w14:textId="5207D49C" w:rsidR="002C73D8" w:rsidRDefault="002C73D8">
      <w:pPr>
        <w:spacing w:before="120"/>
        <w:jc w:val="both"/>
        <w:rPr>
          <w:lang w:val="en-US"/>
        </w:rPr>
      </w:pPr>
      <w:r w:rsidRPr="004E74D1">
        <w:rPr>
          <w:b/>
          <w:bCs/>
        </w:rPr>
        <w:lastRenderedPageBreak/>
        <w:t xml:space="preserve">Table 1. Computation resources required by AI </w:t>
      </w:r>
      <w:r w:rsidR="00BD4953" w:rsidRPr="004E74D1">
        <w:rPr>
          <w:b/>
          <w:bCs/>
          <w:lang w:val="en-US"/>
        </w:rPr>
        <w:t>and physics-based models</w:t>
      </w:r>
      <w:r w:rsidR="00204E19" w:rsidRPr="004E74D1">
        <w:rPr>
          <w:b/>
          <w:bCs/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620"/>
        <w:gridCol w:w="3240"/>
        <w:gridCol w:w="2600"/>
      </w:tblGrid>
      <w:tr w:rsidR="00852D10" w14:paraId="1CCB89F3" w14:textId="77777777" w:rsidTr="00D61D43"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26A5C8" w14:textId="5A301BF1" w:rsidR="00852D10" w:rsidRDefault="00852D10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kern w:val="0"/>
                <w:szCs w:val="20"/>
                <w:lang w:val="en-US"/>
              </w:rPr>
              <w:t>Model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8F4C0E" w14:textId="6B0429BD" w:rsidR="00852D10" w:rsidRDefault="00D61D43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852D10">
              <w:rPr>
                <w:lang w:val="en-US"/>
              </w:rPr>
              <w:t>esolution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B2BFD3" w14:textId="668E5CE9" w:rsidR="00852D10" w:rsidRDefault="00852D10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Inference/running time for a single-member 6-day forecast</w:t>
            </w:r>
          </w:p>
        </w:tc>
        <w:tc>
          <w:tcPr>
            <w:tcW w:w="2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75D726" w14:textId="43089256" w:rsidR="00852D10" w:rsidRDefault="00852D10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Hardware</w:t>
            </w:r>
          </w:p>
        </w:tc>
      </w:tr>
      <w:tr w:rsidR="004274D2" w14:paraId="47218814" w14:textId="77777777" w:rsidTr="00D61D43">
        <w:tc>
          <w:tcPr>
            <w:tcW w:w="1890" w:type="dxa"/>
            <w:tcBorders>
              <w:top w:val="single" w:sz="4" w:space="0" w:color="000000"/>
            </w:tcBorders>
            <w:vAlign w:val="center"/>
          </w:tcPr>
          <w:p w14:paraId="4777EB25" w14:textId="782B4A02" w:rsidR="004274D2" w:rsidRDefault="004274D2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West-WRF AI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vAlign w:val="center"/>
          </w:tcPr>
          <w:p w14:paraId="08C96200" w14:textId="053578C6" w:rsidR="004274D2" w:rsidRDefault="004274D2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6 km</w:t>
            </w:r>
          </w:p>
        </w:tc>
        <w:tc>
          <w:tcPr>
            <w:tcW w:w="3240" w:type="dxa"/>
            <w:tcBorders>
              <w:top w:val="single" w:sz="4" w:space="0" w:color="000000"/>
            </w:tcBorders>
            <w:vAlign w:val="center"/>
          </w:tcPr>
          <w:p w14:paraId="5E84C94D" w14:textId="5A65A720" w:rsidR="004274D2" w:rsidRDefault="004274D2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~5 minutes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</w:tcBorders>
            <w:vAlign w:val="center"/>
          </w:tcPr>
          <w:p w14:paraId="272B672A" w14:textId="005A544F" w:rsidR="004274D2" w:rsidRDefault="004274D2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 Nvidia H100 GPU + 8 CPU cores + 96 GB memory</w:t>
            </w:r>
          </w:p>
        </w:tc>
      </w:tr>
      <w:tr w:rsidR="004274D2" w14:paraId="561AFDA0" w14:textId="77777777" w:rsidTr="00D61D43">
        <w:tc>
          <w:tcPr>
            <w:tcW w:w="1890" w:type="dxa"/>
            <w:vAlign w:val="center"/>
          </w:tcPr>
          <w:p w14:paraId="6C6E4E97" w14:textId="65FC9269" w:rsidR="004274D2" w:rsidRDefault="004274D2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Global AI</w:t>
            </w:r>
          </w:p>
        </w:tc>
        <w:tc>
          <w:tcPr>
            <w:tcW w:w="1620" w:type="dxa"/>
            <w:vAlign w:val="center"/>
          </w:tcPr>
          <w:p w14:paraId="04725FBA" w14:textId="4503E1BF" w:rsidR="004274D2" w:rsidRDefault="004274D2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31 km</w:t>
            </w:r>
          </w:p>
        </w:tc>
        <w:tc>
          <w:tcPr>
            <w:tcW w:w="3240" w:type="dxa"/>
            <w:vAlign w:val="center"/>
          </w:tcPr>
          <w:p w14:paraId="5EC9E333" w14:textId="30C158A4" w:rsidR="004274D2" w:rsidRDefault="004274D2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~1.75 minutes</w:t>
            </w:r>
          </w:p>
        </w:tc>
        <w:tc>
          <w:tcPr>
            <w:tcW w:w="2600" w:type="dxa"/>
            <w:vMerge/>
            <w:vAlign w:val="center"/>
          </w:tcPr>
          <w:p w14:paraId="021E0E66" w14:textId="08E99981" w:rsidR="004274D2" w:rsidRDefault="004274D2" w:rsidP="00D61D43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852D10" w14:paraId="2B096C37" w14:textId="77777777" w:rsidTr="00D61D43"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6480C129" w14:textId="36C58EC5" w:rsidR="00852D10" w:rsidRDefault="00852D10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Physics-based West-WRF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4D73BD32" w14:textId="6E6BA0C3" w:rsidR="00852D10" w:rsidRDefault="00852D10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9 km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  <w:vAlign w:val="center"/>
          </w:tcPr>
          <w:p w14:paraId="3A7F312A" w14:textId="5CC2737F" w:rsidR="00852D10" w:rsidRDefault="00852D10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~</w:t>
            </w:r>
            <w:r w:rsidRPr="00852D10">
              <w:rPr>
                <w:lang w:val="en-US"/>
              </w:rPr>
              <w:t>3–4 h</w:t>
            </w:r>
            <w:r>
              <w:rPr>
                <w:lang w:val="en-US"/>
              </w:rPr>
              <w:t>ours</w:t>
            </w:r>
            <w:r w:rsidR="00EC7C05">
              <w:rPr>
                <w:lang w:val="en-US"/>
              </w:rPr>
              <w:t xml:space="preserve">, </w:t>
            </w:r>
            <w:r w:rsidR="00EC7C05" w:rsidRPr="00EC7C05">
              <w:rPr>
                <w:lang w:val="en-US"/>
              </w:rPr>
              <w:t>var</w:t>
            </w:r>
            <w:r w:rsidR="00EC7C05">
              <w:rPr>
                <w:lang w:val="en-US"/>
              </w:rPr>
              <w:t>ies</w:t>
            </w:r>
            <w:r w:rsidR="00EC7C05" w:rsidRPr="00EC7C05">
              <w:rPr>
                <w:lang w:val="en-US"/>
              </w:rPr>
              <w:t xml:space="preserve"> based on</w:t>
            </w:r>
            <w:r w:rsidR="00EC7C05">
              <w:rPr>
                <w:lang w:val="en-US"/>
              </w:rPr>
              <w:t xml:space="preserve"> </w:t>
            </w:r>
            <w:r w:rsidR="00EC7C05" w:rsidRPr="00EC7C05">
              <w:rPr>
                <w:lang w:val="en-US"/>
              </w:rPr>
              <w:t>parameterization scheme</w:t>
            </w:r>
          </w:p>
        </w:tc>
        <w:tc>
          <w:tcPr>
            <w:tcW w:w="2600" w:type="dxa"/>
            <w:tcBorders>
              <w:bottom w:val="single" w:sz="4" w:space="0" w:color="000000"/>
            </w:tcBorders>
            <w:vAlign w:val="center"/>
          </w:tcPr>
          <w:p w14:paraId="3C8DE7FB" w14:textId="129F1488" w:rsidR="00852D10" w:rsidRDefault="00852D10" w:rsidP="00D61D43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384 CPU cores</w:t>
            </w:r>
            <w:r w:rsidR="004274D2">
              <w:rPr>
                <w:lang w:val="en-US"/>
              </w:rPr>
              <w:t xml:space="preserve"> + 448 GB memory</w:t>
            </w:r>
          </w:p>
        </w:tc>
      </w:tr>
    </w:tbl>
    <w:p w14:paraId="72AD1EB2" w14:textId="77777777" w:rsidR="00BD4953" w:rsidRPr="002C73D8" w:rsidRDefault="00BD4953">
      <w:pPr>
        <w:spacing w:before="120"/>
        <w:jc w:val="both"/>
        <w:rPr>
          <w:lang w:val="en-US"/>
        </w:rPr>
      </w:pPr>
    </w:p>
    <w:sectPr w:rsidR="00BD4953" w:rsidRPr="002C73D8">
      <w:footerReference w:type="default" r:id="rId18"/>
      <w:headerReference w:type="first" r:id="rId19"/>
      <w:pgSz w:w="12240" w:h="15840"/>
      <w:pgMar w:top="1440" w:right="1440" w:bottom="1440" w:left="1440" w:header="432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3C08" w14:textId="77777777" w:rsidR="009C3AE0" w:rsidRDefault="009C3AE0">
      <w:r>
        <w:separator/>
      </w:r>
    </w:p>
  </w:endnote>
  <w:endnote w:type="continuationSeparator" w:id="0">
    <w:p w14:paraId="319537BF" w14:textId="77777777" w:rsidR="009C3AE0" w:rsidRDefault="009C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20B0604020202020204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10B19" w14:textId="77777777" w:rsidR="00DD554E" w:rsidRDefault="00DD55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0D79" w14:textId="77777777" w:rsidR="009C3AE0" w:rsidRDefault="009C3AE0">
      <w:r>
        <w:separator/>
      </w:r>
    </w:p>
  </w:footnote>
  <w:footnote w:type="continuationSeparator" w:id="0">
    <w:p w14:paraId="7444E3D3" w14:textId="77777777" w:rsidR="009C3AE0" w:rsidRDefault="009C3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10B1A" w14:textId="77777777" w:rsidR="00DD554E" w:rsidRDefault="00D103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Confidential manuscript submitted to </w:t>
    </w:r>
    <w:r>
      <w:rPr>
        <w:i/>
        <w:color w:val="000000"/>
      </w:rPr>
      <w:t>replace this text with name of AGU journal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54E"/>
    <w:rsid w:val="000026C5"/>
    <w:rsid w:val="000031AF"/>
    <w:rsid w:val="000032F3"/>
    <w:rsid w:val="0000560E"/>
    <w:rsid w:val="0000641B"/>
    <w:rsid w:val="0001403C"/>
    <w:rsid w:val="000340AE"/>
    <w:rsid w:val="00037BF4"/>
    <w:rsid w:val="00050EAD"/>
    <w:rsid w:val="00060C2B"/>
    <w:rsid w:val="00062E3E"/>
    <w:rsid w:val="0007239D"/>
    <w:rsid w:val="000727D3"/>
    <w:rsid w:val="0008004A"/>
    <w:rsid w:val="00081C59"/>
    <w:rsid w:val="000914CF"/>
    <w:rsid w:val="000A0D16"/>
    <w:rsid w:val="000A46E4"/>
    <w:rsid w:val="000B4965"/>
    <w:rsid w:val="000B4AC5"/>
    <w:rsid w:val="000E4D0D"/>
    <w:rsid w:val="000E73BD"/>
    <w:rsid w:val="00106304"/>
    <w:rsid w:val="001250EF"/>
    <w:rsid w:val="00130169"/>
    <w:rsid w:val="001334A6"/>
    <w:rsid w:val="00134F87"/>
    <w:rsid w:val="00140D6A"/>
    <w:rsid w:val="00141529"/>
    <w:rsid w:val="0015311A"/>
    <w:rsid w:val="00160F64"/>
    <w:rsid w:val="00162AAA"/>
    <w:rsid w:val="00165576"/>
    <w:rsid w:val="0018212E"/>
    <w:rsid w:val="00196B2D"/>
    <w:rsid w:val="0019776F"/>
    <w:rsid w:val="001A78D3"/>
    <w:rsid w:val="001B7B4D"/>
    <w:rsid w:val="001C4703"/>
    <w:rsid w:val="001F23B6"/>
    <w:rsid w:val="001F2433"/>
    <w:rsid w:val="00204E19"/>
    <w:rsid w:val="00205048"/>
    <w:rsid w:val="0021556E"/>
    <w:rsid w:val="002212D7"/>
    <w:rsid w:val="00227C97"/>
    <w:rsid w:val="00243CF3"/>
    <w:rsid w:val="00243EE9"/>
    <w:rsid w:val="00266520"/>
    <w:rsid w:val="00280D54"/>
    <w:rsid w:val="00295CB6"/>
    <w:rsid w:val="002C5D8D"/>
    <w:rsid w:val="002C73D8"/>
    <w:rsid w:val="002E1F50"/>
    <w:rsid w:val="002E51EA"/>
    <w:rsid w:val="002F6DEC"/>
    <w:rsid w:val="00304906"/>
    <w:rsid w:val="00305D6A"/>
    <w:rsid w:val="00310471"/>
    <w:rsid w:val="003151F2"/>
    <w:rsid w:val="0032798B"/>
    <w:rsid w:val="0033223B"/>
    <w:rsid w:val="00332246"/>
    <w:rsid w:val="0033602D"/>
    <w:rsid w:val="003445BF"/>
    <w:rsid w:val="00352517"/>
    <w:rsid w:val="00363CA2"/>
    <w:rsid w:val="0037421A"/>
    <w:rsid w:val="003844F3"/>
    <w:rsid w:val="003A4B2E"/>
    <w:rsid w:val="003B238B"/>
    <w:rsid w:val="003B7728"/>
    <w:rsid w:val="003C1347"/>
    <w:rsid w:val="003D1560"/>
    <w:rsid w:val="003D48B9"/>
    <w:rsid w:val="003F1DF9"/>
    <w:rsid w:val="003F43C3"/>
    <w:rsid w:val="004274D2"/>
    <w:rsid w:val="0043191C"/>
    <w:rsid w:val="00464815"/>
    <w:rsid w:val="00464CC8"/>
    <w:rsid w:val="004977D8"/>
    <w:rsid w:val="004A7076"/>
    <w:rsid w:val="004B05E7"/>
    <w:rsid w:val="004C363B"/>
    <w:rsid w:val="004E5D3B"/>
    <w:rsid w:val="004E689B"/>
    <w:rsid w:val="004E74D1"/>
    <w:rsid w:val="005014B8"/>
    <w:rsid w:val="005155D0"/>
    <w:rsid w:val="00521292"/>
    <w:rsid w:val="00525732"/>
    <w:rsid w:val="00533702"/>
    <w:rsid w:val="00543570"/>
    <w:rsid w:val="00553007"/>
    <w:rsid w:val="005628F6"/>
    <w:rsid w:val="00562CB9"/>
    <w:rsid w:val="00564037"/>
    <w:rsid w:val="00576E41"/>
    <w:rsid w:val="00584073"/>
    <w:rsid w:val="005A7B28"/>
    <w:rsid w:val="005B0FFB"/>
    <w:rsid w:val="005D4B08"/>
    <w:rsid w:val="005E3CC4"/>
    <w:rsid w:val="00605C83"/>
    <w:rsid w:val="00610328"/>
    <w:rsid w:val="00611DD0"/>
    <w:rsid w:val="006142FC"/>
    <w:rsid w:val="00632BF1"/>
    <w:rsid w:val="006339AF"/>
    <w:rsid w:val="00633B0C"/>
    <w:rsid w:val="00634974"/>
    <w:rsid w:val="006351FB"/>
    <w:rsid w:val="00647210"/>
    <w:rsid w:val="00661286"/>
    <w:rsid w:val="006664BD"/>
    <w:rsid w:val="00670846"/>
    <w:rsid w:val="006771B7"/>
    <w:rsid w:val="00682D62"/>
    <w:rsid w:val="006A3935"/>
    <w:rsid w:val="006D3843"/>
    <w:rsid w:val="006D572A"/>
    <w:rsid w:val="006E25AC"/>
    <w:rsid w:val="006E4F32"/>
    <w:rsid w:val="00715B1B"/>
    <w:rsid w:val="007339FB"/>
    <w:rsid w:val="007510DB"/>
    <w:rsid w:val="00757F4E"/>
    <w:rsid w:val="00765585"/>
    <w:rsid w:val="007969CB"/>
    <w:rsid w:val="007A6E9B"/>
    <w:rsid w:val="007B1BBB"/>
    <w:rsid w:val="007D4950"/>
    <w:rsid w:val="007E0BB0"/>
    <w:rsid w:val="007E6910"/>
    <w:rsid w:val="007E7D69"/>
    <w:rsid w:val="007F1259"/>
    <w:rsid w:val="007F131B"/>
    <w:rsid w:val="007F2511"/>
    <w:rsid w:val="007F623D"/>
    <w:rsid w:val="00811D03"/>
    <w:rsid w:val="00847196"/>
    <w:rsid w:val="00852D10"/>
    <w:rsid w:val="00862CFA"/>
    <w:rsid w:val="008669ED"/>
    <w:rsid w:val="008A51D3"/>
    <w:rsid w:val="008B4B6E"/>
    <w:rsid w:val="008B76AD"/>
    <w:rsid w:val="008C1AF9"/>
    <w:rsid w:val="008C4E30"/>
    <w:rsid w:val="008D4B77"/>
    <w:rsid w:val="008F2FD8"/>
    <w:rsid w:val="008F5457"/>
    <w:rsid w:val="00901222"/>
    <w:rsid w:val="009022D7"/>
    <w:rsid w:val="00912EB3"/>
    <w:rsid w:val="00916AD6"/>
    <w:rsid w:val="00931FE2"/>
    <w:rsid w:val="00935F9E"/>
    <w:rsid w:val="00947D0B"/>
    <w:rsid w:val="00955925"/>
    <w:rsid w:val="00961A6B"/>
    <w:rsid w:val="00967B1B"/>
    <w:rsid w:val="00985E80"/>
    <w:rsid w:val="00993D02"/>
    <w:rsid w:val="00997A78"/>
    <w:rsid w:val="009A13E0"/>
    <w:rsid w:val="009B5605"/>
    <w:rsid w:val="009B6EBD"/>
    <w:rsid w:val="009C049A"/>
    <w:rsid w:val="009C3AE0"/>
    <w:rsid w:val="009C60E6"/>
    <w:rsid w:val="009D20A4"/>
    <w:rsid w:val="00A03EDD"/>
    <w:rsid w:val="00A07F11"/>
    <w:rsid w:val="00A10076"/>
    <w:rsid w:val="00A11186"/>
    <w:rsid w:val="00A139F9"/>
    <w:rsid w:val="00A24E88"/>
    <w:rsid w:val="00A41931"/>
    <w:rsid w:val="00A560D4"/>
    <w:rsid w:val="00A63610"/>
    <w:rsid w:val="00A65029"/>
    <w:rsid w:val="00A72CD4"/>
    <w:rsid w:val="00AA16A0"/>
    <w:rsid w:val="00AA7732"/>
    <w:rsid w:val="00AB3F73"/>
    <w:rsid w:val="00AB769D"/>
    <w:rsid w:val="00AC7D07"/>
    <w:rsid w:val="00AD56F2"/>
    <w:rsid w:val="00AE11BC"/>
    <w:rsid w:val="00AE4406"/>
    <w:rsid w:val="00AE472D"/>
    <w:rsid w:val="00AF4B3E"/>
    <w:rsid w:val="00B0290B"/>
    <w:rsid w:val="00B06B43"/>
    <w:rsid w:val="00B06CB2"/>
    <w:rsid w:val="00B35248"/>
    <w:rsid w:val="00B366E7"/>
    <w:rsid w:val="00B42286"/>
    <w:rsid w:val="00B51349"/>
    <w:rsid w:val="00B61196"/>
    <w:rsid w:val="00B61710"/>
    <w:rsid w:val="00B63273"/>
    <w:rsid w:val="00BA6FB0"/>
    <w:rsid w:val="00BB1403"/>
    <w:rsid w:val="00BB27FB"/>
    <w:rsid w:val="00BB4D93"/>
    <w:rsid w:val="00BC27B8"/>
    <w:rsid w:val="00BD4953"/>
    <w:rsid w:val="00C05A7E"/>
    <w:rsid w:val="00C11C47"/>
    <w:rsid w:val="00C20DEC"/>
    <w:rsid w:val="00C23D5C"/>
    <w:rsid w:val="00C34ECE"/>
    <w:rsid w:val="00C5000E"/>
    <w:rsid w:val="00C50BB9"/>
    <w:rsid w:val="00C5733E"/>
    <w:rsid w:val="00C63609"/>
    <w:rsid w:val="00C64B1B"/>
    <w:rsid w:val="00C756CF"/>
    <w:rsid w:val="00C80010"/>
    <w:rsid w:val="00C817BE"/>
    <w:rsid w:val="00C90E85"/>
    <w:rsid w:val="00CB451C"/>
    <w:rsid w:val="00CC704E"/>
    <w:rsid w:val="00CD19B7"/>
    <w:rsid w:val="00CF543F"/>
    <w:rsid w:val="00CF5F15"/>
    <w:rsid w:val="00CF62C8"/>
    <w:rsid w:val="00D00F14"/>
    <w:rsid w:val="00D1030E"/>
    <w:rsid w:val="00D13E81"/>
    <w:rsid w:val="00D2218B"/>
    <w:rsid w:val="00D22DC2"/>
    <w:rsid w:val="00D24628"/>
    <w:rsid w:val="00D3423C"/>
    <w:rsid w:val="00D54FBD"/>
    <w:rsid w:val="00D61D43"/>
    <w:rsid w:val="00D61DB9"/>
    <w:rsid w:val="00D6207F"/>
    <w:rsid w:val="00D66CEF"/>
    <w:rsid w:val="00D7074B"/>
    <w:rsid w:val="00D70A01"/>
    <w:rsid w:val="00D7650B"/>
    <w:rsid w:val="00D92D89"/>
    <w:rsid w:val="00D92E6D"/>
    <w:rsid w:val="00D937E4"/>
    <w:rsid w:val="00D953FF"/>
    <w:rsid w:val="00DA07CD"/>
    <w:rsid w:val="00DA4B94"/>
    <w:rsid w:val="00DB692C"/>
    <w:rsid w:val="00DC6971"/>
    <w:rsid w:val="00DD3D04"/>
    <w:rsid w:val="00DD554E"/>
    <w:rsid w:val="00DE6F61"/>
    <w:rsid w:val="00DF064D"/>
    <w:rsid w:val="00DF2EF0"/>
    <w:rsid w:val="00DF6160"/>
    <w:rsid w:val="00DF7D07"/>
    <w:rsid w:val="00E10696"/>
    <w:rsid w:val="00E27E16"/>
    <w:rsid w:val="00E30736"/>
    <w:rsid w:val="00E575C6"/>
    <w:rsid w:val="00E62311"/>
    <w:rsid w:val="00E640A6"/>
    <w:rsid w:val="00E811EB"/>
    <w:rsid w:val="00E82860"/>
    <w:rsid w:val="00E9127A"/>
    <w:rsid w:val="00E96BA5"/>
    <w:rsid w:val="00EA2147"/>
    <w:rsid w:val="00EB1903"/>
    <w:rsid w:val="00EB3C76"/>
    <w:rsid w:val="00EC07B1"/>
    <w:rsid w:val="00EC5E8D"/>
    <w:rsid w:val="00EC61E5"/>
    <w:rsid w:val="00EC7C05"/>
    <w:rsid w:val="00ED71D1"/>
    <w:rsid w:val="00EE5E37"/>
    <w:rsid w:val="00F170D4"/>
    <w:rsid w:val="00F22257"/>
    <w:rsid w:val="00F27D52"/>
    <w:rsid w:val="00F34376"/>
    <w:rsid w:val="00F6019C"/>
    <w:rsid w:val="00F738CA"/>
    <w:rsid w:val="00F947B4"/>
    <w:rsid w:val="00F974E2"/>
    <w:rsid w:val="00FA198C"/>
    <w:rsid w:val="00FA1A72"/>
    <w:rsid w:val="00FA1E9D"/>
    <w:rsid w:val="00FB464A"/>
    <w:rsid w:val="00FC3092"/>
    <w:rsid w:val="00FD030B"/>
    <w:rsid w:val="00FE0D70"/>
    <w:rsid w:val="00FE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110AF5"/>
  <w15:docId w15:val="{ADB3E180-2F93-4253-86B4-80565A3A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7D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jc w:val="center"/>
    </w:pPr>
    <w:rPr>
      <w:b/>
      <w:sz w:val="28"/>
      <w:szCs w:val="28"/>
    </w:rPr>
  </w:style>
  <w:style w:type="paragraph" w:customStyle="1" w:styleId="Reference">
    <w:name w:val="Reference"/>
    <w:basedOn w:val="Normal"/>
    <w:rsid w:val="008A6077"/>
    <w:pPr>
      <w:spacing w:before="120"/>
      <w:ind w:left="720" w:hanging="720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0379AB"/>
    <w:pPr>
      <w:tabs>
        <w:tab w:val="center" w:pos="4680"/>
        <w:tab w:val="right" w:pos="9360"/>
      </w:tabs>
    </w:pPr>
  </w:style>
  <w:style w:type="paragraph" w:customStyle="1" w:styleId="Heading-Secondary">
    <w:name w:val="Heading-Secondary"/>
    <w:basedOn w:val="Heading-Main"/>
    <w:qFormat/>
    <w:rsid w:val="00C81368"/>
    <w:pPr>
      <w:ind w:left="720"/>
    </w:pPr>
    <w:rPr>
      <w:b w:val="0"/>
    </w:rPr>
  </w:style>
  <w:style w:type="paragraph" w:customStyle="1" w:styleId="Authors">
    <w:name w:val="Authors"/>
    <w:basedOn w:val="Normal"/>
    <w:qFormat/>
    <w:rsid w:val="00B120F3"/>
    <w:pPr>
      <w:spacing w:before="120" w:after="360"/>
    </w:pPr>
    <w:rPr>
      <w:b/>
      <w:szCs w:val="24"/>
    </w:rPr>
  </w:style>
  <w:style w:type="paragraph" w:customStyle="1" w:styleId="Text">
    <w:name w:val="Text"/>
    <w:basedOn w:val="Normal"/>
    <w:rsid w:val="008A6077"/>
    <w:pPr>
      <w:spacing w:before="120"/>
      <w:ind w:firstLine="720"/>
    </w:pPr>
    <w:rPr>
      <w:szCs w:val="24"/>
    </w:rPr>
  </w:style>
  <w:style w:type="paragraph" w:customStyle="1" w:styleId="FigureorTableCaption">
    <w:name w:val="Figure or Table Caption"/>
    <w:basedOn w:val="Normal"/>
    <w:rsid w:val="008A6077"/>
    <w:pPr>
      <w:keepNext/>
      <w:spacing w:before="240"/>
      <w:outlineLvl w:val="0"/>
    </w:pPr>
    <w:rPr>
      <w:kern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9AB"/>
    <w:rPr>
      <w:rFonts w:ascii="Times New Roman" w:eastAsia="Calibri" w:hAnsi="Times New Roman" w:cs="Times New Roman"/>
      <w:sz w:val="20"/>
      <w:szCs w:val="20"/>
    </w:rPr>
  </w:style>
  <w:style w:type="character" w:styleId="Hyperlink">
    <w:name w:val="Hyperlink"/>
    <w:rsid w:val="008A6077"/>
    <w:rPr>
      <w:color w:val="0000FF"/>
      <w:u w:val="single"/>
    </w:rPr>
  </w:style>
  <w:style w:type="paragraph" w:customStyle="1" w:styleId="Heading-Main">
    <w:name w:val="Heading-Main"/>
    <w:basedOn w:val="Normal"/>
    <w:rsid w:val="005358D5"/>
    <w:pPr>
      <w:keepNext/>
      <w:spacing w:before="240" w:after="120"/>
      <w:outlineLvl w:val="0"/>
    </w:pPr>
    <w:rPr>
      <w:b/>
      <w:bCs/>
      <w:kern w:val="28"/>
      <w:szCs w:val="24"/>
    </w:rPr>
  </w:style>
  <w:style w:type="paragraph" w:customStyle="1" w:styleId="Affiliation">
    <w:name w:val="Affiliation"/>
    <w:basedOn w:val="Text"/>
    <w:qFormat/>
    <w:rsid w:val="00B719C8"/>
    <w:pPr>
      <w:ind w:firstLine="0"/>
    </w:pPr>
  </w:style>
  <w:style w:type="paragraph" w:customStyle="1" w:styleId="KeyPoints">
    <w:name w:val="Key Points"/>
    <w:basedOn w:val="Normal"/>
    <w:rsid w:val="008A6077"/>
    <w:pPr>
      <w:spacing w:before="120"/>
    </w:pPr>
    <w:rPr>
      <w:szCs w:val="24"/>
    </w:rPr>
  </w:style>
  <w:style w:type="paragraph" w:customStyle="1" w:styleId="Abstract">
    <w:name w:val="Abstract"/>
    <w:basedOn w:val="Normal"/>
    <w:qFormat/>
    <w:rsid w:val="00400425"/>
    <w:pPr>
      <w:spacing w:before="120"/>
    </w:pPr>
    <w:rPr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0425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Note">
    <w:name w:val="Note"/>
    <w:basedOn w:val="Normal"/>
    <w:qFormat/>
    <w:rsid w:val="0037466A"/>
    <w:pPr>
      <w:spacing w:before="240" w:after="240"/>
    </w:pPr>
    <w:rPr>
      <w:color w:val="00B0F0"/>
    </w:rPr>
  </w:style>
  <w:style w:type="paragraph" w:styleId="NormalWeb">
    <w:name w:val="Normal (Web)"/>
    <w:basedOn w:val="Normal"/>
    <w:uiPriority w:val="99"/>
    <w:semiHidden/>
    <w:unhideWhenUsed/>
    <w:rsid w:val="002F3B11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0379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9AB"/>
    <w:rPr>
      <w:rFonts w:ascii="Times New Roman" w:eastAsia="Calibri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810E5"/>
    <w:pPr>
      <w:spacing w:after="200"/>
      <w:ind w:left="720"/>
      <w:contextualSpacing/>
    </w:pPr>
    <w:rPr>
      <w:rFonts w:asciiTheme="minorHAnsi" w:hAnsiTheme="minorHAnsi" w:cstheme="minorBidi"/>
      <w:szCs w:val="24"/>
      <w:lang w:eastAsia="ja-JP"/>
    </w:rPr>
  </w:style>
  <w:style w:type="character" w:styleId="UnresolvedMention">
    <w:name w:val="Unresolved Mention"/>
    <w:basedOn w:val="DefaultParagraphFont"/>
    <w:uiPriority w:val="99"/>
    <w:rsid w:val="00B81C7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B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B93"/>
    <w:rPr>
      <w:rFonts w:ascii="Segoe UI" w:eastAsia="Calibr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4B9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5E57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D47BB"/>
  </w:style>
  <w:style w:type="paragraph" w:customStyle="1" w:styleId="EndNoteBibliographyTitle">
    <w:name w:val="EndNote Bibliography Title"/>
    <w:basedOn w:val="Normal"/>
    <w:link w:val="EndNoteBibliographyTitle0"/>
    <w:rsid w:val="00FB5FFC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FB5FFC"/>
    <w:rPr>
      <w:rFonts w:ascii="Times New Roman" w:eastAsia="Calibri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0"/>
    <w:rsid w:val="00FB5FFC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FB5FFC"/>
    <w:rPr>
      <w:rFonts w:ascii="Times New Roman" w:eastAsia="Calibri" w:hAnsi="Times New Roman" w:cs="Times New Roman"/>
      <w:noProof/>
      <w:sz w:val="20"/>
      <w:szCs w:val="20"/>
    </w:rPr>
  </w:style>
  <w:style w:type="paragraph" w:customStyle="1" w:styleId="Paragraph">
    <w:name w:val="Paragraph"/>
    <w:basedOn w:val="Normal"/>
    <w:rsid w:val="0008305B"/>
    <w:pPr>
      <w:spacing w:before="120"/>
      <w:ind w:firstLine="720"/>
    </w:pPr>
    <w:rPr>
      <w:szCs w:val="24"/>
    </w:rPr>
  </w:style>
  <w:style w:type="paragraph" w:customStyle="1" w:styleId="Acknowledgement">
    <w:name w:val="Acknowledgement"/>
    <w:basedOn w:val="Normal"/>
    <w:rsid w:val="0008305B"/>
    <w:pPr>
      <w:spacing w:before="120"/>
      <w:ind w:left="720" w:hanging="720"/>
    </w:pPr>
    <w:rPr>
      <w:szCs w:val="24"/>
    </w:rPr>
  </w:style>
  <w:style w:type="paragraph" w:customStyle="1" w:styleId="SMHeading">
    <w:name w:val="SM Heading"/>
    <w:basedOn w:val="Heading1"/>
    <w:qFormat/>
    <w:rsid w:val="005B1724"/>
    <w:pPr>
      <w:keepLines w:val="0"/>
      <w:spacing w:before="240" w:after="60" w:line="240" w:lineRule="auto"/>
    </w:pPr>
    <w:rPr>
      <w:kern w:val="32"/>
      <w:sz w:val="24"/>
      <w:szCs w:val="24"/>
    </w:rPr>
  </w:style>
  <w:style w:type="paragraph" w:customStyle="1" w:styleId="SMcaption">
    <w:name w:val="SM caption"/>
    <w:basedOn w:val="Normal"/>
    <w:qFormat/>
    <w:rsid w:val="005B1724"/>
  </w:style>
  <w:style w:type="character" w:customStyle="1" w:styleId="Heading1Char">
    <w:name w:val="Heading 1 Char"/>
    <w:basedOn w:val="DefaultParagraphFont"/>
    <w:link w:val="Heading1"/>
    <w:uiPriority w:val="9"/>
    <w:rsid w:val="005B1724"/>
    <w:rPr>
      <w:rFonts w:ascii="Times New Roman" w:eastAsia="Calibri" w:hAnsi="Times New Roman" w:cs="Times New Roman"/>
      <w:b/>
      <w:bCs/>
      <w:kern w:val="44"/>
      <w:sz w:val="44"/>
      <w:szCs w:val="44"/>
    </w:rPr>
  </w:style>
  <w:style w:type="paragraph" w:styleId="Revision">
    <w:name w:val="Revision"/>
    <w:hidden/>
    <w:uiPriority w:val="99"/>
    <w:semiHidden/>
    <w:rsid w:val="000930F2"/>
    <w:rPr>
      <w:rFonts w:eastAsia="Calibri"/>
    </w:rPr>
  </w:style>
  <w:style w:type="character" w:customStyle="1" w:styleId="fontstyle01">
    <w:name w:val="fontstyle01"/>
    <w:basedOn w:val="DefaultParagraphFont"/>
    <w:rsid w:val="00D808E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D808E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7153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47153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7153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715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DA2A59"/>
    <w:rPr>
      <w:color w:val="808080"/>
    </w:rPr>
  </w:style>
  <w:style w:type="paragraph" w:customStyle="1" w:styleId="ArticleTitle">
    <w:name w:val="Article_Title"/>
    <w:qFormat/>
    <w:rsid w:val="007235B3"/>
    <w:pPr>
      <w:snapToGrid w:val="0"/>
      <w:spacing w:before="120" w:after="120" w:line="360" w:lineRule="auto"/>
      <w:jc w:val="center"/>
    </w:pPr>
    <w:rPr>
      <w:b/>
      <w:kern w:val="28"/>
      <w:sz w:val="28"/>
    </w:rPr>
  </w:style>
  <w:style w:type="paragraph" w:customStyle="1" w:styleId="ParagraphText">
    <w:name w:val="Paragraph Text"/>
    <w:link w:val="ParagraphTextChar"/>
    <w:qFormat/>
    <w:rsid w:val="001568D0"/>
    <w:pPr>
      <w:snapToGrid w:val="0"/>
      <w:spacing w:before="120" w:line="360" w:lineRule="auto"/>
      <w:ind w:firstLine="360"/>
    </w:pPr>
  </w:style>
  <w:style w:type="character" w:customStyle="1" w:styleId="ParagraphTextChar">
    <w:name w:val="Paragraph Text Char"/>
    <w:basedOn w:val="DefaultParagraphFont"/>
    <w:link w:val="ParagraphText"/>
    <w:rsid w:val="001568D0"/>
    <w:rPr>
      <w:rFonts w:ascii="Times New Roman" w:eastAsiaTheme="minorEastAsia" w:hAnsi="Times New Roman" w:cs="Times New Roman"/>
      <w:szCs w:val="20"/>
    </w:rPr>
  </w:style>
  <w:style w:type="table" w:customStyle="1" w:styleId="1">
    <w:name w:val="网格型1"/>
    <w:basedOn w:val="TableNormal"/>
    <w:qFormat/>
    <w:rsid w:val="00232E17"/>
    <w:rPr>
      <w:rFonts w:ascii="DengXian" w:hAnsi="DengXi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TableNormal"/>
    <w:qFormat/>
    <w:rsid w:val="00022004"/>
    <w:rPr>
      <w:rFonts w:ascii="DengXian" w:hAnsi="DengXi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s">
    <w:name w:val="Affiliations"/>
    <w:qFormat/>
    <w:rsid w:val="00A6369C"/>
    <w:pPr>
      <w:snapToGrid w:val="0"/>
      <w:spacing w:before="120" w:line="360" w:lineRule="auto"/>
      <w:jc w:val="center"/>
    </w:pPr>
    <w:rPr>
      <w:i/>
    </w:rPr>
  </w:style>
  <w:style w:type="paragraph" w:styleId="Caption">
    <w:name w:val="caption"/>
    <w:basedOn w:val="ParagraphText"/>
    <w:next w:val="Normal"/>
    <w:uiPriority w:val="35"/>
    <w:unhideWhenUsed/>
    <w:rsid w:val="0014115F"/>
    <w:pPr>
      <w:spacing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nVDBIcld/7rWBvcqX2aHmPQw+A==">CgMxLjA4AGouChRzdWdnZXN0LmlidHFjdGZ4YnA4ZxIWSm9yZ2UgTHVpcyBCYW5vIE1lZGluYWouChRzdWdnZXN0LnFuNzJsYzdiOTgweRIWSm9yZ2UgTHVpcyBCYW5vIE1lZGluYXIhMVljWkNXYU1rSFNpdW9pWG9iTTRuUXpYRXlxU0lrZ2N2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Yanbo Nie</cp:lastModifiedBy>
  <cp:revision>236</cp:revision>
  <dcterms:created xsi:type="dcterms:W3CDTF">2021-07-07T07:15:00Z</dcterms:created>
  <dcterms:modified xsi:type="dcterms:W3CDTF">2026-05-30T22:32:00Z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8a60bc65-b926-4e7b-ab46-f94ef70f1939</vt:lpwstr>
  </property>
</Properties>
</file>