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29C101">
      <w:pPr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Hlk161310932"/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Cascade  Oxidation and Cation Exchange Reactions to Progressively Engineer High-entropy Metal Oxides</w:t>
      </w:r>
    </w:p>
    <w:p w14:paraId="67ADA330">
      <w:p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Liyan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Zhao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,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Zhiruo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Zhao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Wentong Zhang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§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Yuhua Liu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Jiaying Jin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Mi Yan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,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3,4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and Shikuan Yang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2,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</w:rPr>
        <w:t>3,4</w:t>
      </w:r>
      <w:r>
        <w:rPr>
          <w:rFonts w:ascii="Times New Roman" w:hAnsi="Times New Roman" w:cs="Times New Roman"/>
          <w:color w:val="auto"/>
          <w:sz w:val="24"/>
          <w:szCs w:val="24"/>
        </w:rPr>
        <w:t>*</w:t>
      </w:r>
    </w:p>
    <w:p w14:paraId="0C1ABEC6">
      <w:pPr>
        <w:pStyle w:val="24"/>
        <w:spacing w:line="360" w:lineRule="auto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  <w:vertAlign w:val="superscript"/>
          <w:lang w:eastAsia="zh-CN"/>
        </w:rPr>
        <w:t>1</w:t>
      </w:r>
      <w:r>
        <w:rPr>
          <w:rFonts w:ascii="Times New Roman" w:hAnsi="Times New Roman"/>
          <w:b w:val="0"/>
          <w:color w:val="auto"/>
        </w:rPr>
        <w:t>Department of Medical Oncology, The Second Affiliated Hospital, Zhejiang University School of Medicine, Hangzhou 310003, China</w:t>
      </w:r>
    </w:p>
    <w:p w14:paraId="04B9C0C8">
      <w:pPr>
        <w:pStyle w:val="23"/>
        <w:spacing w:line="360" w:lineRule="auto"/>
        <w:ind w:firstLine="0"/>
        <w:jc w:val="both"/>
        <w:rPr>
          <w:color w:val="auto"/>
        </w:rPr>
      </w:pPr>
      <w:r>
        <w:rPr>
          <w:rFonts w:hint="eastAsia" w:eastAsia="宋体"/>
          <w:color w:val="auto"/>
          <w:vertAlign w:val="superscript"/>
          <w:lang w:eastAsia="zh-CN"/>
        </w:rPr>
        <w:t>2</w:t>
      </w:r>
      <w:r>
        <w:rPr>
          <w:color w:val="auto"/>
        </w:rPr>
        <w:t>School of Materials Science and Engineering, Zhejiang University, Hangzhou 310027, China</w:t>
      </w:r>
    </w:p>
    <w:p w14:paraId="197A3CC6">
      <w:pPr>
        <w:pStyle w:val="23"/>
        <w:spacing w:line="360" w:lineRule="auto"/>
        <w:ind w:firstLine="0"/>
        <w:jc w:val="both"/>
        <w:rPr>
          <w:color w:val="auto"/>
          <w:shd w:val="clear" w:color="auto" w:fill="FFFFFF"/>
        </w:rPr>
      </w:pPr>
      <w:r>
        <w:rPr>
          <w:rFonts w:hint="eastAsia" w:eastAsia="宋体"/>
          <w:color w:val="auto"/>
          <w:vertAlign w:val="superscript"/>
          <w:lang w:eastAsia="zh-CN"/>
        </w:rPr>
        <w:t>3</w:t>
      </w:r>
      <w:r>
        <w:rPr>
          <w:color w:val="auto"/>
          <w:shd w:val="clear" w:color="auto" w:fill="FFFFFF"/>
        </w:rPr>
        <w:t>State Key Laboratory of Baiyunobo Rare Earth Resource Researches and Comprehensive Utilization, Baotou Research Institution of Rare Earths, Baotou 014030, China</w:t>
      </w:r>
    </w:p>
    <w:p w14:paraId="24467759">
      <w:pPr>
        <w:pStyle w:val="23"/>
        <w:spacing w:line="360" w:lineRule="auto"/>
        <w:ind w:firstLine="0"/>
        <w:jc w:val="both"/>
        <w:rPr>
          <w:rFonts w:eastAsia="宋体"/>
          <w:color w:val="auto"/>
          <w:shd w:val="clear" w:color="auto" w:fill="FFFFFF"/>
          <w:lang w:eastAsia="zh-CN"/>
        </w:rPr>
      </w:pPr>
      <w:r>
        <w:rPr>
          <w:rFonts w:eastAsia="宋体"/>
          <w:color w:val="auto"/>
          <w:shd w:val="clear" w:color="auto" w:fill="FFFFFF"/>
          <w:vertAlign w:val="superscript"/>
          <w:lang w:eastAsia="zh-CN"/>
        </w:rPr>
        <w:t>4</w:t>
      </w:r>
      <w:r>
        <w:rPr>
          <w:rFonts w:hint="eastAsia" w:eastAsia="宋体"/>
          <w:color w:val="auto"/>
          <w:shd w:val="clear" w:color="auto" w:fill="FFFFFF"/>
          <w:lang w:eastAsia="zh-CN"/>
        </w:rPr>
        <w:t>Zhejiang Province Key Laboratory of Advanced Information Materials, Hangzhou 310027, China</w:t>
      </w:r>
    </w:p>
    <w:p w14:paraId="56C87D26">
      <w:pPr>
        <w:pStyle w:val="23"/>
        <w:spacing w:line="360" w:lineRule="auto"/>
        <w:ind w:firstLine="0"/>
        <w:jc w:val="both"/>
        <w:rPr>
          <w:rFonts w:eastAsiaTheme="minorEastAsia"/>
          <w:color w:val="auto"/>
          <w:shd w:val="clear" w:color="auto" w:fill="FFFFFF"/>
          <w:lang w:eastAsia="zh-CN"/>
        </w:rPr>
      </w:pPr>
      <w:r>
        <w:rPr>
          <w:rFonts w:eastAsiaTheme="minorEastAsia"/>
          <w:color w:val="auto"/>
          <w:shd w:val="clear" w:color="auto" w:fill="FFFFFF"/>
          <w:vertAlign w:val="superscript"/>
          <w:lang w:eastAsia="zh-CN"/>
        </w:rPr>
        <w:t>§</w:t>
      </w:r>
      <w:r>
        <w:rPr>
          <w:rFonts w:hint="eastAsia" w:eastAsiaTheme="minorEastAsia"/>
          <w:color w:val="auto"/>
          <w:shd w:val="clear" w:color="auto" w:fill="FFFFFF"/>
          <w:lang w:eastAsia="zh-CN"/>
        </w:rPr>
        <w:t>These authors contributed equally to this work</w:t>
      </w:r>
    </w:p>
    <w:p w14:paraId="60B3E0CE">
      <w:pPr>
        <w:rPr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*Corresponding author. Email: shkyang@zju.edu.cn (S.K.)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</w:t>
      </w:r>
      <w:bookmarkEnd w:id="0"/>
      <w:r>
        <w:rPr>
          <w:color w:val="auto"/>
        </w:rPr>
        <w:br w:type="page"/>
      </w:r>
    </w:p>
    <w:p w14:paraId="674508DB">
      <w:pPr>
        <w:pStyle w:val="23"/>
        <w:spacing w:line="480" w:lineRule="auto"/>
        <w:ind w:firstLine="0"/>
        <w:jc w:val="both"/>
        <w:rPr>
          <w:color w:val="auto"/>
        </w:rPr>
      </w:pPr>
      <w:r>
        <w:rPr>
          <w:b/>
          <w:bCs/>
          <w:color w:val="auto"/>
        </w:rPr>
        <w:t>Part I. Materials and Methods</w:t>
      </w:r>
    </w:p>
    <w:p w14:paraId="0B199551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 Experimental section</w:t>
      </w:r>
    </w:p>
    <w:p w14:paraId="431530B3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1.1 Chemicals</w:t>
      </w:r>
    </w:p>
    <w:p w14:paraId="7FC2D8F0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Nickel nitrate (Ni(NO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·6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O),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color w:val="auto"/>
          <w:sz w:val="24"/>
          <w:szCs w:val="24"/>
        </w:rPr>
        <w:t>hromic nitrate (Cr(NO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·9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O),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l</w:t>
      </w:r>
      <w:r>
        <w:rPr>
          <w:rFonts w:ascii="Times New Roman" w:hAnsi="Times New Roman" w:cs="Times New Roman"/>
          <w:color w:val="auto"/>
          <w:sz w:val="24"/>
          <w:szCs w:val="24"/>
        </w:rPr>
        <w:t>ead nitrate(Pb(NO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),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z</w:t>
      </w:r>
      <w:r>
        <w:rPr>
          <w:rFonts w:ascii="Times New Roman" w:hAnsi="Times New Roman" w:cs="Times New Roman"/>
          <w:color w:val="auto"/>
          <w:sz w:val="24"/>
          <w:szCs w:val="24"/>
        </w:rPr>
        <w:t>inc nitrate (Zn(NO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·6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O), ferric nitrate (Fe(NO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·9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O),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>
        <w:rPr>
          <w:rFonts w:ascii="Times New Roman" w:hAnsi="Times New Roman" w:cs="Times New Roman"/>
          <w:color w:val="auto"/>
          <w:sz w:val="24"/>
          <w:szCs w:val="24"/>
        </w:rPr>
        <w:t>errous sulfate (FeSO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·7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O),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>ilver nitrate (AgNO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), boric acid (H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BO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), potassium chloride </w:t>
      </w:r>
      <w:bookmarkStart w:id="1" w:name="OLE_LINK18"/>
      <w:r>
        <w:rPr>
          <w:rFonts w:ascii="Times New Roman" w:hAnsi="Times New Roman" w:cs="Times New Roman"/>
          <w:color w:val="auto"/>
          <w:sz w:val="24"/>
          <w:szCs w:val="24"/>
        </w:rPr>
        <w:t>(KCl)</w:t>
      </w:r>
      <w:bookmarkEnd w:id="1"/>
      <w:r>
        <w:rPr>
          <w:rFonts w:ascii="Times New Roman" w:hAnsi="Times New Roman" w:cs="Times New Roman"/>
          <w:color w:val="auto"/>
          <w:sz w:val="24"/>
          <w:szCs w:val="24"/>
        </w:rPr>
        <w:t>, and ethyl alcohol were purchased from Sinopharm Chemical Reagent Co., Ltd. Sodium sulphide (Na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·9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O) was purchased from Macklin. Manganous nitrate (Mn(NO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) and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>
        <w:rPr>
          <w:rFonts w:ascii="Times New Roman" w:hAnsi="Times New Roman" w:cs="Times New Roman"/>
          <w:color w:val="auto"/>
          <w:sz w:val="24"/>
          <w:szCs w:val="24"/>
        </w:rPr>
        <w:t>otassium iodide (KI) were purchased from Energy Chemical. Cobalt nitrate (Co(NO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等线" w:cs="Times New Roman"/>
          <w:color w:val="auto"/>
          <w:sz w:val="24"/>
          <w:szCs w:val="24"/>
        </w:rPr>
        <w:t>·6</w:t>
      </w:r>
      <w:r>
        <w:rPr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O) was purchased from Aladdin. Sodium borohydride (NaBH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t>) was purchased from Sigma-Aldrich Co., Ltd. All chemical reagents were of analytical grade and used without further purification.</w:t>
      </w:r>
    </w:p>
    <w:p w14:paraId="67398582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1.2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Electrodeposition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of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baseline"/>
        </w:rPr>
        <w:t>microstructures</w:t>
      </w:r>
    </w:p>
    <w:p w14:paraId="73D865ED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OLE_LINK15"/>
      <w:r>
        <w:rPr>
          <w:rFonts w:ascii="Times New Roman" w:hAnsi="Times New Roman" w:cs="Times New Roman"/>
          <w:color w:val="auto"/>
          <w:sz w:val="24"/>
          <w:szCs w:val="24"/>
        </w:rPr>
        <w:t xml:space="preserve">10 nm-thick titanium and 50 nm-thick </w:t>
      </w:r>
      <w:r>
        <w:rPr>
          <w:rFonts w:ascii="Times New Roman" w:hAnsi="Times New Roman" w:cs="Times New Roman"/>
          <w:color w:val="auto"/>
          <w:sz w:val="24"/>
          <w:szCs w:val="24"/>
        </w:rPr>
        <w:t>gold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film were thermally evaporated on</w:t>
      </w:r>
      <w:r>
        <w:rPr>
          <w:rFonts w:ascii="Times New Roman" w:hAnsi="Times New Roman" w:cs="Times New Roman"/>
          <w:color w:val="auto"/>
          <w:sz w:val="24"/>
          <w:szCs w:val="24"/>
        </w:rPr>
        <w:t>to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 piece of silicon wafer at a rate of 0.1 nm/s. </w:t>
      </w:r>
      <w:bookmarkStart w:id="3" w:name="OLE_LINK7"/>
      <w:r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auto"/>
          <w:sz w:val="24"/>
          <w:szCs w:val="24"/>
        </w:rPr>
        <w:t>gold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film-covered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silicon </w:t>
      </w:r>
      <w:r>
        <w:rPr>
          <w:rFonts w:ascii="Times New Roman" w:hAnsi="Times New Roman" w:cs="Times New Roman"/>
          <w:color w:val="auto"/>
          <w:sz w:val="24"/>
          <w:szCs w:val="24"/>
        </w:rPr>
        <w:t>wafer</w:t>
      </w:r>
      <w:bookmarkEnd w:id="3"/>
      <w:r>
        <w:rPr>
          <w:rFonts w:ascii="Times New Roman" w:hAnsi="Times New Roman" w:cs="Times New Roman"/>
          <w:color w:val="auto"/>
          <w:sz w:val="24"/>
          <w:szCs w:val="24"/>
        </w:rPr>
        <w:t xml:space="preserve"> was cut into small pieces with an area of 1 cm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×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2 cm serving as the </w:t>
      </w:r>
      <w:bookmarkStart w:id="4" w:name="OLE_LINK1"/>
      <w:r>
        <w:rPr>
          <w:rFonts w:ascii="Times New Roman" w:hAnsi="Times New Roman" w:cs="Times New Roman"/>
          <w:color w:val="auto"/>
          <w:sz w:val="24"/>
          <w:szCs w:val="24"/>
        </w:rPr>
        <w:t>working electrode</w:t>
      </w:r>
      <w:bookmarkEnd w:id="4"/>
      <w:r>
        <w:rPr>
          <w:rFonts w:ascii="Times New Roman" w:hAnsi="Times New Roman" w:cs="Times New Roman"/>
          <w:color w:val="auto"/>
          <w:sz w:val="24"/>
          <w:szCs w:val="24"/>
        </w:rPr>
        <w:t>. The working electrode was w</w:t>
      </w:r>
      <w:bookmarkEnd w:id="2"/>
      <w:r>
        <w:rPr>
          <w:rFonts w:ascii="Times New Roman" w:hAnsi="Times New Roman" w:cs="Times New Roman"/>
          <w:color w:val="auto"/>
          <w:sz w:val="24"/>
          <w:szCs w:val="24"/>
        </w:rPr>
        <w:t>ashed with deionized water and then treated in a plasma cleaner for 10 min to obtain a hydrophilic surface. Electrodeposition was carried out using a three-electrode system. The reference electrode was Ag/AgCl. The counter electrode was a carbon rod (8 cm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×</w:t>
      </w:r>
      <w:r>
        <w:rPr>
          <w:rFonts w:ascii="Times New Roman" w:hAnsi="Times New Roman" w:cs="Times New Roman"/>
          <w:color w:val="auto"/>
          <w:sz w:val="24"/>
          <w:szCs w:val="24"/>
        </w:rPr>
        <w:t>Ф5 mm). The electrolyte solution was composed of AgNO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color w:val="auto"/>
          <w:sz w:val="24"/>
          <w:szCs w:val="24"/>
        </w:rPr>
        <w:t>(0.06 M) and H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BO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color w:val="auto"/>
          <w:sz w:val="24"/>
          <w:szCs w:val="24"/>
        </w:rPr>
        <w:t>(0.16 M). All the electrodeposition processes were performed at room temperature. The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microarchitectures were deposited on the </w:t>
      </w:r>
      <w:bookmarkStart w:id="5" w:name="_Hlk157632419"/>
      <w:r>
        <w:rPr>
          <w:rFonts w:ascii="Times New Roman" w:hAnsi="Times New Roman" w:cs="Times New Roman"/>
          <w:color w:val="auto"/>
          <w:sz w:val="24"/>
          <w:szCs w:val="24"/>
        </w:rPr>
        <w:t>anode electrode surface</w:t>
      </w:r>
      <w:bookmarkEnd w:id="5"/>
      <w:r>
        <w:rPr>
          <w:rFonts w:ascii="Times New Roman" w:hAnsi="Times New Roman" w:cs="Times New Roman"/>
          <w:color w:val="auto"/>
          <w:sz w:val="24"/>
          <w:szCs w:val="24"/>
        </w:rPr>
        <w:t xml:space="preserve">. The potential waveform was generated by an electrochemical workstation (CHI 660D, CH Instruments Ins.). </w:t>
      </w:r>
    </w:p>
    <w:p w14:paraId="2FA5A40B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1.3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onversion of Ag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to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 xml:space="preserve">multicomponent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metal oxides</w:t>
      </w:r>
    </w:p>
    <w:p w14:paraId="4045A8A2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The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microparticle powders were  collected from the electrode surface by immersing it into water. The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microparticle powders were dispersed into 5 ml of 50 mM ion aqueous solutions (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>i.e.</w:t>
      </w:r>
      <w:r>
        <w:rPr>
          <w:rFonts w:ascii="Times New Roman" w:hAnsi="Times New Roman" w:cs="Times New Roman"/>
          <w:color w:val="auto"/>
          <w:sz w:val="24"/>
          <w:szCs w:val="24"/>
        </w:rPr>
        <w:t>, Co(NO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Ni(NO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Mn(NO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Pb(NO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FeSO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) to finish the transformation to multicomponent metal oxides. </w:t>
      </w:r>
    </w:p>
    <w:p w14:paraId="7D2D35F1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Synthesis of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high-entropy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metal oxide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by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COCE reactions</w:t>
      </w:r>
    </w:p>
    <w:p w14:paraId="6DADEC5C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In a typical reaction, the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6" w:name="OLE_LINK12"/>
      <w:r>
        <w:rPr>
          <w:rFonts w:ascii="Times New Roman" w:hAnsi="Times New Roman" w:cs="Times New Roman"/>
          <w:color w:val="auto"/>
          <w:sz w:val="24"/>
          <w:szCs w:val="24"/>
        </w:rPr>
        <w:t>microarchitectures</w:t>
      </w:r>
      <w:bookmarkEnd w:id="6"/>
      <w:r>
        <w:rPr>
          <w:rFonts w:ascii="Times New Roman" w:hAnsi="Times New Roman" w:cs="Times New Roman"/>
          <w:color w:val="auto"/>
          <w:sz w:val="24"/>
          <w:szCs w:val="24"/>
        </w:rPr>
        <w:t xml:space="preserve"> were placed in a square container containing 9 ml of 50 mM Ni(NO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aqueous solutions. After 1 h reaction, AgNiO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microarchitectures were prepared. Next, the AgNiO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microarchitectures were cleaned with deionized water and then was immersed in 9 ml of 50 mM Co(NO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aqueous solutions. The reaction proceeded for 3 min to replace Ni with Co in the lattice, generating Ag(Ni,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microarchitectures. Similarly, the Ag(Ni,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microarchitectures were immersed in 9 ml of 50 mM Mn(NO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aqueous solutions for 1 min  to introduce Mn, giving rise to the formation of Ag(Ni,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. Next, the composition transformation was conducted by immersing the microarchitectures into 9 ml of 50 mM FeSO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aqueous solutions for 30 s to synthesize Ag(Ni,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Fe)O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. As last,  Ag(Ni,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Fe)O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color w:val="auto"/>
          <w:sz w:val="24"/>
          <w:szCs w:val="24"/>
        </w:rPr>
        <w:t>microarchitectures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were immersed into 9 ml of 50 mM Cr(NO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ethanol solutions. The reaction was allowed to proceed for 2 min to create Ag(Ni,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Fe,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Cr)O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microtructures.</w:t>
      </w:r>
    </w:p>
    <w:p w14:paraId="55B1165C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2. Characterizations</w:t>
      </w:r>
    </w:p>
    <w:p w14:paraId="4441E76D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2.1 Morphology and microstructure characterization</w:t>
      </w:r>
    </w:p>
    <w:p w14:paraId="56BA9AE7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The morphology of the microarchitectures was observed by a transmission electron microscope (TEM,</w:t>
      </w:r>
      <w:r>
        <w:rPr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FEI Talos F200x, American) and a scanning electron microscope (SEM, GeminiSEM 300) equipped with an energy dispersive spectrometer (EDS). X-ray diffraction (XRD) patterns were collected on an X-ray diffractometer (GIXRD, Rigaku Ultima IV, Japan). X-ray photoelectron spectroscopy (XPS) was performed using a Thermo Scientific spectrometer (ESCALAB 250Xi). </w:t>
      </w:r>
    </w:p>
    <w:p w14:paraId="2B49153A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To track the morphological evolution during the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OCE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process, quasi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in situ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SEM characterization was performed. A cross-shaped marker was first created on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the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gold electrode substrate to serve as a positional reference. Subsequently,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pyramids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were electrodeposited onto the marked region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at 2 V for 5 min</w:t>
      </w:r>
      <w:r>
        <w:rPr>
          <w:rFonts w:ascii="Times New Roman" w:hAnsi="Times New Roman" w:cs="Times New Roman"/>
          <w:color w:val="auto"/>
          <w:sz w:val="24"/>
          <w:szCs w:val="24"/>
        </w:rPr>
        <w:t>. SEM images of the electrodeposited micropyramid were taken. Then, the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micropyramid was immersed into the polyvalent ion solutios to initiate the OCE reactions.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The micropyramid after OCE reactions was characterized by </w:t>
      </w:r>
      <w:r>
        <w:rPr>
          <w:rFonts w:ascii="Times New Roman" w:hAnsi="Times New Roman" w:cs="Times New Roman"/>
          <w:color w:val="auto"/>
          <w:sz w:val="24"/>
          <w:szCs w:val="24"/>
        </w:rPr>
        <w:t>SEM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to monitor the structural evolution. The above procedure was repeated several times to monitor the COCE reactions. </w:t>
      </w:r>
    </w:p>
    <w:p w14:paraId="02DA58BF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2.2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OCP test</w:t>
      </w:r>
    </w:p>
    <w:p w14:paraId="6260AE9D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OCP measurements were conducted to monitor the OCE reaction process in real time. The as-electrodeposited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sample was used as the working electrode. A carbon plate with an area of </w:t>
      </w:r>
      <w:r>
        <w:rPr>
          <w:rFonts w:ascii="Times New Roman" w:hAnsi="Times New Roman" w:cs="Times New Roman"/>
          <w:color w:val="auto"/>
          <w:sz w:val="24"/>
          <w:szCs w:val="24"/>
        </w:rPr>
        <w:t>2 cm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served as the counter electrode, and an Ag/AgCl electrode was employed as the reference electrode. The electrolyte were composed of polyvalent cations.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The measurements were performed on an electrochemical workstation (CHI 760e) under OCP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test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mode. The potential of the system was continuously recorded as a function of time until a stable value was reached, indicating the completion of the reaction. The correspon</w:t>
      </w:r>
      <w:bookmarkStart w:id="11" w:name="_GoBack"/>
      <w:bookmarkEnd w:id="11"/>
      <w:r>
        <w:rPr>
          <w:rFonts w:ascii="Times New Roman" w:hAnsi="Times New Roman" w:cs="Times New Roman"/>
          <w:color w:val="auto"/>
          <w:sz w:val="24"/>
          <w:szCs w:val="24"/>
        </w:rPr>
        <w:t>ding overpotential–time curves were then recorded for further analysis.</w:t>
      </w:r>
    </w:p>
    <w:p w14:paraId="20F00897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2.3 </w:t>
      </w:r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In situ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Raman spectroscopy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measurements</w:t>
      </w:r>
    </w:p>
    <w:p w14:paraId="142CB8E5">
      <w:pPr>
        <w:spacing w:line="480" w:lineRule="auto"/>
        <w:ind w:firstLine="240" w:firstLineChars="10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b w:val="0"/>
          <w:bCs/>
          <w:i/>
          <w:iCs/>
          <w:color w:val="auto"/>
          <w:sz w:val="24"/>
          <w:szCs w:val="24"/>
        </w:rPr>
        <w:t xml:space="preserve"> In situ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Raman spectroscopy was performed to monitor the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composition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evolution during the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OCE reaction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process. The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Raman spectr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 xml:space="preserve"> of an 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as-electrodeposited 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micro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pyramid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were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first collected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Subsequently, 100 μL of the polyvalent ion solutions were gently dropped onto the 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micropyramid to initiate the OCE reaction. Raman spectra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 xml:space="preserve">of the same micropyramid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were recorded after OCE reactions proceeded for 400 s, 900 s, and 1000 s. </w:t>
      </w:r>
    </w:p>
    <w:p w14:paraId="03052634">
      <w:p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Oxygen evolution reaction measurements</w:t>
      </w:r>
    </w:p>
    <w:p w14:paraId="6C38548C">
      <w:pPr>
        <w:spacing w:line="480" w:lineRule="auto"/>
        <w:ind w:firstLine="480" w:firstLineChars="20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The OER electrocatalytic performance was evaluated using a standard three-electrode system.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 piece of n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ickel foam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with an area of 2 cm </w:t>
      </w:r>
      <w:r>
        <w:rPr>
          <w:rFonts w:hint="default" w:ascii="Arial" w:hAnsi="Arial" w:cs="Arial"/>
          <w:bCs/>
          <w:color w:val="auto"/>
          <w:sz w:val="24"/>
          <w:szCs w:val="24"/>
        </w:rPr>
        <w:t>×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3 cm 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was selected as the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substrate to accormadate the catalysts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.</w:t>
      </w:r>
    </w:p>
    <w:p w14:paraId="19E36FC1">
      <w:pPr>
        <w:spacing w:line="480" w:lineRule="auto"/>
        <w:ind w:firstLine="480" w:firstLineChars="20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microtorpedoes were electrodeposited onto a piece of nickel foam. The as-prepared 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microtorpedo-decorated  nickel foam was subsequently immersed in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lang w:eastAsia="zh-CN"/>
        </w:rPr>
        <w:t>5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mM NiSO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solutions to initiate the OCE reactions. After 1000 s, the 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microtorpedoes were converted into AgNiO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microtorpedoes. Further OCE reactions with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Fe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ions in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lang w:eastAsia="zh-CN"/>
        </w:rPr>
        <w:t>5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mM FeSO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solutions yielded Ag(Ni, Fe)O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modified nickel foam. Complete OCE reactions between AgNiO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and Fe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ions gave rise to the formation of AgFeO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modified nickel foam.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The obtained electrodes were then used as OER catalysts in 0.1 M KOH electrolyte. A piece of carbon plate with an area of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1.5 cm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served as the counter electrode, and an Ag/AgCl electrode was used as the reference electrode.</w:t>
      </w:r>
    </w:p>
    <w:p w14:paraId="24E78E49">
      <w:pPr>
        <w:spacing w:line="480" w:lineRule="auto"/>
        <w:ind w:firstLine="480" w:firstLineChars="20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Linear sweep voltammetry (LSV) measurements were performed with a scan rate of 0.02 V s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. Electrochemical impedance spectroscopy (EIS) was conducted at the open-circuit potential with a frequency ranging from 10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to 0.01 Hz.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All LSV curves were corrected for iR compensation (90%). EIS data were fitted using ZView software to extract equivalent circuit parameters.</w:t>
      </w:r>
    </w:p>
    <w:p w14:paraId="49B672F0">
      <w:pPr>
        <w:spacing w:line="480" w:lineRule="auto"/>
        <w:ind w:firstLine="480" w:firstLineChars="200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</w:p>
    <w:p w14:paraId="0AADE0E2">
      <w:pPr>
        <w:widowControl/>
        <w:spacing w:line="48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color w:val="auto"/>
          <w:sz w:val="24"/>
        </w:rPr>
        <w:t xml:space="preserve">Part </w:t>
      </w:r>
      <w:r>
        <w:rPr>
          <w:rFonts w:hint="eastAsia" w:ascii="Times New Roman" w:hAnsi="Times New Roman" w:cs="Times New Roman"/>
          <w:b/>
          <w:bCs/>
          <w:color w:val="auto"/>
          <w:sz w:val="24"/>
        </w:rPr>
        <w:t>II</w:t>
      </w:r>
      <w:r>
        <w:rPr>
          <w:rFonts w:ascii="Times New Roman" w:hAnsi="Times New Roman" w:cs="Times New Roman"/>
          <w:b/>
          <w:bCs/>
          <w:color w:val="auto"/>
          <w:sz w:val="24"/>
        </w:rPr>
        <w:t>. Supporting figures</w:t>
      </w:r>
    </w:p>
    <w:p w14:paraId="44BCF67D">
      <w:pPr>
        <w:rPr>
          <w:rFonts w:ascii="Times New Roman" w:hAnsi="Times New Roman" w:cs="Times New Roman"/>
          <w:b/>
          <w:bCs/>
          <w:color w:val="auto"/>
          <w:sz w:val="24"/>
        </w:rPr>
      </w:pPr>
    </w:p>
    <w:p w14:paraId="313B0645">
      <w:pPr>
        <w:jc w:val="center"/>
        <w:rPr>
          <w:rFonts w:ascii="Times New Roman" w:hAnsi="Times New Roman" w:cs="Times New Roman"/>
          <w:b/>
          <w:bCs/>
          <w:color w:val="auto"/>
          <w:sz w:val="24"/>
        </w:rPr>
      </w:pPr>
      <w:r>
        <w:rPr>
          <w:rFonts w:ascii="Times New Roman" w:hAnsi="Times New Roman" w:cs="Times New Roman"/>
          <w:b/>
          <w:bCs/>
          <w:color w:val="auto"/>
          <w:sz w:val="24"/>
        </w:rPr>
        <w:drawing>
          <wp:inline distT="0" distB="0" distL="0" distR="0">
            <wp:extent cx="4877435" cy="32188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78AFF">
      <w:pPr>
        <w:rPr>
          <w:rFonts w:ascii="Times New Roman" w:hAnsi="Times New Roman" w:cs="Times New Roman"/>
          <w:bCs/>
          <w:color w:val="auto"/>
          <w:sz w:val="24"/>
        </w:rPr>
      </w:pPr>
      <w:r>
        <w:rPr>
          <w:rFonts w:ascii="Times New Roman" w:hAnsi="Times New Roman" w:cs="Times New Roman"/>
          <w:b/>
          <w:bCs/>
          <w:color w:val="auto"/>
          <w:sz w:val="24"/>
        </w:rPr>
        <w:t>Figure S1.</w:t>
      </w:r>
      <w:r>
        <w:rPr>
          <w:rFonts w:ascii="Times New Roman" w:hAnsi="Times New Roman" w:cs="Times New Roman"/>
          <w:bCs/>
          <w:color w:val="auto"/>
          <w:sz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</w:rPr>
        <w:t>Schematic of the c</w:t>
      </w:r>
      <w:r>
        <w:rPr>
          <w:rFonts w:ascii="Times New Roman" w:hAnsi="Times New Roman" w:cs="Times New Roman"/>
          <w:bCs/>
          <w:color w:val="auto"/>
          <w:sz w:val="24"/>
        </w:rPr>
        <w:t>rystal structure of Ag</w:t>
      </w:r>
      <w:r>
        <w:rPr>
          <w:rFonts w:ascii="Times New Roman" w:hAnsi="Times New Roman" w:cs="Times New Roman"/>
          <w:bCs/>
          <w:color w:val="auto"/>
          <w:sz w:val="24"/>
          <w:vertAlign w:val="subscript"/>
        </w:rPr>
        <w:t>7</w:t>
      </w:r>
      <w:r>
        <w:rPr>
          <w:rFonts w:ascii="Times New Roman" w:hAnsi="Times New Roman" w:cs="Times New Roman"/>
          <w:bCs/>
          <w:color w:val="auto"/>
          <w:sz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vertAlign w:val="subscript"/>
        </w:rPr>
        <w:t>8</w:t>
      </w:r>
      <w:r>
        <w:rPr>
          <w:rFonts w:ascii="Times New Roman" w:hAnsi="Times New Roman" w:cs="Times New Roman"/>
          <w:bCs/>
          <w:color w:val="auto"/>
          <w:sz w:val="24"/>
        </w:rPr>
        <w:t>NO</w:t>
      </w:r>
      <w:r>
        <w:rPr>
          <w:rFonts w:ascii="Times New Roman" w:hAnsi="Times New Roman" w:cs="Times New Roman"/>
          <w:bCs/>
          <w:color w:val="auto"/>
          <w:sz w:val="24"/>
          <w:vertAlign w:val="subscript"/>
        </w:rPr>
        <w:t>3</w:t>
      </w:r>
      <w:r>
        <w:rPr>
          <w:rFonts w:ascii="Times New Roman" w:hAnsi="Times New Roman" w:cs="Times New Roman"/>
          <w:bCs/>
          <w:color w:val="auto"/>
          <w:sz w:val="24"/>
        </w:rPr>
        <w:t xml:space="preserve">. The structure is </w:t>
      </w:r>
      <w:r>
        <w:rPr>
          <w:rFonts w:ascii="Times New Roman" w:hAnsi="Times New Roman" w:cs="Times New Roman"/>
          <w:bCs/>
          <w:color w:val="auto"/>
          <w:sz w:val="24"/>
        </w:rPr>
        <w:t>composed of connected</w:t>
      </w:r>
      <w:r>
        <w:rPr>
          <w:rFonts w:ascii="Times New Roman" w:hAnsi="Times New Roman" w:cs="Times New Roman"/>
          <w:bCs/>
          <w:color w:val="auto"/>
          <w:sz w:val="24"/>
        </w:rPr>
        <w:t xml:space="preserve"> Ag</w:t>
      </w:r>
      <w:r>
        <w:rPr>
          <w:rFonts w:ascii="Times New Roman" w:hAnsi="Times New Roman" w:cs="Times New Roman"/>
          <w:bCs/>
          <w:color w:val="auto"/>
          <w:sz w:val="24"/>
          <w:vertAlign w:val="subscript"/>
        </w:rPr>
        <w:t>6</w:t>
      </w:r>
      <w:r>
        <w:rPr>
          <w:rFonts w:ascii="Times New Roman" w:hAnsi="Times New Roman" w:cs="Times New Roman"/>
          <w:bCs/>
          <w:color w:val="auto"/>
          <w:sz w:val="24"/>
        </w:rPr>
        <w:t>O</w:t>
      </w:r>
      <w:r>
        <w:rPr>
          <w:rFonts w:ascii="Times New Roman" w:hAnsi="Times New Roman" w:cs="Times New Roman"/>
          <w:bCs/>
          <w:color w:val="auto"/>
          <w:sz w:val="24"/>
          <w:vertAlign w:val="subscript"/>
        </w:rPr>
        <w:t>8</w:t>
      </w:r>
      <w:r>
        <w:rPr>
          <w:rFonts w:ascii="Times New Roman" w:hAnsi="Times New Roman" w:cs="Times New Roman"/>
          <w:bCs/>
          <w:color w:val="auto"/>
          <w:sz w:val="24"/>
        </w:rPr>
        <w:t xml:space="preserve"> cages</w:t>
      </w:r>
      <w:r>
        <w:rPr>
          <w:rFonts w:ascii="Times New Roman" w:hAnsi="Times New Roman" w:cs="Times New Roman"/>
          <w:bCs/>
          <w:color w:val="auto"/>
          <w:sz w:val="24"/>
        </w:rPr>
        <w:t xml:space="preserve"> in which </w:t>
      </w:r>
      <w:r>
        <w:rPr>
          <w:rFonts w:hint="eastAsia" w:ascii="Times New Roman" w:hAnsi="Times New Roman" w:cs="Times New Roman"/>
          <w:bCs/>
          <w:color w:val="auto"/>
          <w:sz w:val="24"/>
          <w:lang w:eastAsia="zh-CN"/>
        </w:rPr>
        <w:t>s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>ilver</w:t>
      </w:r>
      <w:r>
        <w:rPr>
          <w:rFonts w:ascii="Times New Roman" w:hAnsi="Times New Roman" w:cs="Times New Roman"/>
          <w:bCs/>
          <w:color w:val="auto"/>
          <w:sz w:val="24"/>
        </w:rPr>
        <w:t xml:space="preserve"> atoms occupy the 24d Wyckoff positions and O atoms occupy the 32f positions via silver atom at the 4b Wyckoff position. </w:t>
      </w:r>
      <w:r>
        <w:rPr>
          <w:rFonts w:ascii="Times New Roman" w:hAnsi="Times New Roman" w:cs="Times New Roman"/>
          <w:bCs/>
          <w:color w:val="auto"/>
          <w:sz w:val="24"/>
        </w:rPr>
        <w:t xml:space="preserve">The </w:t>
      </w:r>
      <m:oMath>
        <m:sSubSup>
          <m:sSubSupPr>
            <m:ctrlPr>
              <w:rPr>
                <w:rFonts w:ascii="Cambria Math" w:hAnsi="Cambria Math" w:cs="Times New Roman"/>
                <w:bCs/>
                <w:color w:val="auto"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4"/>
              </w:rPr>
              <m:t>NO</m:t>
            </m:r>
            <m:ctrlPr>
              <w:rPr>
                <w:rFonts w:ascii="Cambria Math" w:hAnsi="Cambria Math" w:cs="Times New Roman"/>
                <w:bCs/>
                <w:color w:val="auto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4"/>
              </w:rPr>
              <m:t>3</m:t>
            </m:r>
            <m:ctrlPr>
              <w:rPr>
                <w:rFonts w:ascii="Cambria Math" w:hAnsi="Cambria Math" w:cs="Times New Roman"/>
                <w:bCs/>
                <w:color w:val="auto"/>
                <w:sz w:val="24"/>
              </w:rPr>
            </m:ctrlP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4"/>
              </w:rPr>
              <m:t>−</m:t>
            </m:r>
            <m:ctrlPr>
              <w:rPr>
                <w:rFonts w:ascii="Cambria Math" w:hAnsi="Cambria Math" w:cs="Times New Roman"/>
                <w:bCs/>
                <w:color w:val="auto"/>
                <w:sz w:val="24"/>
              </w:rPr>
            </m:ctrlPr>
          </m:sup>
        </m:sSubSup>
      </m:oMath>
      <w:r>
        <w:rPr>
          <w:rFonts w:ascii="Times New Roman" w:hAnsi="Times New Roman" w:cs="Times New Roman"/>
          <w:bCs/>
          <w:color w:val="auto"/>
          <w:sz w:val="24"/>
        </w:rPr>
        <w:t xml:space="preserve"> anion is located at the center of the cage (4a site). The average oxidation state of Ag is +2.67, indicating a mixed-valence state of Ag</w:t>
      </w:r>
      <w:r>
        <w:rPr>
          <w:rFonts w:ascii="Times New Roman" w:hAnsi="Times New Roman" w:cs="Times New Roman"/>
          <w:bCs/>
          <w:color w:val="auto"/>
          <w:sz w:val="24"/>
          <w:vertAlign w:val="superscript"/>
        </w:rPr>
        <w:t>2+</w:t>
      </w:r>
      <w:r>
        <w:rPr>
          <w:rFonts w:ascii="Times New Roman" w:hAnsi="Times New Roman" w:cs="Times New Roman"/>
          <w:bCs/>
          <w:color w:val="auto"/>
          <w:sz w:val="24"/>
        </w:rPr>
        <w:t>and Ag</w:t>
      </w:r>
      <w:r>
        <w:rPr>
          <w:rFonts w:ascii="Times New Roman" w:hAnsi="Times New Roman" w:cs="Times New Roman"/>
          <w:bCs/>
          <w:color w:val="auto"/>
          <w:sz w:val="24"/>
          <w:vertAlign w:val="superscript"/>
        </w:rPr>
        <w:t>3+</w:t>
      </w:r>
      <w:r>
        <w:rPr>
          <w:rFonts w:ascii="Times New Roman" w:hAnsi="Times New Roman" w:cs="Times New Roman"/>
          <w:bCs/>
          <w:color w:val="auto"/>
          <w:sz w:val="24"/>
        </w:rPr>
        <w:t>.</w:t>
      </w:r>
      <w:r>
        <w:rPr>
          <w:rFonts w:ascii="Times New Roman" w:hAnsi="Times New Roman" w:cs="Times New Roman"/>
          <w:bCs/>
          <w:color w:val="auto"/>
          <w:sz w:val="24"/>
        </w:rPr>
        <w:br w:type="page"/>
      </w:r>
    </w:p>
    <w:p w14:paraId="19DFB2BB">
      <w:pPr>
        <w:spacing w:line="48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6188710" cy="1850390"/>
            <wp:effectExtent l="0" t="0" r="8890" b="3810"/>
            <wp:docPr id="17527554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55427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b="1798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768B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microtorpedoes gradually dissolved by electrochemical reaction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in 0.1 M KNO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aqueous solution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(A) Generation of current during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auto"/>
          <w:sz w:val="24"/>
          <w:szCs w:val="24"/>
        </w:rPr>
        <w:t>dissolution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process</w:t>
      </w:r>
      <w:r>
        <w:rPr>
          <w:rFonts w:ascii="Times New Roman" w:hAnsi="Times New Roman" w:cs="Times New Roman"/>
          <w:color w:val="auto"/>
          <w:sz w:val="24"/>
          <w:szCs w:val="24"/>
        </w:rPr>
        <w:t>. (B)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disappeared after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storage for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6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4C43872">
      <w:pPr>
        <w:spacing w:line="480" w:lineRule="auto"/>
        <w:ind w:firstLine="480" w:firstLineChars="200"/>
        <w:rPr>
          <w:rFonts w:ascii="Times New Roman" w:hAnsi="Times New Roman" w:cs="Times New Roman"/>
          <w:color w:val="auto"/>
          <w:sz w:val="24"/>
          <w:szCs w:val="24"/>
        </w:rPr>
      </w:pPr>
    </w:p>
    <w:p w14:paraId="4A3D09D6">
      <w:pPr>
        <w:widowControl/>
        <w:spacing w:line="48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2D6CA3E0">
      <w:pPr>
        <w:keepNext w:val="0"/>
        <w:keepLines w:val="0"/>
        <w:spacing w:before="0" w:after="0"/>
        <w:jc w:val="center"/>
        <w:rPr>
          <w:rFonts w:eastAsia="Times New Roman"/>
          <w:color w:val="auto"/>
          <w:sz w:val="24"/>
          <w:szCs w:val="24"/>
          <w:highlight w:val="yellow"/>
        </w:rPr>
      </w:pPr>
      <w:r>
        <w:rPr>
          <w:rFonts w:eastAsia="Times New Roman"/>
          <w:color w:val="auto"/>
          <w:sz w:val="24"/>
          <w:szCs w:val="24"/>
          <w:highlight w:val="none"/>
        </w:rPr>
        <w:drawing>
          <wp:inline distT="0" distB="0" distL="0" distR="0">
            <wp:extent cx="5351145" cy="3481070"/>
            <wp:effectExtent l="0" t="0" r="190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725" cy="34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5327">
      <w:pP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Electrodeposition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and selective peeling-off of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the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electrodeposited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b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microtorpedoes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from the electrode surface.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(A)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The potential waveform </w:t>
      </w:r>
      <w:r>
        <w:rPr>
          <w:rFonts w:ascii="Times New Roman" w:hAnsi="Times New Roman" w:eastAsia="宋体" w:cs="Times New Roman"/>
          <w:b w:val="0"/>
          <w:bCs/>
          <w:color w:val="auto"/>
          <w:sz w:val="24"/>
          <w:szCs w:val="24"/>
        </w:rPr>
        <w:t>used to synthesize the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vertAlign w:val="baseline"/>
        </w:rPr>
        <w:t>microtorpedoes.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(B)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Side-view of the microtorpedoes.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(C)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Top-view of the dense microtorpedoes. Inset: high-magnification view of a single microtorpedo.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(D)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Schematic of the as-electrodeposited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microtorpedoes.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(E)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Peeling off the microtorpedoes from the electrode surface by immersing it into water.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(F)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SEM image of the microtorpedoes collected from the electrode surface.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7BEB826F">
      <w:pPr>
        <w:widowControl/>
        <w:jc w:val="center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drawing>
          <wp:inline distT="0" distB="0" distL="0" distR="0">
            <wp:extent cx="4911725" cy="226758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476" cy="22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B581">
      <w:pPr>
        <w:widowControl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Figure 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S4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S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tructural similarity between orthorhombic </w:t>
      </w:r>
      <w:bookmarkStart w:id="7" w:name="_Hlk224735977"/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Ag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</w:t>
      </w:r>
      <w:bookmarkEnd w:id="7"/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and trigonal AgCoO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.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Schematic of the crystal structure of (left) orthorhombic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and (right) trigonal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. The highlighted (001) planes in both structures demonstrate a high degree of crystallographic similarity. The circular insets provide a top-down view of the (001) atomic arrangement, highlighting the nearly identical quasi-hexagonal lattice of silver atoms (grey spheres). This structural match is the key factor in minimizing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the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lattice distortion and strain at the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/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core/shell interface.</w:t>
      </w:r>
    </w:p>
    <w:p w14:paraId="3B3630E0">
      <w:pPr>
        <w:widowControl/>
        <w:jc w:val="left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br w:type="page"/>
      </w:r>
    </w:p>
    <w:p w14:paraId="44FB96A3">
      <w:pPr>
        <w:widowControl/>
        <w:jc w:val="center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drawing>
          <wp:inline distT="0" distB="0" distL="0" distR="0">
            <wp:extent cx="4023360" cy="3511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750F">
      <w:pPr>
        <w:widowControl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Figure S5. Evolution of the AgCoO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wall thickness as a function of the OCE reaction time.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 w:val="0"/>
          <w:color w:val="auto"/>
          <w:sz w:val="24"/>
          <w:szCs w:val="24"/>
        </w:rPr>
        <w:t>The experimental data (indicated by stars) show the time-dependent increase of the AgCoO</w:t>
      </w:r>
      <w:r>
        <w:rPr>
          <w:rFonts w:ascii="Times New Roman" w:hAnsi="Times New Roman" w:eastAsia="宋体" w:cs="Times New Roman"/>
          <w:b w:val="0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 w:val="0"/>
          <w:color w:val="auto"/>
          <w:sz w:val="24"/>
          <w:szCs w:val="24"/>
        </w:rPr>
        <w:t xml:space="preserve"> wall thickness. The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thickness grow </w:t>
      </w:r>
      <w:r>
        <w:rPr>
          <w:rFonts w:ascii="Times New Roman" w:hAnsi="Times New Roman" w:eastAsia="宋体" w:cs="Times New Roman"/>
          <w:b w:val="0"/>
          <w:color w:val="auto"/>
          <w:sz w:val="24"/>
          <w:szCs w:val="24"/>
        </w:rPr>
        <w:t>rapid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ly</w:t>
      </w:r>
      <w:r>
        <w:rPr>
          <w:rFonts w:ascii="Times New Roman" w:hAnsi="Times New Roman" w:eastAsia="宋体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before</w:t>
      </w:r>
      <w:r>
        <w:rPr>
          <w:rFonts w:ascii="Times New Roman" w:hAnsi="Times New Roman" w:eastAsia="宋体" w:cs="Times New Roman"/>
          <w:b w:val="0"/>
          <w:color w:val="auto"/>
          <w:sz w:val="24"/>
          <w:szCs w:val="24"/>
        </w:rPr>
        <w:t xml:space="preserve"> 400 s.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The red curve represents the numerical fitting of the growth Before 400 s, following a parabolic relationship. The early-stage formation of the AgCoO</w:t>
      </w:r>
      <w:r>
        <w:rPr>
          <w:rFonts w:ascii="Times New Roman" w:hAnsi="Times New Roman" w:eastAsia="宋体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wall is governed by a </w:t>
      </w:r>
      <w:r>
        <w:rPr>
          <w:rFonts w:ascii="Times New Roman" w:hAnsi="Times New Roman" w:eastAsia="宋体" w:cs="Times New Roman"/>
          <w:b w:val="0"/>
          <w:bCs/>
          <w:color w:val="auto"/>
          <w:sz w:val="24"/>
          <w:szCs w:val="24"/>
        </w:rPr>
        <w:t>diffusion-controlled mechanism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.</w:t>
      </w:r>
    </w:p>
    <w:p w14:paraId="7FD28C08">
      <w:pPr>
        <w:widowControl/>
        <w:jc w:val="both"/>
        <w:rPr>
          <w:rFonts w:ascii="Times New Roman" w:hAnsi="Times New Roman" w:eastAsia="宋体" w:cs="Times New Roman"/>
          <w:b w:val="0"/>
          <w:color w:val="auto"/>
          <w:sz w:val="24"/>
          <w:szCs w:val="24"/>
        </w:rPr>
      </w:pPr>
    </w:p>
    <w:p w14:paraId="250F473C">
      <w:pPr>
        <w:widowControl/>
        <w:jc w:val="center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</w:t>
      </w:r>
    </w:p>
    <w:p w14:paraId="4B070C9B">
      <w:pPr>
        <w:widowControl/>
        <w:jc w:val="center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</w:p>
    <w:p w14:paraId="59934ACA">
      <w:pPr>
        <w:widowControl/>
        <w:jc w:val="left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br w:type="page"/>
      </w:r>
    </w:p>
    <w:p w14:paraId="46AE5AAD">
      <w:pPr>
        <w:widowControl/>
        <w:jc w:val="center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drawing>
          <wp:inline distT="0" distB="0" distL="0" distR="0">
            <wp:extent cx="2976245" cy="3813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836C">
      <w:pPr>
        <w:widowControl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Figure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S6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. Morphological and element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mapping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of a single Ag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/AgCoO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core/shell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microtorpedo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.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Top left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HAADF-STEM image of a representative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microtorpedo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. The red dashed rectangle indicates the region selected for the element line scan. Top right and Middle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column: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EDS elemental mapping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results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showing the spatial distribution of Co (green), Ag (purple), and the overlaid Ag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and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Co signals. Bottom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Element line scan profile across the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microtorpedo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. The profile confirms the core/shell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structure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with the Ag signal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localized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in the interior (core) and the Co signal extending across the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whole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structure,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indicating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the formation of an AgCoO</w:t>
      </w:r>
      <w:r>
        <w:rPr>
          <w:rFonts w:ascii="Times New Roman" w:hAnsi="Times New Roman" w:eastAsia="宋体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shell. </w:t>
      </w:r>
    </w:p>
    <w:p w14:paraId="2BCCE640">
      <w:pPr>
        <w:widowControl/>
        <w:jc w:val="center"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</w:p>
    <w:p w14:paraId="20B26054">
      <w:pPr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br w:type="page"/>
      </w:r>
    </w:p>
    <w:p w14:paraId="67A0A1CB">
      <w:pPr>
        <w:spacing w:line="48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5431155" cy="3976370"/>
            <wp:effectExtent l="0" t="0" r="4445" b="11430"/>
            <wp:docPr id="5616374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37451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4" b="8224"/>
                    <a:stretch>
                      <a:fillRect/>
                    </a:stretch>
                  </pic:blipFill>
                  <pic:spPr>
                    <a:xfrm>
                      <a:off x="0" y="0"/>
                      <a:ext cx="5441188" cy="39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C31F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Figure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 Characterization of an individual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microtorpedo. (A) </w:t>
      </w:r>
      <w:r>
        <w:rPr>
          <w:rFonts w:ascii="Times New Roman" w:hAnsi="Times New Roman" w:eastAsia="Times New Roman" w:cs="Times New Roman"/>
          <w:b w:val="0"/>
          <w:bCs/>
          <w:color w:val="auto"/>
          <w:sz w:val="24"/>
          <w:szCs w:val="24"/>
        </w:rPr>
        <w:t xml:space="preserve">TEM image of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the hollow </w:t>
      </w:r>
      <w:r>
        <w:rPr>
          <w:rFonts w:ascii="Times New Roman" w:hAnsi="Times New Roman" w:eastAsia="Times New Roman" w:cs="Times New Roman"/>
          <w:b w:val="0"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Times New Roman" w:cs="Times New Roman"/>
          <w:b w:val="0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 w:val="0"/>
          <w:bCs/>
          <w:color w:val="auto"/>
          <w:sz w:val="24"/>
          <w:szCs w:val="24"/>
        </w:rPr>
        <w:t xml:space="preserve"> microtorpedo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(B)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High resolution TEM image of the hollow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microtorpedo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indicating its polycrystalline structure.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(C) </w:t>
      </w:r>
      <w:r>
        <w:rPr>
          <w:rFonts w:ascii="Times New Roman" w:hAnsi="Times New Roman" w:cs="Times New Roman"/>
          <w:color w:val="auto"/>
          <w:sz w:val="24"/>
          <w:szCs w:val="24"/>
        </w:rPr>
        <w:t>TEM image and element mapping results of the hollow AgCoO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microtorpedo.</w:t>
      </w:r>
    </w:p>
    <w:p w14:paraId="5831FC87">
      <w:pPr>
        <w:widowControl/>
        <w:rPr>
          <w:rFonts w:ascii="Times New Roman" w:hAnsi="Times New Roman" w:eastAsia="宋体" w:cs="Times New Roman"/>
          <w:b/>
          <w:color w:val="auto"/>
          <w:sz w:val="24"/>
          <w:szCs w:val="24"/>
        </w:rPr>
      </w:pPr>
    </w:p>
    <w:p w14:paraId="50FA0B4B">
      <w:pPr>
        <w:widowControl/>
        <w:jc w:val="left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21D2D2C3">
      <w:pPr>
        <w:widowControl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drawing>
          <wp:inline distT="0" distB="0" distL="0" distR="0">
            <wp:extent cx="5793105" cy="1793875"/>
            <wp:effectExtent l="0" t="0" r="0" b="0"/>
            <wp:docPr id="122720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07472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" t="5247" r="1544" b="48777"/>
                    <a:stretch>
                      <a:fillRect/>
                    </a:stretch>
                  </pic:blipFill>
                  <pic:spPr>
                    <a:xfrm>
                      <a:off x="0" y="0"/>
                      <a:ext cx="5795894" cy="179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EA2B">
      <w:pPr>
        <w:keepNext/>
        <w:keepLines/>
        <w:spacing w:before="120" w:after="290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Figure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8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bookmarkStart w:id="8" w:name="_Hlk226638782"/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SEM image and element mapping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results of AgCoO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microtorpedoes.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 w:val="0"/>
          <w:bCs/>
          <w:color w:val="auto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he morphology of 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 w:val="0"/>
          <w:bCs/>
          <w:color w:val="auto"/>
          <w:sz w:val="24"/>
          <w:szCs w:val="24"/>
        </w:rPr>
        <w:t>microtorpedoes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is well preserved after complete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OCE transformation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to AgCoO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.</w:t>
      </w:r>
      <w:bookmarkEnd w:id="8"/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4877B066">
      <w:pPr>
        <w:spacing w:line="480" w:lineRule="auto"/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6174105" cy="4184015"/>
            <wp:effectExtent l="0" t="0" r="10795" b="6985"/>
            <wp:docPr id="8948813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81354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B59E">
      <w:pPr>
        <w:keepNext/>
        <w:keepLines/>
        <w:spacing w:before="120" w:after="290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Figure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9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 Various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microarchitectures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transformed from Ag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SEM image (left) and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Ag (middle) and Co (right)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element mapping results of AgCoO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microarchitectures. </w:t>
      </w:r>
    </w:p>
    <w:p w14:paraId="7B9A9492">
      <w:pP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3988B217">
      <w:pP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</w:p>
    <w:p w14:paraId="033E922C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997450" cy="4890770"/>
            <wp:effectExtent l="0" t="0" r="6350" b="11430"/>
            <wp:docPr id="5151235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23515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9239" r="12745" b="7702"/>
                    <a:stretch>
                      <a:fillRect/>
                    </a:stretch>
                  </pic:blipFill>
                  <pic:spPr>
                    <a:xfrm>
                      <a:off x="0" y="0"/>
                      <a:ext cx="4998816" cy="48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9838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10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. Conversion of Ag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microarchitectures to AgNiO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and AgCoO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microarchitectures.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(A) 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The potential waveform used to fabricate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microarchitectures.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(B)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SEM image of the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complex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microarchitectures. Inset: magnified image.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(C)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SEM image and EDS mapping results of the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AgNiO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microarchitectures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 coverted from the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microarchitectures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(D)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SEM image and EDS mapping results of the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microarchitectures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13173630">
      <w:pPr>
        <w:widowControl/>
        <w:jc w:val="left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4EADE545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323715" cy="4323715"/>
            <wp:effectExtent l="0" t="0" r="698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71E5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11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Selectively peeling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off AgNiO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microtorpedoes from the electrode surface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by immersing the electrode into water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(A) </w:t>
      </w:r>
      <w:r>
        <w:rPr>
          <w:rFonts w:ascii="Times New Roman" w:hAnsi="Times New Roman" w:cs="Times New Roman"/>
          <w:color w:val="auto"/>
          <w:sz w:val="24"/>
          <w:szCs w:val="24"/>
        </w:rPr>
        <w:t>AgNiO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color w:val="auto"/>
          <w:sz w:val="24"/>
          <w:szCs w:val="24"/>
        </w:rPr>
        <w:t>microtorpedoes on the anode electrode surface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transformed from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microtorpedoes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(B-D) </w:t>
      </w:r>
      <w:r>
        <w:rPr>
          <w:rFonts w:ascii="Times New Roman" w:hAnsi="Times New Roman" w:cs="Times New Roman"/>
          <w:color w:val="auto"/>
          <w:sz w:val="24"/>
          <w:szCs w:val="24"/>
        </w:rPr>
        <w:t>AgNiO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microtorpedoes selectively peeled off from the electrode surface. </w:t>
      </w:r>
    </w:p>
    <w:p w14:paraId="0DECFDCB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396FA19C">
      <w:pPr>
        <w:widowControl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drawing>
          <wp:inline distT="0" distB="0" distL="0" distR="0">
            <wp:extent cx="5330190" cy="4168775"/>
            <wp:effectExtent l="0" t="0" r="3810" b="9525"/>
            <wp:docPr id="6360114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11481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386" cy="41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7E1C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. Preparation of Ag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CrO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microtorpedoes. (A) </w:t>
      </w:r>
      <w:r>
        <w:rPr>
          <w:rFonts w:ascii="Times New Roman" w:hAnsi="Times New Roman" w:cs="Times New Roman"/>
          <w:color w:val="auto"/>
          <w:sz w:val="24"/>
          <w:szCs w:val="24"/>
        </w:rPr>
        <w:t>SEM image (left) and element mapping results of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CrO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microtorpedoes</w:t>
      </w:r>
      <w:r>
        <w:rPr>
          <w:rFonts w:ascii="Times New Roman" w:hAnsi="Times New Roman" w:cs="Times New Roman"/>
          <w:color w:val="auto"/>
          <w:sz w:val="24"/>
          <w:szCs w:val="24"/>
        </w:rPr>
        <w:t>. (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B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XRD pattern and EDS spectrum of Ag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CrO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microtorpedoes</w:t>
      </w:r>
      <w:r>
        <w:rPr>
          <w:rFonts w:ascii="Times New Roman" w:hAnsi="Times New Roman" w:cs="Times New Roman"/>
          <w:color w:val="auto"/>
          <w:sz w:val="24"/>
          <w:szCs w:val="24"/>
        </w:rPr>
        <w:t>, respectively.</w:t>
      </w:r>
    </w:p>
    <w:p w14:paraId="1CDDD304">
      <w:pPr>
        <w:widowControl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001B86A6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322445" cy="2520315"/>
            <wp:effectExtent l="0" t="0" r="8255" b="6985"/>
            <wp:docPr id="85611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15248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25CB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onver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ting Ag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 xml:space="preserve"> microstructures into Ag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</w:rPr>
        <w:t>CrO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in Cr(NO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aqueous solutions.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(A)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pH value of 50 mM Cr(NO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aqueous solutions and Cr(NO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solutions composed of equal volume of water and ethanol.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(B)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SEM image of the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CrO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structures transformed from the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micropyramids, indicating that the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Ag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CrO</w:t>
      </w:r>
      <w:r>
        <w:rPr>
          <w:rFonts w:ascii="Times New Roman" w:hAnsi="Times New Roman" w:cs="Times New Roman"/>
          <w:bCs/>
          <w:color w:val="auto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structures were corroded in the low pH value solutions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. </w:t>
      </w:r>
    </w:p>
    <w:p w14:paraId="74DD9A0E">
      <w:pPr>
        <w:widowControl/>
        <w:spacing w:line="480" w:lineRule="auto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</w:p>
    <w:p w14:paraId="761164BA">
      <w:pPr>
        <w:widowControl/>
        <w:jc w:val="left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5FC73BDD">
      <w:pPr>
        <w:widowControl/>
        <w:spacing w:line="480" w:lineRule="auto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drawing>
          <wp:inline distT="0" distB="0" distL="0" distR="0">
            <wp:extent cx="4930775" cy="2257425"/>
            <wp:effectExtent l="0" t="0" r="0" b="0"/>
            <wp:docPr id="7394614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61404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7789" r="3712" b="50412"/>
                    <a:stretch>
                      <a:fillRect/>
                    </a:stretch>
                  </pic:blipFill>
                  <pic:spPr>
                    <a:xfrm>
                      <a:off x="0" y="0"/>
                      <a:ext cx="49321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F3A8">
      <w:pPr>
        <w:keepNext/>
        <w:keepLines/>
        <w:spacing w:before="120" w:after="290"/>
        <w:rPr>
          <w:rFonts w:ascii="Times New Roman" w:hAnsi="Times New Roman" w:eastAsia="Times New Roman" w:cs="Times New Roman"/>
          <w:color w:val="auto"/>
          <w:sz w:val="24"/>
          <w:szCs w:val="24"/>
          <w:highlight w:val="yellow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S1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.  Transformation of Ag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microtorpedoes in the mixture solution of Co(NO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and Ni(NO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EDS spectra of the transformed products by placing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Ag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microtorpedoes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in 10 ml of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mixture solution of Ni(NO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and Co(NO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with different volume ratios (from top to bottom: only Ni(NO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; 50 : 1; 1:1; only Co(NO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). (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 The quantity ratio of the Ni and Co element in the EDS spectrum (from left to right corresponding to the EDS spectra from top to bottom in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(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). </w:t>
      </w:r>
    </w:p>
    <w:p w14:paraId="2ABFF6EA">
      <w:pPr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yellow"/>
        </w:rPr>
        <w:br w:type="page"/>
      </w:r>
    </w:p>
    <w:p w14:paraId="7C230304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321810" cy="2035810"/>
            <wp:effectExtent l="0" t="0" r="2540" b="2540"/>
            <wp:docPr id="1641503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036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8" b="11634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0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8E64">
      <w:pPr>
        <w:keepNext/>
        <w:keepLines/>
        <w:spacing w:before="120" w:after="290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S1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AgCoO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microtorpedoes could not react with Ni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ions. (A)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SEM image of the AgCoO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 microtorpedo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transferring in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to Ni(NO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solutions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for 1 h. (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) EDS spectrum confirmed the microtorpedo was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still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AgCoO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.</w:t>
      </w:r>
    </w:p>
    <w:p w14:paraId="378FBD03">
      <w:pPr>
        <w:spacing w:line="48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br w:type="page"/>
      </w: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5213350" cy="4535170"/>
            <wp:effectExtent l="0" t="0" r="6350" b="0"/>
            <wp:docPr id="5078134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13468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8" b="7276"/>
                    <a:stretch>
                      <a:fillRect/>
                    </a:stretch>
                  </pic:blipFill>
                  <pic:spPr>
                    <a:xfrm>
                      <a:off x="0" y="0"/>
                      <a:ext cx="5223679" cy="4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B0D7">
      <w:pPr>
        <w:keepNext/>
        <w:keepLines/>
        <w:spacing w:before="120" w:after="290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S1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. Transformation of Ag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microtorpedoes in the mixture solution of Mn(NO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and Ni(NO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(A)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pH value of different reaction solutions.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(B)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Quantity ratio of Ni and Mn elements in the converted products after placing the 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microstructures into 10 ml of the mixture solution of Mn(NO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and Ni(NO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 with different volume ratios. The concentration of the Mn(NO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and Ni(NO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 w:val="0"/>
          <w:bCs/>
          <w:color w:val="auto"/>
          <w:sz w:val="24"/>
          <w:szCs w:val="24"/>
        </w:rPr>
        <w:t>solutions was 10 mM.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(C)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The corresponding EDS spectra (from top to bottom) to B (from left to right).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(D)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EDS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spectrum of the converted products in the mixture solution of Co 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, Mn 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, and Ni 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 with equal amount of Co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, Mn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, and Ni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perscript"/>
        </w:rPr>
        <w:t xml:space="preserve">2+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ions. 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sequentially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reacted with Co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and Mn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ions.</w:t>
      </w:r>
    </w:p>
    <w:p w14:paraId="043CE65B">
      <w:pPr>
        <w:widowControl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br w:type="page"/>
      </w:r>
    </w:p>
    <w:p w14:paraId="747C323E"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321175" cy="2047240"/>
            <wp:effectExtent l="0" t="0" r="3175" b="0"/>
            <wp:docPr id="17246826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8264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4"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0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01ED">
      <w:pPr>
        <w:keepNext/>
        <w:keepLines/>
        <w:spacing w:before="120" w:after="290"/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S1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No 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OCE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reaction took place between Ag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and </w:t>
      </w:r>
      <w:bookmarkStart w:id="9" w:name="_Hlk159682134"/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Fe(NO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aqueous solution</w:t>
      </w:r>
      <w:bookmarkEnd w:id="9"/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s.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) </w:t>
      </w:r>
      <w:bookmarkStart w:id="10" w:name="OLE_LINK16"/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SEM image of 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microstructure after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immers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ing 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 xml:space="preserve">into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Fe(NO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aqueous solutions</w:t>
      </w:r>
      <w:r>
        <w:rPr>
          <w:rFonts w:ascii="Times New Roman" w:hAnsi="Times New Roman" w:eastAsia="宋体" w:cs="Times New Roman"/>
          <w:bCs/>
          <w:color w:val="auto"/>
          <w:sz w:val="24"/>
          <w:szCs w:val="24"/>
        </w:rPr>
        <w:t>.</w:t>
      </w:r>
      <w:bookmarkEnd w:id="10"/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 EDS spectrum indicated that the Ag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7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microstructure did not react with the Fe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vertAlign w:val="superscript"/>
        </w:rPr>
        <w:t>3+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ions already at the highest valence. </w:t>
      </w:r>
    </w:p>
    <w:p w14:paraId="225DD355">
      <w:pPr>
        <w:widowControl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br w:type="page"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drawing>
          <wp:inline distT="0" distB="0" distL="0" distR="0">
            <wp:extent cx="5103495" cy="247713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514" cy="24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D526">
      <w:pPr>
        <w:pStyle w:val="30"/>
        <w:jc w:val="both"/>
        <w:rPr>
          <w:rFonts w:eastAsia="宋体"/>
          <w:color w:val="auto"/>
          <w:lang w:eastAsia="zh-CN"/>
        </w:rPr>
      </w:pPr>
      <w:r>
        <w:rPr>
          <w:b/>
          <w:color w:val="auto"/>
        </w:rPr>
        <w:t>Figure S1</w:t>
      </w:r>
      <w:r>
        <w:rPr>
          <w:b/>
          <w:color w:val="auto"/>
        </w:rPr>
        <w:t>8</w:t>
      </w:r>
      <w:r>
        <w:rPr>
          <w:b/>
          <w:color w:val="auto"/>
        </w:rPr>
        <w:t>.</w:t>
      </w: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eastAsia="zh-CN"/>
        </w:rPr>
        <w:t xml:space="preserve"> </w:t>
      </w:r>
      <w:r>
        <w:rPr>
          <w:rFonts w:eastAsia="宋体"/>
          <w:b/>
          <w:bCs/>
          <w:color w:val="auto"/>
          <w:lang w:eastAsia="zh-CN"/>
        </w:rPr>
        <w:t xml:space="preserve">Electrodeposition </w:t>
      </w:r>
      <w:r>
        <w:rPr>
          <w:b/>
          <w:bCs/>
          <w:color w:val="auto"/>
        </w:rPr>
        <w:t>of Ag</w:t>
      </w:r>
      <w:r>
        <w:rPr>
          <w:b/>
          <w:bCs/>
          <w:color w:val="auto"/>
          <w:vertAlign w:val="subscript"/>
        </w:rPr>
        <w:t>7</w:t>
      </w:r>
      <w:r>
        <w:rPr>
          <w:b/>
          <w:bCs/>
          <w:color w:val="auto"/>
        </w:rPr>
        <w:t>O</w:t>
      </w:r>
      <w:r>
        <w:rPr>
          <w:b/>
          <w:bCs/>
          <w:color w:val="auto"/>
          <w:vertAlign w:val="subscript"/>
        </w:rPr>
        <w:t>8</w:t>
      </w:r>
      <w:r>
        <w:rPr>
          <w:b/>
          <w:bCs/>
          <w:color w:val="auto"/>
        </w:rPr>
        <w:t>NO</w:t>
      </w:r>
      <w:r>
        <w:rPr>
          <w:b/>
          <w:bCs/>
          <w:color w:val="auto"/>
          <w:vertAlign w:val="subscript"/>
        </w:rPr>
        <w:t>3</w:t>
      </w:r>
      <w:r>
        <w:rPr>
          <w:b/>
          <w:bCs/>
          <w:color w:val="auto"/>
        </w:rPr>
        <w:t xml:space="preserve"> micropyramids.</w:t>
      </w:r>
      <w:r>
        <w:rPr>
          <w:b/>
          <w:color w:val="auto"/>
        </w:rPr>
        <w:t xml:space="preserve"> </w:t>
      </w:r>
      <w:r>
        <w:rPr>
          <w:rFonts w:eastAsia="宋体"/>
          <w:b w:val="0"/>
          <w:color w:val="auto"/>
          <w:lang w:eastAsia="zh-CN"/>
        </w:rPr>
        <w:t>Left: the potential waveform used to fabricate the micropyramid.</w:t>
      </w:r>
      <w:r>
        <w:rPr>
          <w:b w:val="0"/>
          <w:color w:val="auto"/>
        </w:rPr>
        <w:t xml:space="preserve"> </w:t>
      </w:r>
      <w:r>
        <w:rPr>
          <w:rFonts w:eastAsia="宋体"/>
          <w:b w:val="0"/>
          <w:color w:val="auto"/>
          <w:lang w:eastAsia="zh-CN"/>
        </w:rPr>
        <w:t xml:space="preserve">Right: the corresponding </w:t>
      </w:r>
      <w:r>
        <w:rPr>
          <w:color w:val="auto"/>
        </w:rPr>
        <w:t xml:space="preserve">SEM image </w:t>
      </w:r>
      <w:r>
        <w:rPr>
          <w:rFonts w:eastAsia="宋体"/>
          <w:color w:val="auto"/>
          <w:lang w:eastAsia="zh-CN"/>
        </w:rPr>
        <w:t>of the micropyramid with a star-like apex.</w:t>
      </w:r>
      <w:r>
        <w:rPr>
          <w:color w:val="auto"/>
        </w:rPr>
        <w:t xml:space="preserve"> </w:t>
      </w:r>
      <w:r>
        <w:rPr>
          <w:rFonts w:eastAsia="宋体"/>
          <w:color w:val="auto"/>
          <w:lang w:eastAsia="zh-CN"/>
        </w:rPr>
        <w:t>This unique fine structure was used to observe the morphology evolution during OCE reactions shown in</w:t>
      </w:r>
      <w:r>
        <w:rPr>
          <w:color w:val="auto"/>
        </w:rPr>
        <w:t xml:space="preserve"> </w:t>
      </w:r>
      <w:r>
        <w:rPr>
          <w:b/>
          <w:bCs/>
          <w:color w:val="auto"/>
        </w:rPr>
        <w:t>Figure 3</w:t>
      </w:r>
      <w:r>
        <w:rPr>
          <w:color w:val="auto"/>
        </w:rPr>
        <w:t>.</w:t>
      </w:r>
      <w:r>
        <w:rPr>
          <w:rFonts w:eastAsia="宋体"/>
          <w:color w:val="auto"/>
          <w:lang w:eastAsia="zh-CN"/>
        </w:rPr>
        <w:t xml:space="preserve"> </w:t>
      </w:r>
    </w:p>
    <w:p w14:paraId="22D704B9">
      <w:pPr>
        <w:widowControl/>
        <w:jc w:val="left"/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</w:pPr>
      <w:r>
        <w:rPr>
          <w:rFonts w:eastAsia="宋体"/>
          <w:color w:val="auto"/>
        </w:rPr>
        <w:br w:type="page"/>
      </w:r>
    </w:p>
    <w:p w14:paraId="0BDFF704">
      <w:pPr>
        <w:pStyle w:val="30"/>
        <w:jc w:val="both"/>
        <w:rPr>
          <w:rFonts w:eastAsia="宋体"/>
          <w:color w:val="auto"/>
          <w:lang w:eastAsia="zh-CN"/>
        </w:rPr>
      </w:pPr>
    </w:p>
    <w:p w14:paraId="22E37370">
      <w:pPr>
        <w:widowControl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drawing>
          <wp:inline distT="0" distB="0" distL="0" distR="0">
            <wp:extent cx="4321175" cy="2163445"/>
            <wp:effectExtent l="0" t="0" r="317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DF2D">
      <w:pPr>
        <w:keepNext/>
        <w:keepLines/>
        <w:spacing w:before="120" w:after="290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S19. Characterization of the magnetic microtorpedoes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and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) SEM image and EDS spectrum of the magnetic micro</w:t>
      </w:r>
      <w:r>
        <w:rPr>
          <w:rFonts w:ascii="Times New Roman" w:hAnsi="Times New Roman" w:cs="Times New Roman"/>
          <w:color w:val="auto"/>
          <w:sz w:val="24"/>
          <w:szCs w:val="24"/>
        </w:rPr>
        <w:t>torpedoes, respectively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.</w:t>
      </w:r>
    </w:p>
    <w:p w14:paraId="2D922433">
      <w:pPr>
        <w:widowControl/>
        <w:jc w:val="left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br w:type="page"/>
      </w:r>
    </w:p>
    <w:p w14:paraId="09454802">
      <w:pPr>
        <w:widowControl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drawing>
          <wp:inline distT="0" distB="0" distL="0" distR="0">
            <wp:extent cx="5793740" cy="302323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B409">
      <w:pPr>
        <w:widowControl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Figure S20.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Polyvalent cations in the p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eriodic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able.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Pink color marked elements have multiple valences, which are applicable to the OCE reactions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r>
        <w:rPr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Elements in red dashed boxes (Cr, Mn, Fe, Co, Ni, Ag, Pb, and Ce)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</w:rPr>
        <w:t>have been proven applicable to the OCE reactions and have been successfully introduced into the high-entropy metal oxides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</w:p>
    <w:p w14:paraId="5AAB3AC4">
      <w:pPr>
        <w:widowControl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br w:type="page"/>
      </w:r>
    </w:p>
    <w:p w14:paraId="4DDA2894">
      <w:pPr>
        <w:pStyle w:val="30"/>
        <w:jc w:val="center"/>
        <w:rPr>
          <w:rFonts w:eastAsia="宋体"/>
          <w:color w:val="auto"/>
          <w:lang w:eastAsia="zh-CN"/>
        </w:rPr>
      </w:pPr>
      <w:r>
        <w:rPr>
          <w:rFonts w:eastAsia="宋体"/>
          <w:color w:val="auto"/>
          <w:lang w:eastAsia="zh-CN"/>
        </w:rPr>
        <w:drawing>
          <wp:inline distT="0" distB="0" distL="0" distR="0">
            <wp:extent cx="3549015" cy="30238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5750">
      <w:pPr>
        <w:widowControl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Figure S21. EDS spectrum of the</w:t>
      </w:r>
      <w:r>
        <w:rPr>
          <w:rFonts w:ascii="Times New Roman" w:hAnsi="Times New Roman" w:cs="Times New Roman" w:eastAsiaTheme="majorEastAsia"/>
          <w:color w:val="auto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G-6 Ag(Ni,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Ce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, Co, Mn, Cr, Fe)O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microtorpedo corresponding to Figure 4I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</w:p>
    <w:p w14:paraId="3E6706E0">
      <w:pPr>
        <w:pStyle w:val="30"/>
        <w:jc w:val="center"/>
        <w:rPr>
          <w:rFonts w:hint="eastAsia" w:eastAsia="宋体"/>
          <w:color w:val="auto"/>
          <w:lang w:eastAsia="zh-CN"/>
        </w:rPr>
      </w:pPr>
    </w:p>
    <w:p w14:paraId="0FF35C15">
      <w:pPr>
        <w:widowControl/>
        <w:jc w:val="left"/>
        <w:rPr>
          <w:color w:val="auto"/>
        </w:rPr>
      </w:pPr>
      <w:r>
        <w:rPr>
          <w:color w:val="auto"/>
        </w:rPr>
        <w:br w:type="page"/>
      </w:r>
    </w:p>
    <w:p w14:paraId="6F55B4D8">
      <w:pPr>
        <w:spacing w:line="48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6177915" cy="3531235"/>
            <wp:effectExtent l="0" t="0" r="0" b="0"/>
            <wp:docPr id="20714237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23745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D18E">
      <w:pPr>
        <w:keepNext/>
        <w:keepLines/>
        <w:spacing w:before="120" w:after="29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Figure S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22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Characterization of the G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2, G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3, and G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4 microarchitectures.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SEM images (left) and </w:t>
      </w:r>
      <w:r>
        <w:rPr>
          <w:rFonts w:ascii="Times New Roman" w:hAnsi="Times New Roman" w:cs="Times New Roman"/>
          <w:color w:val="auto"/>
          <w:sz w:val="24"/>
          <w:szCs w:val="24"/>
        </w:rPr>
        <w:t>element mapping results of G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2 Ag(Ni,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G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2 Ag(Ni,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G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3 Ag(Ni,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and G</w:t>
      </w: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4 Ag(Ni,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Mn,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Co,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Fe)O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microarchitectures, respectively.</w:t>
      </w:r>
    </w:p>
    <w:p w14:paraId="7B0F69A4">
      <w:pPr>
        <w:widowControl/>
        <w:jc w:val="left"/>
        <w:rPr>
          <w:rFonts w:hint="eastAsia" w:ascii="Times New Roman" w:hAnsi="Times New Roman" w:cs="Times New Roman"/>
          <w:bCs/>
          <w:color w:val="auto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vef0pfzp0xttfexaf6p5zvtdetpfp9s05x0&quot;&gt;成分转化&lt;record-ids&gt;&lt;item&gt;110&lt;/item&gt;&lt;/record-ids&gt;&lt;/item&gt;&lt;/Libraries&gt;"/>
  </w:docVars>
  <w:rsids>
    <w:rsidRoot w:val="00E95C25"/>
    <w:rsid w:val="00005142"/>
    <w:rsid w:val="000057D3"/>
    <w:rsid w:val="00006B44"/>
    <w:rsid w:val="0001733A"/>
    <w:rsid w:val="00017650"/>
    <w:rsid w:val="00021C79"/>
    <w:rsid w:val="000222C9"/>
    <w:rsid w:val="00023E1F"/>
    <w:rsid w:val="00035516"/>
    <w:rsid w:val="00035F47"/>
    <w:rsid w:val="00036914"/>
    <w:rsid w:val="0004049C"/>
    <w:rsid w:val="0005082D"/>
    <w:rsid w:val="00052622"/>
    <w:rsid w:val="000528DE"/>
    <w:rsid w:val="00052E66"/>
    <w:rsid w:val="00054586"/>
    <w:rsid w:val="00063BA4"/>
    <w:rsid w:val="00070737"/>
    <w:rsid w:val="0007263E"/>
    <w:rsid w:val="00073773"/>
    <w:rsid w:val="00082A0E"/>
    <w:rsid w:val="0009095D"/>
    <w:rsid w:val="000938FA"/>
    <w:rsid w:val="0009452E"/>
    <w:rsid w:val="000A0274"/>
    <w:rsid w:val="000A0D49"/>
    <w:rsid w:val="000A21E2"/>
    <w:rsid w:val="000A40AA"/>
    <w:rsid w:val="000A4F52"/>
    <w:rsid w:val="000B2775"/>
    <w:rsid w:val="000B2C79"/>
    <w:rsid w:val="000B2F1A"/>
    <w:rsid w:val="000B4483"/>
    <w:rsid w:val="000C0108"/>
    <w:rsid w:val="000C1EBC"/>
    <w:rsid w:val="000D06BC"/>
    <w:rsid w:val="000D6B08"/>
    <w:rsid w:val="000D6FE6"/>
    <w:rsid w:val="000D7918"/>
    <w:rsid w:val="000E2C6F"/>
    <w:rsid w:val="000E6A03"/>
    <w:rsid w:val="000F5C7A"/>
    <w:rsid w:val="00111AD4"/>
    <w:rsid w:val="00112F52"/>
    <w:rsid w:val="00116A9A"/>
    <w:rsid w:val="00117263"/>
    <w:rsid w:val="001201BE"/>
    <w:rsid w:val="0012221C"/>
    <w:rsid w:val="00122516"/>
    <w:rsid w:val="0012384C"/>
    <w:rsid w:val="00124AAC"/>
    <w:rsid w:val="0012592D"/>
    <w:rsid w:val="001268C4"/>
    <w:rsid w:val="00131758"/>
    <w:rsid w:val="001321E8"/>
    <w:rsid w:val="00133FA6"/>
    <w:rsid w:val="0013514F"/>
    <w:rsid w:val="0014264C"/>
    <w:rsid w:val="00144A4A"/>
    <w:rsid w:val="0014758A"/>
    <w:rsid w:val="00151707"/>
    <w:rsid w:val="001549E0"/>
    <w:rsid w:val="001578C5"/>
    <w:rsid w:val="00161547"/>
    <w:rsid w:val="00163AC6"/>
    <w:rsid w:val="00164186"/>
    <w:rsid w:val="00165063"/>
    <w:rsid w:val="001679A4"/>
    <w:rsid w:val="001679B2"/>
    <w:rsid w:val="001721B3"/>
    <w:rsid w:val="001769D1"/>
    <w:rsid w:val="00181913"/>
    <w:rsid w:val="00184A00"/>
    <w:rsid w:val="00185DCD"/>
    <w:rsid w:val="00191214"/>
    <w:rsid w:val="001A2EC4"/>
    <w:rsid w:val="001B05B3"/>
    <w:rsid w:val="001B5C39"/>
    <w:rsid w:val="001D144D"/>
    <w:rsid w:val="001D251F"/>
    <w:rsid w:val="001D4425"/>
    <w:rsid w:val="001E1790"/>
    <w:rsid w:val="001F1A22"/>
    <w:rsid w:val="001F4F1E"/>
    <w:rsid w:val="001F5FEA"/>
    <w:rsid w:val="00201842"/>
    <w:rsid w:val="00201D15"/>
    <w:rsid w:val="0020212E"/>
    <w:rsid w:val="00214EAC"/>
    <w:rsid w:val="002206F8"/>
    <w:rsid w:val="00230CED"/>
    <w:rsid w:val="00233446"/>
    <w:rsid w:val="00251AA4"/>
    <w:rsid w:val="002526F2"/>
    <w:rsid w:val="0025529A"/>
    <w:rsid w:val="00263CD9"/>
    <w:rsid w:val="00265B74"/>
    <w:rsid w:val="002678ED"/>
    <w:rsid w:val="00270A02"/>
    <w:rsid w:val="00273EBA"/>
    <w:rsid w:val="00283C79"/>
    <w:rsid w:val="00285AC2"/>
    <w:rsid w:val="00287980"/>
    <w:rsid w:val="002879CF"/>
    <w:rsid w:val="002A0DBA"/>
    <w:rsid w:val="002B0696"/>
    <w:rsid w:val="002B0DB4"/>
    <w:rsid w:val="002B5B76"/>
    <w:rsid w:val="002C0E5F"/>
    <w:rsid w:val="002C76C6"/>
    <w:rsid w:val="002D27BB"/>
    <w:rsid w:val="002E01E9"/>
    <w:rsid w:val="002E6D47"/>
    <w:rsid w:val="002F077F"/>
    <w:rsid w:val="002F0F03"/>
    <w:rsid w:val="002F15F6"/>
    <w:rsid w:val="002F664B"/>
    <w:rsid w:val="003203F7"/>
    <w:rsid w:val="003223FD"/>
    <w:rsid w:val="00327A77"/>
    <w:rsid w:val="003309DF"/>
    <w:rsid w:val="00347385"/>
    <w:rsid w:val="00355EE0"/>
    <w:rsid w:val="00356FA7"/>
    <w:rsid w:val="003607AE"/>
    <w:rsid w:val="003642EE"/>
    <w:rsid w:val="003653AD"/>
    <w:rsid w:val="003703FC"/>
    <w:rsid w:val="003849BC"/>
    <w:rsid w:val="00386E7B"/>
    <w:rsid w:val="003A4951"/>
    <w:rsid w:val="003A5977"/>
    <w:rsid w:val="003B031E"/>
    <w:rsid w:val="003B2111"/>
    <w:rsid w:val="003B33FB"/>
    <w:rsid w:val="003B3618"/>
    <w:rsid w:val="003B3FAC"/>
    <w:rsid w:val="003B5066"/>
    <w:rsid w:val="003B52A3"/>
    <w:rsid w:val="003B6BBB"/>
    <w:rsid w:val="003C18B8"/>
    <w:rsid w:val="003C24D5"/>
    <w:rsid w:val="003C6731"/>
    <w:rsid w:val="003C7DD2"/>
    <w:rsid w:val="003D0330"/>
    <w:rsid w:val="003D3DA9"/>
    <w:rsid w:val="003D5266"/>
    <w:rsid w:val="003D6D39"/>
    <w:rsid w:val="003E5FFF"/>
    <w:rsid w:val="003F5868"/>
    <w:rsid w:val="0040005F"/>
    <w:rsid w:val="00410EB1"/>
    <w:rsid w:val="004212EC"/>
    <w:rsid w:val="00421EF0"/>
    <w:rsid w:val="00430522"/>
    <w:rsid w:val="00433F49"/>
    <w:rsid w:val="0044768F"/>
    <w:rsid w:val="004604B3"/>
    <w:rsid w:val="00461482"/>
    <w:rsid w:val="004723D2"/>
    <w:rsid w:val="00477B9A"/>
    <w:rsid w:val="00490CC1"/>
    <w:rsid w:val="00495432"/>
    <w:rsid w:val="00496BA4"/>
    <w:rsid w:val="00497A03"/>
    <w:rsid w:val="004A4B65"/>
    <w:rsid w:val="004B23FD"/>
    <w:rsid w:val="004B2B1F"/>
    <w:rsid w:val="004B2C7B"/>
    <w:rsid w:val="004B4A98"/>
    <w:rsid w:val="004B4B79"/>
    <w:rsid w:val="004B5A6F"/>
    <w:rsid w:val="004C11A8"/>
    <w:rsid w:val="004C30A1"/>
    <w:rsid w:val="004C5B7C"/>
    <w:rsid w:val="004C7EF5"/>
    <w:rsid w:val="004D1DAE"/>
    <w:rsid w:val="004D5226"/>
    <w:rsid w:val="004E1350"/>
    <w:rsid w:val="004E439B"/>
    <w:rsid w:val="004E48F1"/>
    <w:rsid w:val="004F20C9"/>
    <w:rsid w:val="004F3ACB"/>
    <w:rsid w:val="005007D4"/>
    <w:rsid w:val="00502539"/>
    <w:rsid w:val="00507BF9"/>
    <w:rsid w:val="0051108B"/>
    <w:rsid w:val="00514CFD"/>
    <w:rsid w:val="00515FDF"/>
    <w:rsid w:val="0052396A"/>
    <w:rsid w:val="005274ED"/>
    <w:rsid w:val="00531E78"/>
    <w:rsid w:val="0053396C"/>
    <w:rsid w:val="00535B21"/>
    <w:rsid w:val="00537368"/>
    <w:rsid w:val="005375AF"/>
    <w:rsid w:val="0054257B"/>
    <w:rsid w:val="005435A1"/>
    <w:rsid w:val="005437A0"/>
    <w:rsid w:val="005446D1"/>
    <w:rsid w:val="005448EA"/>
    <w:rsid w:val="00545DF2"/>
    <w:rsid w:val="00551049"/>
    <w:rsid w:val="00553E12"/>
    <w:rsid w:val="005644DA"/>
    <w:rsid w:val="00566A25"/>
    <w:rsid w:val="00577CAB"/>
    <w:rsid w:val="00580204"/>
    <w:rsid w:val="00580E7B"/>
    <w:rsid w:val="00581805"/>
    <w:rsid w:val="00585FA4"/>
    <w:rsid w:val="00594F92"/>
    <w:rsid w:val="005A08AE"/>
    <w:rsid w:val="005A1B35"/>
    <w:rsid w:val="005B0EAB"/>
    <w:rsid w:val="005C3189"/>
    <w:rsid w:val="005C3251"/>
    <w:rsid w:val="005C3B40"/>
    <w:rsid w:val="005C60B1"/>
    <w:rsid w:val="005D3284"/>
    <w:rsid w:val="005E177A"/>
    <w:rsid w:val="005E18F0"/>
    <w:rsid w:val="005E5EB1"/>
    <w:rsid w:val="005E7DD5"/>
    <w:rsid w:val="005F3DC3"/>
    <w:rsid w:val="00600390"/>
    <w:rsid w:val="00600A9F"/>
    <w:rsid w:val="00604511"/>
    <w:rsid w:val="00612D7B"/>
    <w:rsid w:val="00615805"/>
    <w:rsid w:val="00615E5B"/>
    <w:rsid w:val="00620A01"/>
    <w:rsid w:val="006220DC"/>
    <w:rsid w:val="006230D9"/>
    <w:rsid w:val="00625FED"/>
    <w:rsid w:val="00626CBD"/>
    <w:rsid w:val="006301BD"/>
    <w:rsid w:val="00634457"/>
    <w:rsid w:val="0063554C"/>
    <w:rsid w:val="00637268"/>
    <w:rsid w:val="006402AB"/>
    <w:rsid w:val="006410F5"/>
    <w:rsid w:val="00653495"/>
    <w:rsid w:val="00657678"/>
    <w:rsid w:val="006616AC"/>
    <w:rsid w:val="00663905"/>
    <w:rsid w:val="00676C1E"/>
    <w:rsid w:val="00687A42"/>
    <w:rsid w:val="00690B25"/>
    <w:rsid w:val="006938D4"/>
    <w:rsid w:val="0069659A"/>
    <w:rsid w:val="006971C6"/>
    <w:rsid w:val="006A1901"/>
    <w:rsid w:val="006A2764"/>
    <w:rsid w:val="006B03CF"/>
    <w:rsid w:val="006B155F"/>
    <w:rsid w:val="006B1C48"/>
    <w:rsid w:val="006B2DA0"/>
    <w:rsid w:val="006B2DA1"/>
    <w:rsid w:val="006B4335"/>
    <w:rsid w:val="006B64BA"/>
    <w:rsid w:val="006C1F8F"/>
    <w:rsid w:val="006C328C"/>
    <w:rsid w:val="006D02DB"/>
    <w:rsid w:val="006D1B18"/>
    <w:rsid w:val="006D6F11"/>
    <w:rsid w:val="006E0851"/>
    <w:rsid w:val="006E57C9"/>
    <w:rsid w:val="006F6869"/>
    <w:rsid w:val="006F6DAF"/>
    <w:rsid w:val="0070419B"/>
    <w:rsid w:val="00711304"/>
    <w:rsid w:val="00713975"/>
    <w:rsid w:val="00722817"/>
    <w:rsid w:val="0073078F"/>
    <w:rsid w:val="00741EB0"/>
    <w:rsid w:val="00743D81"/>
    <w:rsid w:val="00751B4B"/>
    <w:rsid w:val="00756509"/>
    <w:rsid w:val="00760D3C"/>
    <w:rsid w:val="00764D76"/>
    <w:rsid w:val="0076537C"/>
    <w:rsid w:val="0077131B"/>
    <w:rsid w:val="0077704A"/>
    <w:rsid w:val="00777549"/>
    <w:rsid w:val="00781EC0"/>
    <w:rsid w:val="00792E00"/>
    <w:rsid w:val="00794713"/>
    <w:rsid w:val="00795F95"/>
    <w:rsid w:val="00796317"/>
    <w:rsid w:val="007973B4"/>
    <w:rsid w:val="007B7A6E"/>
    <w:rsid w:val="007C675C"/>
    <w:rsid w:val="007C7113"/>
    <w:rsid w:val="007F09CF"/>
    <w:rsid w:val="007F20E3"/>
    <w:rsid w:val="007F5D1B"/>
    <w:rsid w:val="008056B8"/>
    <w:rsid w:val="00806274"/>
    <w:rsid w:val="00811AAF"/>
    <w:rsid w:val="008235C2"/>
    <w:rsid w:val="00830CAC"/>
    <w:rsid w:val="008333F0"/>
    <w:rsid w:val="00837A2F"/>
    <w:rsid w:val="008409E8"/>
    <w:rsid w:val="00840BDF"/>
    <w:rsid w:val="00844900"/>
    <w:rsid w:val="0084689D"/>
    <w:rsid w:val="00847849"/>
    <w:rsid w:val="00855643"/>
    <w:rsid w:val="00861438"/>
    <w:rsid w:val="008615F9"/>
    <w:rsid w:val="008630DD"/>
    <w:rsid w:val="00863782"/>
    <w:rsid w:val="00864A7B"/>
    <w:rsid w:val="008714DB"/>
    <w:rsid w:val="00871E71"/>
    <w:rsid w:val="008728CE"/>
    <w:rsid w:val="00877C03"/>
    <w:rsid w:val="008941C2"/>
    <w:rsid w:val="0089772B"/>
    <w:rsid w:val="008A34F1"/>
    <w:rsid w:val="008A6081"/>
    <w:rsid w:val="008A7BA4"/>
    <w:rsid w:val="008B30D4"/>
    <w:rsid w:val="008B67BE"/>
    <w:rsid w:val="008C575F"/>
    <w:rsid w:val="008D7123"/>
    <w:rsid w:val="008E084F"/>
    <w:rsid w:val="008E3459"/>
    <w:rsid w:val="0090021B"/>
    <w:rsid w:val="009022B6"/>
    <w:rsid w:val="009060DA"/>
    <w:rsid w:val="00917DF9"/>
    <w:rsid w:val="00927941"/>
    <w:rsid w:val="0093267E"/>
    <w:rsid w:val="00933A89"/>
    <w:rsid w:val="00935643"/>
    <w:rsid w:val="00945BA9"/>
    <w:rsid w:val="0094719A"/>
    <w:rsid w:val="00952B0A"/>
    <w:rsid w:val="0095503A"/>
    <w:rsid w:val="009613A9"/>
    <w:rsid w:val="00961749"/>
    <w:rsid w:val="00975D38"/>
    <w:rsid w:val="00976695"/>
    <w:rsid w:val="00982DAA"/>
    <w:rsid w:val="00987F21"/>
    <w:rsid w:val="00991A89"/>
    <w:rsid w:val="009931CF"/>
    <w:rsid w:val="00993B40"/>
    <w:rsid w:val="009971AD"/>
    <w:rsid w:val="009A0715"/>
    <w:rsid w:val="009A1EB1"/>
    <w:rsid w:val="009A2D5B"/>
    <w:rsid w:val="009A3D3F"/>
    <w:rsid w:val="009B68E0"/>
    <w:rsid w:val="009C4C54"/>
    <w:rsid w:val="009C70B5"/>
    <w:rsid w:val="009D0E4E"/>
    <w:rsid w:val="009D2016"/>
    <w:rsid w:val="009D2FB3"/>
    <w:rsid w:val="009D41D8"/>
    <w:rsid w:val="009E2BB0"/>
    <w:rsid w:val="009E4D6C"/>
    <w:rsid w:val="009E6D9C"/>
    <w:rsid w:val="009F1C6D"/>
    <w:rsid w:val="009F1EF7"/>
    <w:rsid w:val="009F4243"/>
    <w:rsid w:val="00A02E1A"/>
    <w:rsid w:val="00A1286D"/>
    <w:rsid w:val="00A16A00"/>
    <w:rsid w:val="00A23787"/>
    <w:rsid w:val="00A27378"/>
    <w:rsid w:val="00A31451"/>
    <w:rsid w:val="00A3176D"/>
    <w:rsid w:val="00A31EDC"/>
    <w:rsid w:val="00A423EC"/>
    <w:rsid w:val="00A478C2"/>
    <w:rsid w:val="00A54839"/>
    <w:rsid w:val="00A57496"/>
    <w:rsid w:val="00A9433A"/>
    <w:rsid w:val="00A950FD"/>
    <w:rsid w:val="00A95E37"/>
    <w:rsid w:val="00A97BD7"/>
    <w:rsid w:val="00AA66A9"/>
    <w:rsid w:val="00AB21AD"/>
    <w:rsid w:val="00AB584D"/>
    <w:rsid w:val="00AB5BA0"/>
    <w:rsid w:val="00AC23B5"/>
    <w:rsid w:val="00AC48EB"/>
    <w:rsid w:val="00AC4AD5"/>
    <w:rsid w:val="00AD02A5"/>
    <w:rsid w:val="00AD1744"/>
    <w:rsid w:val="00AD4F2E"/>
    <w:rsid w:val="00AE10FE"/>
    <w:rsid w:val="00AE2E2F"/>
    <w:rsid w:val="00AF0BEE"/>
    <w:rsid w:val="00AF1395"/>
    <w:rsid w:val="00AF23B6"/>
    <w:rsid w:val="00AF297B"/>
    <w:rsid w:val="00AF4B6E"/>
    <w:rsid w:val="00AF6FE8"/>
    <w:rsid w:val="00B00157"/>
    <w:rsid w:val="00B03919"/>
    <w:rsid w:val="00B05B82"/>
    <w:rsid w:val="00B05C49"/>
    <w:rsid w:val="00B14C10"/>
    <w:rsid w:val="00B15328"/>
    <w:rsid w:val="00B2270D"/>
    <w:rsid w:val="00B23366"/>
    <w:rsid w:val="00B23DDB"/>
    <w:rsid w:val="00B31029"/>
    <w:rsid w:val="00B31C36"/>
    <w:rsid w:val="00B327CE"/>
    <w:rsid w:val="00B36224"/>
    <w:rsid w:val="00B37342"/>
    <w:rsid w:val="00B37C3F"/>
    <w:rsid w:val="00B44B05"/>
    <w:rsid w:val="00B460D6"/>
    <w:rsid w:val="00B577CA"/>
    <w:rsid w:val="00B60A9B"/>
    <w:rsid w:val="00B61147"/>
    <w:rsid w:val="00B62418"/>
    <w:rsid w:val="00B6574A"/>
    <w:rsid w:val="00B67A1C"/>
    <w:rsid w:val="00B7705B"/>
    <w:rsid w:val="00B82D3A"/>
    <w:rsid w:val="00B83C91"/>
    <w:rsid w:val="00B90355"/>
    <w:rsid w:val="00B93EBB"/>
    <w:rsid w:val="00B95DDE"/>
    <w:rsid w:val="00B97CB7"/>
    <w:rsid w:val="00BA14D3"/>
    <w:rsid w:val="00BA52AD"/>
    <w:rsid w:val="00BD23EE"/>
    <w:rsid w:val="00BD2925"/>
    <w:rsid w:val="00BD4290"/>
    <w:rsid w:val="00BE1A15"/>
    <w:rsid w:val="00BE2B9A"/>
    <w:rsid w:val="00BE375C"/>
    <w:rsid w:val="00BE46CE"/>
    <w:rsid w:val="00BF3250"/>
    <w:rsid w:val="00C048DD"/>
    <w:rsid w:val="00C10D46"/>
    <w:rsid w:val="00C134D5"/>
    <w:rsid w:val="00C159F1"/>
    <w:rsid w:val="00C16950"/>
    <w:rsid w:val="00C20A21"/>
    <w:rsid w:val="00C24A12"/>
    <w:rsid w:val="00C271EC"/>
    <w:rsid w:val="00C32835"/>
    <w:rsid w:val="00C35EC3"/>
    <w:rsid w:val="00C43F6F"/>
    <w:rsid w:val="00C44D70"/>
    <w:rsid w:val="00C4719D"/>
    <w:rsid w:val="00C503DD"/>
    <w:rsid w:val="00C50410"/>
    <w:rsid w:val="00C53B17"/>
    <w:rsid w:val="00C54250"/>
    <w:rsid w:val="00C549D3"/>
    <w:rsid w:val="00C555E2"/>
    <w:rsid w:val="00C717F2"/>
    <w:rsid w:val="00C80E1B"/>
    <w:rsid w:val="00C9448F"/>
    <w:rsid w:val="00C958D4"/>
    <w:rsid w:val="00C95DD3"/>
    <w:rsid w:val="00C962A0"/>
    <w:rsid w:val="00C9665B"/>
    <w:rsid w:val="00CA3CB4"/>
    <w:rsid w:val="00CA3E35"/>
    <w:rsid w:val="00CA423F"/>
    <w:rsid w:val="00CA6393"/>
    <w:rsid w:val="00CB2BAA"/>
    <w:rsid w:val="00CB3858"/>
    <w:rsid w:val="00CB56F9"/>
    <w:rsid w:val="00CB7657"/>
    <w:rsid w:val="00CC3565"/>
    <w:rsid w:val="00CC7BBA"/>
    <w:rsid w:val="00CD036B"/>
    <w:rsid w:val="00CD719B"/>
    <w:rsid w:val="00CF3682"/>
    <w:rsid w:val="00D108C1"/>
    <w:rsid w:val="00D10B80"/>
    <w:rsid w:val="00D14C55"/>
    <w:rsid w:val="00D231C0"/>
    <w:rsid w:val="00D268D4"/>
    <w:rsid w:val="00D3094E"/>
    <w:rsid w:val="00D30CF0"/>
    <w:rsid w:val="00D30DD8"/>
    <w:rsid w:val="00D40D0C"/>
    <w:rsid w:val="00D44A5B"/>
    <w:rsid w:val="00D45E8D"/>
    <w:rsid w:val="00D47661"/>
    <w:rsid w:val="00D477B1"/>
    <w:rsid w:val="00D56272"/>
    <w:rsid w:val="00D609B1"/>
    <w:rsid w:val="00D61ED9"/>
    <w:rsid w:val="00D6252D"/>
    <w:rsid w:val="00D6341C"/>
    <w:rsid w:val="00D63B52"/>
    <w:rsid w:val="00D7006C"/>
    <w:rsid w:val="00D71C84"/>
    <w:rsid w:val="00D7363E"/>
    <w:rsid w:val="00D75970"/>
    <w:rsid w:val="00D75B38"/>
    <w:rsid w:val="00D80E4B"/>
    <w:rsid w:val="00D81715"/>
    <w:rsid w:val="00D8228E"/>
    <w:rsid w:val="00D95E04"/>
    <w:rsid w:val="00DA1C21"/>
    <w:rsid w:val="00DB5D4C"/>
    <w:rsid w:val="00DC13B8"/>
    <w:rsid w:val="00DC550C"/>
    <w:rsid w:val="00DC6635"/>
    <w:rsid w:val="00DC6C51"/>
    <w:rsid w:val="00DD3B09"/>
    <w:rsid w:val="00DD74C0"/>
    <w:rsid w:val="00DD7D68"/>
    <w:rsid w:val="00DE2370"/>
    <w:rsid w:val="00DE448E"/>
    <w:rsid w:val="00DF13F5"/>
    <w:rsid w:val="00DF3DA7"/>
    <w:rsid w:val="00DF4564"/>
    <w:rsid w:val="00DF73BB"/>
    <w:rsid w:val="00E0016C"/>
    <w:rsid w:val="00E05A04"/>
    <w:rsid w:val="00E1296C"/>
    <w:rsid w:val="00E15989"/>
    <w:rsid w:val="00E23996"/>
    <w:rsid w:val="00E25DFC"/>
    <w:rsid w:val="00E270DA"/>
    <w:rsid w:val="00E27D19"/>
    <w:rsid w:val="00E27E31"/>
    <w:rsid w:val="00E30681"/>
    <w:rsid w:val="00E337EC"/>
    <w:rsid w:val="00E357BF"/>
    <w:rsid w:val="00E37E9E"/>
    <w:rsid w:val="00E40E8E"/>
    <w:rsid w:val="00E43771"/>
    <w:rsid w:val="00E4750B"/>
    <w:rsid w:val="00E506FF"/>
    <w:rsid w:val="00E525FE"/>
    <w:rsid w:val="00E555CF"/>
    <w:rsid w:val="00E55811"/>
    <w:rsid w:val="00E573B7"/>
    <w:rsid w:val="00E71768"/>
    <w:rsid w:val="00E74AD3"/>
    <w:rsid w:val="00E83CAC"/>
    <w:rsid w:val="00E90983"/>
    <w:rsid w:val="00E94964"/>
    <w:rsid w:val="00E95509"/>
    <w:rsid w:val="00E95C25"/>
    <w:rsid w:val="00EA0871"/>
    <w:rsid w:val="00EA1AC0"/>
    <w:rsid w:val="00EA27AE"/>
    <w:rsid w:val="00EA325A"/>
    <w:rsid w:val="00EA5A71"/>
    <w:rsid w:val="00EB3C02"/>
    <w:rsid w:val="00ED0AEE"/>
    <w:rsid w:val="00ED24FD"/>
    <w:rsid w:val="00ED35D4"/>
    <w:rsid w:val="00EE12A7"/>
    <w:rsid w:val="00EE1E12"/>
    <w:rsid w:val="00EE6526"/>
    <w:rsid w:val="00EE79A8"/>
    <w:rsid w:val="00EF2B57"/>
    <w:rsid w:val="00EF721A"/>
    <w:rsid w:val="00F02FE9"/>
    <w:rsid w:val="00F11760"/>
    <w:rsid w:val="00F14C2C"/>
    <w:rsid w:val="00F166C4"/>
    <w:rsid w:val="00F20F19"/>
    <w:rsid w:val="00F24930"/>
    <w:rsid w:val="00F24B75"/>
    <w:rsid w:val="00F30A28"/>
    <w:rsid w:val="00F31879"/>
    <w:rsid w:val="00F3236A"/>
    <w:rsid w:val="00F34A99"/>
    <w:rsid w:val="00F470FB"/>
    <w:rsid w:val="00F54A65"/>
    <w:rsid w:val="00F55DC9"/>
    <w:rsid w:val="00F6639D"/>
    <w:rsid w:val="00F82D4A"/>
    <w:rsid w:val="00F87A39"/>
    <w:rsid w:val="00F94913"/>
    <w:rsid w:val="00F95CAF"/>
    <w:rsid w:val="00F96346"/>
    <w:rsid w:val="00F9781A"/>
    <w:rsid w:val="00F97C3A"/>
    <w:rsid w:val="00FB63D1"/>
    <w:rsid w:val="00FB6BAE"/>
    <w:rsid w:val="00FC4510"/>
    <w:rsid w:val="00FC53F0"/>
    <w:rsid w:val="00FC65FF"/>
    <w:rsid w:val="00FC7268"/>
    <w:rsid w:val="00FE2C56"/>
    <w:rsid w:val="00FE3F3A"/>
    <w:rsid w:val="00FF506C"/>
    <w:rsid w:val="02DD1A2B"/>
    <w:rsid w:val="04843258"/>
    <w:rsid w:val="05477BCF"/>
    <w:rsid w:val="08377C87"/>
    <w:rsid w:val="11160D00"/>
    <w:rsid w:val="16BE2541"/>
    <w:rsid w:val="17C2005C"/>
    <w:rsid w:val="1A2D1F11"/>
    <w:rsid w:val="1ED67C62"/>
    <w:rsid w:val="23CA462D"/>
    <w:rsid w:val="247C3FDE"/>
    <w:rsid w:val="24B35939"/>
    <w:rsid w:val="2A2F651D"/>
    <w:rsid w:val="328459E1"/>
    <w:rsid w:val="378B5A2A"/>
    <w:rsid w:val="37A010C4"/>
    <w:rsid w:val="3A275CB6"/>
    <w:rsid w:val="3C9C3E2C"/>
    <w:rsid w:val="3D2E77B5"/>
    <w:rsid w:val="3E4509F4"/>
    <w:rsid w:val="3EB370BF"/>
    <w:rsid w:val="41D913A1"/>
    <w:rsid w:val="453F0F61"/>
    <w:rsid w:val="457F1EF2"/>
    <w:rsid w:val="4AB67DF8"/>
    <w:rsid w:val="4D814D50"/>
    <w:rsid w:val="4FF86B2F"/>
    <w:rsid w:val="50181A86"/>
    <w:rsid w:val="509E6FE7"/>
    <w:rsid w:val="51525658"/>
    <w:rsid w:val="51FD67D6"/>
    <w:rsid w:val="54861140"/>
    <w:rsid w:val="5F7F0ABD"/>
    <w:rsid w:val="5FB45C90"/>
    <w:rsid w:val="658E7339"/>
    <w:rsid w:val="67B460CF"/>
    <w:rsid w:val="6CEA29ED"/>
    <w:rsid w:val="6F514E7E"/>
    <w:rsid w:val="727B7FEF"/>
    <w:rsid w:val="7496678D"/>
    <w:rsid w:val="775B6D6C"/>
    <w:rsid w:val="79437DB0"/>
    <w:rsid w:val="79DD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6"/>
    <w:qFormat/>
    <w:uiPriority w:val="99"/>
    <w:rPr>
      <w:sz w:val="18"/>
      <w:szCs w:val="18"/>
    </w:rPr>
  </w:style>
  <w:style w:type="paragraph" w:customStyle="1" w:styleId="14">
    <w:name w:val="二级标题"/>
    <w:basedOn w:val="3"/>
    <w:qFormat/>
    <w:uiPriority w:val="0"/>
    <w:pPr>
      <w:keepLines w:val="0"/>
      <w:widowControl/>
      <w:spacing w:before="240" w:after="120" w:line="480" w:lineRule="auto"/>
    </w:pPr>
    <w:rPr>
      <w:rFonts w:ascii="Times New Roman" w:hAnsi="Times New Roman" w:eastAsia="Times New Roman" w:cs="Times New Roman"/>
      <w:iCs/>
      <w:kern w:val="0"/>
      <w:sz w:val="24"/>
      <w:szCs w:val="28"/>
      <w:lang w:eastAsia="en-US"/>
    </w:rPr>
  </w:style>
  <w:style w:type="paragraph" w:customStyle="1" w:styleId="15">
    <w:name w:val="三级标题"/>
    <w:basedOn w:val="4"/>
    <w:next w:val="4"/>
    <w:link w:val="16"/>
    <w:qFormat/>
    <w:uiPriority w:val="0"/>
    <w:pPr>
      <w:keepLines w:val="0"/>
      <w:widowControl/>
      <w:spacing w:before="240" w:after="60" w:line="480" w:lineRule="auto"/>
    </w:pPr>
    <w:rPr>
      <w:rFonts w:ascii="Times" w:hAnsi="Times" w:eastAsia="Times" w:cs="Times New Roman"/>
      <w:bCs w:val="0"/>
      <w:kern w:val="0"/>
      <w:sz w:val="24"/>
      <w:szCs w:val="20"/>
      <w:lang w:eastAsia="en-US"/>
    </w:rPr>
  </w:style>
  <w:style w:type="character" w:customStyle="1" w:styleId="16">
    <w:name w:val="三级标题 字符"/>
    <w:basedOn w:val="9"/>
    <w:link w:val="15"/>
    <w:qFormat/>
    <w:uiPriority w:val="0"/>
    <w:rPr>
      <w:rFonts w:ascii="Times" w:hAnsi="Times" w:eastAsia="Times" w:cs="Times New Roman"/>
      <w:b/>
      <w:kern w:val="0"/>
      <w:sz w:val="24"/>
      <w:szCs w:val="20"/>
      <w:lang w:eastAsia="en-US"/>
    </w:rPr>
  </w:style>
  <w:style w:type="character" w:customStyle="1" w:styleId="17">
    <w:name w:val="标题 2 字符"/>
    <w:basedOn w:val="9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9"/>
    <w:link w:val="4"/>
    <w:semiHidden/>
    <w:qFormat/>
    <w:uiPriority w:val="9"/>
    <w:rPr>
      <w:b/>
      <w:bCs/>
      <w:sz w:val="32"/>
      <w:szCs w:val="32"/>
    </w:rPr>
  </w:style>
  <w:style w:type="paragraph" w:customStyle="1" w:styleId="19">
    <w:name w:val="EndNote Bibliography Title"/>
    <w:basedOn w:val="1"/>
    <w:link w:val="20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20">
    <w:name w:val="EndNote Bibliography Title 字符"/>
    <w:basedOn w:val="9"/>
    <w:link w:val="19"/>
    <w:qFormat/>
    <w:uiPriority w:val="0"/>
    <w:rPr>
      <w:rFonts w:ascii="等线" w:hAnsi="等线" w:eastAsia="等线"/>
      <w:sz w:val="20"/>
    </w:rPr>
  </w:style>
  <w:style w:type="paragraph" w:customStyle="1" w:styleId="21">
    <w:name w:val="EndNote Bibliography"/>
    <w:basedOn w:val="1"/>
    <w:link w:val="22"/>
    <w:qFormat/>
    <w:uiPriority w:val="0"/>
    <w:pPr>
      <w:jc w:val="left"/>
    </w:pPr>
    <w:rPr>
      <w:rFonts w:ascii="等线" w:hAnsi="等线" w:eastAsia="等线"/>
      <w:sz w:val="20"/>
    </w:rPr>
  </w:style>
  <w:style w:type="character" w:customStyle="1" w:styleId="22">
    <w:name w:val="EndNote Bibliography 字符"/>
    <w:basedOn w:val="9"/>
    <w:link w:val="21"/>
    <w:qFormat/>
    <w:uiPriority w:val="0"/>
    <w:rPr>
      <w:rFonts w:ascii="等线" w:hAnsi="等线" w:eastAsia="等线"/>
      <w:sz w:val="20"/>
    </w:rPr>
  </w:style>
  <w:style w:type="paragraph" w:customStyle="1" w:styleId="23">
    <w:name w:val="Paragraph"/>
    <w:basedOn w:val="1"/>
    <w:qFormat/>
    <w:uiPriority w:val="0"/>
    <w:pPr>
      <w:widowControl/>
      <w:spacing w:before="120"/>
      <w:ind w:firstLine="720"/>
      <w:jc w:val="left"/>
    </w:pPr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paragraph" w:customStyle="1" w:styleId="24">
    <w:name w:val="AI_Received_Date"/>
    <w:basedOn w:val="1"/>
    <w:next w:val="1"/>
    <w:qFormat/>
    <w:uiPriority w:val="0"/>
    <w:pPr>
      <w:widowControl/>
      <w:spacing w:after="240" w:line="480" w:lineRule="auto"/>
    </w:pPr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25">
    <w:name w:val="一级标题"/>
    <w:basedOn w:val="2"/>
    <w:qFormat/>
    <w:uiPriority w:val="0"/>
    <w:pPr>
      <w:keepLines w:val="0"/>
      <w:widowControl/>
      <w:spacing w:after="240" w:line="480" w:lineRule="auto"/>
    </w:pPr>
    <w:rPr>
      <w:rFonts w:ascii="Times New Roman" w:hAnsi="Times New Roman" w:eastAsia="Times New Roman" w:cs="Times New Roman"/>
      <w:b/>
      <w:bCs/>
      <w:color w:val="auto"/>
      <w:kern w:val="32"/>
      <w:sz w:val="28"/>
      <w:szCs w:val="24"/>
      <w:lang w:eastAsia="en-US"/>
    </w:rPr>
  </w:style>
  <w:style w:type="character" w:customStyle="1" w:styleId="26">
    <w:name w:val="标题 1 字符"/>
    <w:basedOn w:val="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customStyle="1" w:styleId="27">
    <w:name w:val="Acknowledgement"/>
    <w:basedOn w:val="1"/>
    <w:link w:val="28"/>
    <w:qFormat/>
    <w:uiPriority w:val="0"/>
    <w:pPr>
      <w:widowControl/>
      <w:spacing w:before="120"/>
      <w:ind w:left="720" w:hanging="720"/>
      <w:jc w:val="left"/>
    </w:pPr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8">
    <w:name w:val="Acknowledgement 字符"/>
    <w:basedOn w:val="9"/>
    <w:link w:val="27"/>
    <w:qFormat/>
    <w:uiPriority w:val="0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styleId="29">
    <w:name w:val="Placeholder Text"/>
    <w:basedOn w:val="9"/>
    <w:semiHidden/>
    <w:qFormat/>
    <w:uiPriority w:val="99"/>
    <w:rPr>
      <w:color w:val="808080"/>
    </w:rPr>
  </w:style>
  <w:style w:type="paragraph" w:customStyle="1" w:styleId="30">
    <w:name w:val="Teaser"/>
    <w:basedOn w:val="1"/>
    <w:link w:val="31"/>
    <w:qFormat/>
    <w:uiPriority w:val="0"/>
    <w:pPr>
      <w:widowControl/>
      <w:spacing w:before="120"/>
      <w:jc w:val="left"/>
    </w:pPr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31">
    <w:name w:val="Teaser 字符"/>
    <w:basedOn w:val="9"/>
    <w:link w:val="30"/>
    <w:qFormat/>
    <w:uiPriority w:val="0"/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customStyle="1" w:styleId="32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tiff"/><Relationship Id="rId21" Type="http://schemas.openxmlformats.org/officeDocument/2006/relationships/image" Target="media/image18.jpeg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2088</Words>
  <Characters>12052</Characters>
  <Lines>191</Lines>
  <Paragraphs>54</Paragraphs>
  <TotalTime>240</TotalTime>
  <ScaleCrop>false</ScaleCrop>
  <LinksUpToDate>false</LinksUpToDate>
  <CharactersWithSpaces>14026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2026-04-20T14:36:00Z</dcterms:created>
  <dc:creator>芷若 赵</dc:creator>
  <cp:lastModifiedBy>WPS_1680424488</cp:lastModifiedBy>
  <cp:lastPrinted>2024-03-31T15:05:00Z</cp:lastPrinted>
  <dcterms:modified xsi:type="dcterms:W3CDTF">2026-05-09T12:44:40Z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eyJoZGlkIjoiZGIyNGEyY2FiZDMxYWFkMThmZTc3MmFhNjFjNjJhNzkiLCJ1c2VySWQiOiIxNDgzOTUzMDcyIn0=</vt:lpwstr>
  </property>
  <property fmtid="{D5CDD505-2E9C-101B-9397-08002B2CF9AE}" pid="3" name="KSOProductBuildVer">
    <vt:lpwstr>2052-12.1.0.25865</vt:lpwstr>
  </property>
  <property fmtid="{D5CDD505-2E9C-101B-9397-08002B2CF9AE}" pid="4" name="ICV">
    <vt:lpwstr>245F362A598C40C79478028E5DB212F2_13</vt:lpwstr>
  </property>
</Properties>
</file>