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8B019" w14:textId="77777777" w:rsidR="005B46DD" w:rsidRDefault="00000000">
      <w:pPr>
        <w:jc w:val="center"/>
      </w:pPr>
      <w:r>
        <w:rPr>
          <w:b/>
          <w:sz w:val="28"/>
        </w:rPr>
        <w:t>STROBE STATEMENT — CHECKLIST FOR REPORTING OBSERVATIONAL STUDIES</w:t>
      </w:r>
    </w:p>
    <w:p w14:paraId="3EA86628" w14:textId="77777777" w:rsidR="005B46DD" w:rsidRDefault="00000000">
      <w:pPr>
        <w:spacing w:after="60"/>
      </w:pPr>
      <w:r>
        <w:rPr>
          <w:b/>
        </w:rPr>
        <w:t>Manuscript:</w:t>
      </w:r>
      <w:r>
        <w:t xml:space="preserve"> Ramadan Diurnal Intermittent Fasting as a Real-World Metabolic Intervention Model in MASLD: A Prospective Multicenter Study</w:t>
      </w:r>
    </w:p>
    <w:p w14:paraId="5D63D369" w14:textId="015BDF8F" w:rsidR="005B46DD" w:rsidRDefault="00000000">
      <w:pPr>
        <w:spacing w:after="60"/>
      </w:pPr>
      <w:r>
        <w:rPr>
          <w:b/>
        </w:rPr>
        <w:t>Journal:</w:t>
      </w:r>
      <w:r>
        <w:t xml:space="preserve"> </w:t>
      </w:r>
      <w:r w:rsidR="009247A2" w:rsidRPr="009247A2">
        <w:t>BMC Gastroenterology</w:t>
      </w:r>
      <w:r>
        <w:t>|  Study Design: Multicenter, Prospective, Observational Pre–Post (Within-Subject) Cohort Study  |  May 2026</w:t>
      </w:r>
    </w:p>
    <w:p w14:paraId="59B25CE7" w14:textId="152DE647" w:rsidR="005B46DD" w:rsidRDefault="00000000">
      <w:pPr>
        <w:spacing w:after="60"/>
      </w:pPr>
      <w:r>
        <w:rPr>
          <w:b/>
        </w:rPr>
        <w:t>Note:</w:t>
      </w:r>
      <w:r>
        <w:t xml:space="preserve"> STROBE was developed for cohort, case-control, and cross-sectional studies. This pre–post within-subject design most closely aligns with a cohort study without an external comparator group. Items not applicable to pre–post designs (e.g., matching for case-control) are noted as N/A. The checklist is submitted to </w:t>
      </w:r>
      <w:r w:rsidR="009247A2" w:rsidRPr="009247A2">
        <w:t>BMC Gastroenterology</w:t>
      </w:r>
      <w:r w:rsidR="009247A2">
        <w:t xml:space="preserve"> </w:t>
      </w:r>
      <w:r>
        <w:t>as a supplementary file, consistent with the STROBE statement referenced in the Methods section.</w:t>
      </w:r>
    </w:p>
    <w:tbl>
      <w:tblPr>
        <w:tblStyle w:val="TableGrid"/>
        <w:tblW w:w="0" w:type="auto"/>
        <w:jc w:val="center"/>
        <w:tblLayout w:type="fixed"/>
        <w:tblLook w:val="04A0" w:firstRow="1" w:lastRow="0" w:firstColumn="1" w:lastColumn="0" w:noHBand="0" w:noVBand="1"/>
      </w:tblPr>
      <w:tblGrid>
        <w:gridCol w:w="936"/>
        <w:gridCol w:w="4320"/>
        <w:gridCol w:w="1944"/>
        <w:gridCol w:w="8136"/>
      </w:tblGrid>
      <w:tr w:rsidR="005B46DD" w14:paraId="359AD072" w14:textId="77777777">
        <w:trPr>
          <w:tblHeader/>
          <w:jc w:val="center"/>
        </w:trPr>
        <w:tc>
          <w:tcPr>
            <w:tcW w:w="936" w:type="dxa"/>
            <w:shd w:val="clear" w:color="auto" w:fill="D9EAF7"/>
            <w:tcMar>
              <w:top w:w="60" w:type="dxa"/>
              <w:left w:w="60" w:type="dxa"/>
              <w:bottom w:w="60" w:type="dxa"/>
              <w:right w:w="60" w:type="dxa"/>
            </w:tcMar>
          </w:tcPr>
          <w:p w14:paraId="2AA2EA21" w14:textId="77777777" w:rsidR="005B46DD" w:rsidRDefault="00000000">
            <w:pPr>
              <w:jc w:val="center"/>
            </w:pPr>
            <w:r>
              <w:rPr>
                <w:b/>
                <w:sz w:val="17"/>
              </w:rPr>
              <w:t>Item #</w:t>
            </w:r>
          </w:p>
        </w:tc>
        <w:tc>
          <w:tcPr>
            <w:tcW w:w="4320" w:type="dxa"/>
            <w:shd w:val="clear" w:color="auto" w:fill="D9EAF7"/>
            <w:tcMar>
              <w:top w:w="60" w:type="dxa"/>
              <w:left w:w="60" w:type="dxa"/>
              <w:bottom w:w="60" w:type="dxa"/>
              <w:right w:w="60" w:type="dxa"/>
            </w:tcMar>
          </w:tcPr>
          <w:p w14:paraId="46FCB028" w14:textId="77777777" w:rsidR="005B46DD" w:rsidRDefault="00000000">
            <w:r>
              <w:rPr>
                <w:b/>
                <w:sz w:val="17"/>
              </w:rPr>
              <w:t>STROBE Recommendation</w:t>
            </w:r>
          </w:p>
        </w:tc>
        <w:tc>
          <w:tcPr>
            <w:tcW w:w="1944" w:type="dxa"/>
            <w:shd w:val="clear" w:color="auto" w:fill="D9EAF7"/>
            <w:tcMar>
              <w:top w:w="60" w:type="dxa"/>
              <w:left w:w="60" w:type="dxa"/>
              <w:bottom w:w="60" w:type="dxa"/>
              <w:right w:w="60" w:type="dxa"/>
            </w:tcMar>
          </w:tcPr>
          <w:p w14:paraId="66FEC2E6" w14:textId="77777777" w:rsidR="005B46DD" w:rsidRDefault="00000000">
            <w:r>
              <w:rPr>
                <w:b/>
                <w:sz w:val="17"/>
              </w:rPr>
              <w:t>MS Location</w:t>
            </w:r>
          </w:p>
        </w:tc>
        <w:tc>
          <w:tcPr>
            <w:tcW w:w="8136" w:type="dxa"/>
            <w:shd w:val="clear" w:color="auto" w:fill="D9EAF7"/>
            <w:tcMar>
              <w:top w:w="60" w:type="dxa"/>
              <w:left w:w="60" w:type="dxa"/>
              <w:bottom w:w="60" w:type="dxa"/>
              <w:right w:w="60" w:type="dxa"/>
            </w:tcMar>
          </w:tcPr>
          <w:p w14:paraId="5687DFA0" w14:textId="77777777" w:rsidR="005B46DD" w:rsidRDefault="00000000">
            <w:r>
              <w:rPr>
                <w:b/>
                <w:sz w:val="17"/>
              </w:rPr>
              <w:t>Authors' Response — How This Study Addresses Each Item</w:t>
            </w:r>
          </w:p>
        </w:tc>
      </w:tr>
      <w:tr w:rsidR="005B46DD" w14:paraId="6BB67EC1" w14:textId="77777777">
        <w:trPr>
          <w:jc w:val="center"/>
        </w:trPr>
        <w:tc>
          <w:tcPr>
            <w:tcW w:w="936" w:type="dxa"/>
            <w:shd w:val="clear" w:color="auto" w:fill="EDEDED"/>
            <w:tcMar>
              <w:top w:w="60" w:type="dxa"/>
              <w:left w:w="60" w:type="dxa"/>
              <w:bottom w:w="60" w:type="dxa"/>
              <w:right w:w="60" w:type="dxa"/>
            </w:tcMar>
          </w:tcPr>
          <w:p w14:paraId="0F3B7EA8" w14:textId="77777777" w:rsidR="005B46DD" w:rsidRDefault="00000000">
            <w:pPr>
              <w:jc w:val="center"/>
            </w:pPr>
            <w:r>
              <w:rPr>
                <w:b/>
                <w:sz w:val="17"/>
              </w:rPr>
              <w:t>TITLE AND ABSTRACT</w:t>
            </w:r>
          </w:p>
        </w:tc>
        <w:tc>
          <w:tcPr>
            <w:tcW w:w="4320" w:type="dxa"/>
            <w:shd w:val="clear" w:color="auto" w:fill="EDEDED"/>
            <w:tcMar>
              <w:top w:w="60" w:type="dxa"/>
              <w:left w:w="60" w:type="dxa"/>
              <w:bottom w:w="60" w:type="dxa"/>
              <w:right w:w="60" w:type="dxa"/>
            </w:tcMar>
          </w:tcPr>
          <w:p w14:paraId="7876B351" w14:textId="77777777" w:rsidR="005B46DD" w:rsidRDefault="00000000">
            <w:pPr>
              <w:jc w:val="center"/>
            </w:pPr>
            <w:r>
              <w:rPr>
                <w:b/>
                <w:sz w:val="17"/>
              </w:rPr>
              <w:t>TITLE AND ABSTRACT</w:t>
            </w:r>
          </w:p>
        </w:tc>
        <w:tc>
          <w:tcPr>
            <w:tcW w:w="1944" w:type="dxa"/>
            <w:shd w:val="clear" w:color="auto" w:fill="EDEDED"/>
            <w:tcMar>
              <w:top w:w="60" w:type="dxa"/>
              <w:left w:w="60" w:type="dxa"/>
              <w:bottom w:w="60" w:type="dxa"/>
              <w:right w:w="60" w:type="dxa"/>
            </w:tcMar>
          </w:tcPr>
          <w:p w14:paraId="7CCA24C8" w14:textId="77777777" w:rsidR="005B46DD" w:rsidRDefault="00000000">
            <w:pPr>
              <w:jc w:val="center"/>
            </w:pPr>
            <w:r>
              <w:rPr>
                <w:b/>
                <w:sz w:val="17"/>
              </w:rPr>
              <w:t>TITLE AND ABSTRACT</w:t>
            </w:r>
          </w:p>
        </w:tc>
        <w:tc>
          <w:tcPr>
            <w:tcW w:w="8136" w:type="dxa"/>
            <w:shd w:val="clear" w:color="auto" w:fill="EDEDED"/>
            <w:tcMar>
              <w:top w:w="60" w:type="dxa"/>
              <w:left w:w="60" w:type="dxa"/>
              <w:bottom w:w="60" w:type="dxa"/>
              <w:right w:w="60" w:type="dxa"/>
            </w:tcMar>
          </w:tcPr>
          <w:p w14:paraId="71F1FE52" w14:textId="77777777" w:rsidR="005B46DD" w:rsidRDefault="00000000">
            <w:pPr>
              <w:jc w:val="center"/>
            </w:pPr>
            <w:r>
              <w:rPr>
                <w:b/>
                <w:sz w:val="17"/>
              </w:rPr>
              <w:t>TITLE AND ABSTRACT</w:t>
            </w:r>
          </w:p>
        </w:tc>
      </w:tr>
      <w:tr w:rsidR="005B46DD" w14:paraId="01CEED40" w14:textId="77777777">
        <w:trPr>
          <w:jc w:val="center"/>
        </w:trPr>
        <w:tc>
          <w:tcPr>
            <w:tcW w:w="936" w:type="dxa"/>
            <w:tcMar>
              <w:top w:w="60" w:type="dxa"/>
              <w:left w:w="60" w:type="dxa"/>
              <w:bottom w:w="60" w:type="dxa"/>
              <w:right w:w="60" w:type="dxa"/>
            </w:tcMar>
          </w:tcPr>
          <w:p w14:paraId="5329B2C4" w14:textId="77777777" w:rsidR="005B46DD" w:rsidRDefault="00000000">
            <w:pPr>
              <w:jc w:val="center"/>
            </w:pPr>
            <w:r>
              <w:rPr>
                <w:sz w:val="15"/>
              </w:rPr>
              <w:t>1</w:t>
            </w:r>
          </w:p>
        </w:tc>
        <w:tc>
          <w:tcPr>
            <w:tcW w:w="4320" w:type="dxa"/>
            <w:tcMar>
              <w:top w:w="60" w:type="dxa"/>
              <w:left w:w="60" w:type="dxa"/>
              <w:bottom w:w="60" w:type="dxa"/>
              <w:right w:w="60" w:type="dxa"/>
            </w:tcMar>
          </w:tcPr>
          <w:p w14:paraId="01BBDE67" w14:textId="77777777" w:rsidR="005B46DD" w:rsidRDefault="00000000">
            <w:r>
              <w:rPr>
                <w:sz w:val="15"/>
              </w:rPr>
              <w:t>(a) Indicate the study's design with a commonly used term in the title or the abstract.</w:t>
            </w:r>
            <w:r>
              <w:rPr>
                <w:sz w:val="15"/>
              </w:rPr>
              <w:br/>
              <w:t>(b) Provide in the abstract an informative and balanced summary of what was done and what was found.</w:t>
            </w:r>
          </w:p>
        </w:tc>
        <w:tc>
          <w:tcPr>
            <w:tcW w:w="1944" w:type="dxa"/>
            <w:tcMar>
              <w:top w:w="60" w:type="dxa"/>
              <w:left w:w="60" w:type="dxa"/>
              <w:bottom w:w="60" w:type="dxa"/>
              <w:right w:w="60" w:type="dxa"/>
            </w:tcMar>
          </w:tcPr>
          <w:p w14:paraId="1F4FB6B0" w14:textId="77777777" w:rsidR="005B46DD" w:rsidRDefault="00000000">
            <w:r>
              <w:rPr>
                <w:sz w:val="15"/>
              </w:rPr>
              <w:t>Title;</w:t>
            </w:r>
            <w:r>
              <w:rPr>
                <w:sz w:val="15"/>
              </w:rPr>
              <w:br/>
              <w:t>Abstract</w:t>
            </w:r>
          </w:p>
        </w:tc>
        <w:tc>
          <w:tcPr>
            <w:tcW w:w="8136" w:type="dxa"/>
            <w:tcMar>
              <w:top w:w="60" w:type="dxa"/>
              <w:left w:w="60" w:type="dxa"/>
              <w:bottom w:w="60" w:type="dxa"/>
              <w:right w:w="60" w:type="dxa"/>
            </w:tcMar>
          </w:tcPr>
          <w:p w14:paraId="50204A4B" w14:textId="6DB10781" w:rsidR="005B46DD" w:rsidRDefault="00000000">
            <w:r>
              <w:rPr>
                <w:sz w:val="15"/>
              </w:rPr>
              <w:t>(a) The title states 'A Prospective Multicenter Study'; the abstract Design heading states 'Multicenter, prospective, observational pre–post within-subject study.' The study design is unambiguously identified in both locations.</w:t>
            </w:r>
            <w:r>
              <w:rPr>
                <w:sz w:val="15"/>
              </w:rPr>
              <w:br/>
              <w:t xml:space="preserve">(b) The abstract is structured with 7 headings: Background, Objectives, Design, Methods, Results, Conclusion, and Registration. </w:t>
            </w:r>
            <w:r w:rsidR="00F0077C" w:rsidRPr="00F0077C">
              <w:rPr>
                <w:sz w:val="15"/>
              </w:rPr>
              <w:t>It reports key numerical findings, including CAP reduction, ALT reduction, lipid changes, physical activity changes, and dietary changes, with appropriately cautious interpretation.</w:t>
            </w:r>
          </w:p>
        </w:tc>
      </w:tr>
      <w:tr w:rsidR="005B46DD" w14:paraId="7B2C6796" w14:textId="77777777">
        <w:trPr>
          <w:jc w:val="center"/>
        </w:trPr>
        <w:tc>
          <w:tcPr>
            <w:tcW w:w="936" w:type="dxa"/>
            <w:shd w:val="clear" w:color="auto" w:fill="EDEDED"/>
            <w:tcMar>
              <w:top w:w="60" w:type="dxa"/>
              <w:left w:w="60" w:type="dxa"/>
              <w:bottom w:w="60" w:type="dxa"/>
              <w:right w:w="60" w:type="dxa"/>
            </w:tcMar>
          </w:tcPr>
          <w:p w14:paraId="7A706718" w14:textId="77777777" w:rsidR="005B46DD" w:rsidRDefault="00000000">
            <w:pPr>
              <w:jc w:val="center"/>
            </w:pPr>
            <w:r>
              <w:rPr>
                <w:b/>
                <w:sz w:val="17"/>
              </w:rPr>
              <w:t>INTRODUCTION</w:t>
            </w:r>
          </w:p>
        </w:tc>
        <w:tc>
          <w:tcPr>
            <w:tcW w:w="4320" w:type="dxa"/>
            <w:shd w:val="clear" w:color="auto" w:fill="EDEDED"/>
            <w:tcMar>
              <w:top w:w="60" w:type="dxa"/>
              <w:left w:w="60" w:type="dxa"/>
              <w:bottom w:w="60" w:type="dxa"/>
              <w:right w:w="60" w:type="dxa"/>
            </w:tcMar>
          </w:tcPr>
          <w:p w14:paraId="4530026D" w14:textId="77777777" w:rsidR="005B46DD" w:rsidRDefault="00000000">
            <w:pPr>
              <w:jc w:val="center"/>
            </w:pPr>
            <w:r>
              <w:rPr>
                <w:b/>
                <w:sz w:val="17"/>
              </w:rPr>
              <w:t>INTRODUCTION</w:t>
            </w:r>
          </w:p>
        </w:tc>
        <w:tc>
          <w:tcPr>
            <w:tcW w:w="1944" w:type="dxa"/>
            <w:shd w:val="clear" w:color="auto" w:fill="EDEDED"/>
            <w:tcMar>
              <w:top w:w="60" w:type="dxa"/>
              <w:left w:w="60" w:type="dxa"/>
              <w:bottom w:w="60" w:type="dxa"/>
              <w:right w:w="60" w:type="dxa"/>
            </w:tcMar>
          </w:tcPr>
          <w:p w14:paraId="5DD9DFFF" w14:textId="77777777" w:rsidR="005B46DD" w:rsidRDefault="00000000">
            <w:pPr>
              <w:jc w:val="center"/>
            </w:pPr>
            <w:r>
              <w:rPr>
                <w:b/>
                <w:sz w:val="17"/>
              </w:rPr>
              <w:t>INTRODUCTION</w:t>
            </w:r>
          </w:p>
        </w:tc>
        <w:tc>
          <w:tcPr>
            <w:tcW w:w="8136" w:type="dxa"/>
            <w:shd w:val="clear" w:color="auto" w:fill="EDEDED"/>
            <w:tcMar>
              <w:top w:w="60" w:type="dxa"/>
              <w:left w:w="60" w:type="dxa"/>
              <w:bottom w:w="60" w:type="dxa"/>
              <w:right w:w="60" w:type="dxa"/>
            </w:tcMar>
          </w:tcPr>
          <w:p w14:paraId="0A730FA8" w14:textId="77777777" w:rsidR="005B46DD" w:rsidRDefault="00000000">
            <w:pPr>
              <w:jc w:val="center"/>
            </w:pPr>
            <w:r>
              <w:rPr>
                <w:b/>
                <w:sz w:val="17"/>
              </w:rPr>
              <w:t>INTRODUCTION</w:t>
            </w:r>
          </w:p>
        </w:tc>
      </w:tr>
      <w:tr w:rsidR="005B46DD" w14:paraId="7701D193" w14:textId="77777777">
        <w:trPr>
          <w:jc w:val="center"/>
        </w:trPr>
        <w:tc>
          <w:tcPr>
            <w:tcW w:w="936" w:type="dxa"/>
            <w:tcMar>
              <w:top w:w="60" w:type="dxa"/>
              <w:left w:w="60" w:type="dxa"/>
              <w:bottom w:w="60" w:type="dxa"/>
              <w:right w:w="60" w:type="dxa"/>
            </w:tcMar>
          </w:tcPr>
          <w:p w14:paraId="718ED13D" w14:textId="77777777" w:rsidR="005B46DD" w:rsidRDefault="00000000">
            <w:pPr>
              <w:jc w:val="center"/>
            </w:pPr>
            <w:r>
              <w:rPr>
                <w:sz w:val="15"/>
              </w:rPr>
              <w:t>2</w:t>
            </w:r>
          </w:p>
        </w:tc>
        <w:tc>
          <w:tcPr>
            <w:tcW w:w="4320" w:type="dxa"/>
            <w:tcMar>
              <w:top w:w="60" w:type="dxa"/>
              <w:left w:w="60" w:type="dxa"/>
              <w:bottom w:w="60" w:type="dxa"/>
              <w:right w:w="60" w:type="dxa"/>
            </w:tcMar>
          </w:tcPr>
          <w:p w14:paraId="0EFDF2CC" w14:textId="77777777" w:rsidR="005B46DD" w:rsidRDefault="00000000">
            <w:r>
              <w:rPr>
                <w:sz w:val="15"/>
              </w:rPr>
              <w:t>Background/Rationale: Explain the scientific background and rationale for the investigation being reported.</w:t>
            </w:r>
          </w:p>
        </w:tc>
        <w:tc>
          <w:tcPr>
            <w:tcW w:w="1944" w:type="dxa"/>
            <w:tcMar>
              <w:top w:w="60" w:type="dxa"/>
              <w:left w:w="60" w:type="dxa"/>
              <w:bottom w:w="60" w:type="dxa"/>
              <w:right w:w="60" w:type="dxa"/>
            </w:tcMar>
          </w:tcPr>
          <w:p w14:paraId="3F58234C" w14:textId="77777777" w:rsidR="005B46DD" w:rsidRDefault="00000000">
            <w:r>
              <w:rPr>
                <w:sz w:val="15"/>
              </w:rPr>
              <w:t>Introduction,</w:t>
            </w:r>
            <w:r>
              <w:rPr>
                <w:sz w:val="15"/>
              </w:rPr>
              <w:br/>
              <w:t>paras 1–4</w:t>
            </w:r>
          </w:p>
        </w:tc>
        <w:tc>
          <w:tcPr>
            <w:tcW w:w="8136" w:type="dxa"/>
            <w:tcMar>
              <w:top w:w="60" w:type="dxa"/>
              <w:left w:w="60" w:type="dxa"/>
              <w:bottom w:w="60" w:type="dxa"/>
              <w:right w:w="60" w:type="dxa"/>
            </w:tcMar>
          </w:tcPr>
          <w:p w14:paraId="334EF460" w14:textId="77777777" w:rsidR="005B46DD" w:rsidRDefault="00000000">
            <w:r>
              <w:rPr>
                <w:sz w:val="15"/>
              </w:rPr>
              <w:t>The Introduction establishes: (1) Global and regional MASLD burden, including MENA-specific prevalence data for Saudi Arabia (44.0%) and Egypt (45.0%); (2) Systemic consequences of MASLD and cardiometabolic associations; (3) Current lifestyle management strategies and the growing evidence base for IF; (4) RDIF as a naturalistic model of dry, time-restricted fasting practiced by over 1.5 billion Muslims; (5) Existing literature limitations (small samples, absence of elastography-based assessment, incomplete behavioral characterization); (6) The specific knowledge gap that motivated this study.</w:t>
            </w:r>
          </w:p>
        </w:tc>
      </w:tr>
      <w:tr w:rsidR="005B46DD" w14:paraId="7DD09751" w14:textId="77777777">
        <w:trPr>
          <w:jc w:val="center"/>
        </w:trPr>
        <w:tc>
          <w:tcPr>
            <w:tcW w:w="936" w:type="dxa"/>
            <w:tcMar>
              <w:top w:w="60" w:type="dxa"/>
              <w:left w:w="60" w:type="dxa"/>
              <w:bottom w:w="60" w:type="dxa"/>
              <w:right w:w="60" w:type="dxa"/>
            </w:tcMar>
          </w:tcPr>
          <w:p w14:paraId="1BD1F847" w14:textId="77777777" w:rsidR="005B46DD" w:rsidRDefault="00000000">
            <w:pPr>
              <w:jc w:val="center"/>
            </w:pPr>
            <w:r>
              <w:rPr>
                <w:sz w:val="15"/>
              </w:rPr>
              <w:t>3</w:t>
            </w:r>
          </w:p>
        </w:tc>
        <w:tc>
          <w:tcPr>
            <w:tcW w:w="4320" w:type="dxa"/>
            <w:tcMar>
              <w:top w:w="60" w:type="dxa"/>
              <w:left w:w="60" w:type="dxa"/>
              <w:bottom w:w="60" w:type="dxa"/>
              <w:right w:w="60" w:type="dxa"/>
            </w:tcMar>
          </w:tcPr>
          <w:p w14:paraId="612E89A4" w14:textId="77777777" w:rsidR="005B46DD" w:rsidRDefault="00000000">
            <w:r>
              <w:rPr>
                <w:sz w:val="15"/>
              </w:rPr>
              <w:t>Objectives: State specific objectives, including any prespecified hypotheses.</w:t>
            </w:r>
          </w:p>
        </w:tc>
        <w:tc>
          <w:tcPr>
            <w:tcW w:w="1944" w:type="dxa"/>
            <w:tcMar>
              <w:top w:w="60" w:type="dxa"/>
              <w:left w:w="60" w:type="dxa"/>
              <w:bottom w:w="60" w:type="dxa"/>
              <w:right w:w="60" w:type="dxa"/>
            </w:tcMar>
          </w:tcPr>
          <w:p w14:paraId="51634E37" w14:textId="77777777" w:rsidR="005B46DD" w:rsidRDefault="00000000">
            <w:r>
              <w:rPr>
                <w:sz w:val="15"/>
              </w:rPr>
              <w:t>Introduction,</w:t>
            </w:r>
            <w:r>
              <w:rPr>
                <w:sz w:val="15"/>
              </w:rPr>
              <w:br/>
              <w:t>para 5;</w:t>
            </w:r>
            <w:r>
              <w:rPr>
                <w:sz w:val="15"/>
              </w:rPr>
              <w:br/>
              <w:t>Abstract</w:t>
            </w:r>
            <w:r>
              <w:rPr>
                <w:sz w:val="15"/>
              </w:rPr>
              <w:br/>
              <w:t>(Objectives)</w:t>
            </w:r>
          </w:p>
        </w:tc>
        <w:tc>
          <w:tcPr>
            <w:tcW w:w="8136" w:type="dxa"/>
            <w:tcMar>
              <w:top w:w="60" w:type="dxa"/>
              <w:left w:w="60" w:type="dxa"/>
              <w:bottom w:w="60" w:type="dxa"/>
              <w:right w:w="60" w:type="dxa"/>
            </w:tcMar>
          </w:tcPr>
          <w:p w14:paraId="69BC7490" w14:textId="77777777" w:rsidR="005B46DD" w:rsidRDefault="00000000">
            <w:r>
              <w:rPr>
                <w:sz w:val="15"/>
              </w:rPr>
              <w:t>Objectives are explicitly stated in both the final paragraph of the Introduction and the Objectives heading of the abstract: to evaluate RDIF-associated changes in hepatic steatosis, liver injury markers, and cardiometabolic profiles, and to characterize concurrent changes in dietary intake, physical activity, and sedentary behavior. A specific exploratory objective (whether behavioral changes were associated with hepatic outcomes) is also stated.</w:t>
            </w:r>
          </w:p>
        </w:tc>
      </w:tr>
      <w:tr w:rsidR="005B46DD" w14:paraId="47263FEF" w14:textId="77777777">
        <w:trPr>
          <w:jc w:val="center"/>
        </w:trPr>
        <w:tc>
          <w:tcPr>
            <w:tcW w:w="936" w:type="dxa"/>
            <w:shd w:val="clear" w:color="auto" w:fill="EDEDED"/>
            <w:tcMar>
              <w:top w:w="60" w:type="dxa"/>
              <w:left w:w="60" w:type="dxa"/>
              <w:bottom w:w="60" w:type="dxa"/>
              <w:right w:w="60" w:type="dxa"/>
            </w:tcMar>
          </w:tcPr>
          <w:p w14:paraId="464A0AEB" w14:textId="77777777" w:rsidR="005B46DD" w:rsidRDefault="00000000">
            <w:pPr>
              <w:jc w:val="center"/>
            </w:pPr>
            <w:r>
              <w:rPr>
                <w:b/>
                <w:sz w:val="17"/>
              </w:rPr>
              <w:t>METHODS</w:t>
            </w:r>
          </w:p>
        </w:tc>
        <w:tc>
          <w:tcPr>
            <w:tcW w:w="4320" w:type="dxa"/>
            <w:shd w:val="clear" w:color="auto" w:fill="EDEDED"/>
            <w:tcMar>
              <w:top w:w="60" w:type="dxa"/>
              <w:left w:w="60" w:type="dxa"/>
              <w:bottom w:w="60" w:type="dxa"/>
              <w:right w:w="60" w:type="dxa"/>
            </w:tcMar>
          </w:tcPr>
          <w:p w14:paraId="2191A307" w14:textId="77777777" w:rsidR="005B46DD" w:rsidRDefault="00000000">
            <w:pPr>
              <w:jc w:val="center"/>
            </w:pPr>
            <w:r>
              <w:rPr>
                <w:b/>
                <w:sz w:val="17"/>
              </w:rPr>
              <w:t>METHODS</w:t>
            </w:r>
          </w:p>
        </w:tc>
        <w:tc>
          <w:tcPr>
            <w:tcW w:w="1944" w:type="dxa"/>
            <w:shd w:val="clear" w:color="auto" w:fill="EDEDED"/>
            <w:tcMar>
              <w:top w:w="60" w:type="dxa"/>
              <w:left w:w="60" w:type="dxa"/>
              <w:bottom w:w="60" w:type="dxa"/>
              <w:right w:w="60" w:type="dxa"/>
            </w:tcMar>
          </w:tcPr>
          <w:p w14:paraId="6B280C39" w14:textId="77777777" w:rsidR="005B46DD" w:rsidRDefault="00000000">
            <w:pPr>
              <w:jc w:val="center"/>
            </w:pPr>
            <w:r>
              <w:rPr>
                <w:b/>
                <w:sz w:val="17"/>
              </w:rPr>
              <w:t>METHODS</w:t>
            </w:r>
          </w:p>
        </w:tc>
        <w:tc>
          <w:tcPr>
            <w:tcW w:w="8136" w:type="dxa"/>
            <w:shd w:val="clear" w:color="auto" w:fill="EDEDED"/>
            <w:tcMar>
              <w:top w:w="60" w:type="dxa"/>
              <w:left w:w="60" w:type="dxa"/>
              <w:bottom w:w="60" w:type="dxa"/>
              <w:right w:w="60" w:type="dxa"/>
            </w:tcMar>
          </w:tcPr>
          <w:p w14:paraId="7A69C7E3" w14:textId="77777777" w:rsidR="005B46DD" w:rsidRDefault="00000000">
            <w:pPr>
              <w:jc w:val="center"/>
            </w:pPr>
            <w:r>
              <w:rPr>
                <w:b/>
                <w:sz w:val="17"/>
              </w:rPr>
              <w:t>METHODS</w:t>
            </w:r>
          </w:p>
        </w:tc>
      </w:tr>
      <w:tr w:rsidR="005B46DD" w14:paraId="124D3F55" w14:textId="77777777">
        <w:trPr>
          <w:jc w:val="center"/>
        </w:trPr>
        <w:tc>
          <w:tcPr>
            <w:tcW w:w="936" w:type="dxa"/>
            <w:tcMar>
              <w:top w:w="60" w:type="dxa"/>
              <w:left w:w="60" w:type="dxa"/>
              <w:bottom w:w="60" w:type="dxa"/>
              <w:right w:w="60" w:type="dxa"/>
            </w:tcMar>
          </w:tcPr>
          <w:p w14:paraId="216F8007" w14:textId="77777777" w:rsidR="005B46DD" w:rsidRDefault="00000000">
            <w:pPr>
              <w:jc w:val="center"/>
            </w:pPr>
            <w:r>
              <w:rPr>
                <w:sz w:val="15"/>
              </w:rPr>
              <w:t>4</w:t>
            </w:r>
          </w:p>
        </w:tc>
        <w:tc>
          <w:tcPr>
            <w:tcW w:w="4320" w:type="dxa"/>
            <w:tcMar>
              <w:top w:w="60" w:type="dxa"/>
              <w:left w:w="60" w:type="dxa"/>
              <w:bottom w:w="60" w:type="dxa"/>
              <w:right w:w="60" w:type="dxa"/>
            </w:tcMar>
          </w:tcPr>
          <w:p w14:paraId="4D8F5BF7" w14:textId="77777777" w:rsidR="005B46DD" w:rsidRDefault="00000000">
            <w:r>
              <w:rPr>
                <w:sz w:val="15"/>
              </w:rPr>
              <w:t>Study design: Present key elements of study design early in the paper.</w:t>
            </w:r>
          </w:p>
        </w:tc>
        <w:tc>
          <w:tcPr>
            <w:tcW w:w="1944" w:type="dxa"/>
            <w:tcMar>
              <w:top w:w="60" w:type="dxa"/>
              <w:left w:w="60" w:type="dxa"/>
              <w:bottom w:w="60" w:type="dxa"/>
              <w:right w:w="60" w:type="dxa"/>
            </w:tcMar>
          </w:tcPr>
          <w:p w14:paraId="0FC80141" w14:textId="77777777" w:rsidR="005B46DD" w:rsidRDefault="00000000">
            <w:r>
              <w:rPr>
                <w:sz w:val="15"/>
              </w:rPr>
              <w:t>Methods,</w:t>
            </w:r>
            <w:r>
              <w:rPr>
                <w:sz w:val="15"/>
              </w:rPr>
              <w:br/>
              <w:t>§2.1;</w:t>
            </w:r>
            <w:r>
              <w:rPr>
                <w:sz w:val="15"/>
              </w:rPr>
              <w:br/>
              <w:t>Abstract</w:t>
            </w:r>
            <w:r>
              <w:rPr>
                <w:sz w:val="15"/>
              </w:rPr>
              <w:br/>
              <w:t>(Design)</w:t>
            </w:r>
          </w:p>
        </w:tc>
        <w:tc>
          <w:tcPr>
            <w:tcW w:w="8136" w:type="dxa"/>
            <w:tcMar>
              <w:top w:w="60" w:type="dxa"/>
              <w:left w:w="60" w:type="dxa"/>
              <w:bottom w:w="60" w:type="dxa"/>
              <w:right w:w="60" w:type="dxa"/>
            </w:tcMar>
          </w:tcPr>
          <w:p w14:paraId="06E4CB05" w14:textId="77777777" w:rsidR="005B46DD" w:rsidRDefault="00000000">
            <w:r>
              <w:rPr>
                <w:sz w:val="15"/>
              </w:rPr>
              <w:t>Design stated explicitly in both the Study Design section ('multicenter, prospective, observational study') and the abstract Design heading ('multicenter, prospective, observational pre–post within-subject study'). The pre–post within-subject structure is described throughout the Methods.</w:t>
            </w:r>
          </w:p>
        </w:tc>
      </w:tr>
      <w:tr w:rsidR="005B46DD" w14:paraId="6F3E1228" w14:textId="77777777">
        <w:trPr>
          <w:jc w:val="center"/>
        </w:trPr>
        <w:tc>
          <w:tcPr>
            <w:tcW w:w="936" w:type="dxa"/>
            <w:tcMar>
              <w:top w:w="60" w:type="dxa"/>
              <w:left w:w="60" w:type="dxa"/>
              <w:bottom w:w="60" w:type="dxa"/>
              <w:right w:w="60" w:type="dxa"/>
            </w:tcMar>
          </w:tcPr>
          <w:p w14:paraId="3883626A" w14:textId="77777777" w:rsidR="005B46DD" w:rsidRDefault="00000000">
            <w:pPr>
              <w:jc w:val="center"/>
            </w:pPr>
            <w:r>
              <w:rPr>
                <w:sz w:val="15"/>
              </w:rPr>
              <w:t>5</w:t>
            </w:r>
          </w:p>
        </w:tc>
        <w:tc>
          <w:tcPr>
            <w:tcW w:w="4320" w:type="dxa"/>
            <w:tcMar>
              <w:top w:w="60" w:type="dxa"/>
              <w:left w:w="60" w:type="dxa"/>
              <w:bottom w:w="60" w:type="dxa"/>
              <w:right w:w="60" w:type="dxa"/>
            </w:tcMar>
          </w:tcPr>
          <w:p w14:paraId="236361BD" w14:textId="77777777" w:rsidR="005B46DD" w:rsidRDefault="00000000">
            <w:r>
              <w:rPr>
                <w:sz w:val="15"/>
              </w:rPr>
              <w:t>Setting: Describe the setting, locations, and relevant dates, including periods of recruitment, exposure, follow-up, and data collection.</w:t>
            </w:r>
          </w:p>
        </w:tc>
        <w:tc>
          <w:tcPr>
            <w:tcW w:w="1944" w:type="dxa"/>
            <w:tcMar>
              <w:top w:w="60" w:type="dxa"/>
              <w:left w:w="60" w:type="dxa"/>
              <w:bottom w:w="60" w:type="dxa"/>
              <w:right w:w="60" w:type="dxa"/>
            </w:tcMar>
          </w:tcPr>
          <w:p w14:paraId="36A95259" w14:textId="77777777" w:rsidR="005B46DD" w:rsidRDefault="00000000">
            <w:r>
              <w:rPr>
                <w:sz w:val="15"/>
              </w:rPr>
              <w:t>Methods,</w:t>
            </w:r>
            <w:r>
              <w:rPr>
                <w:sz w:val="15"/>
              </w:rPr>
              <w:br/>
              <w:t>§2.1;</w:t>
            </w:r>
            <w:r>
              <w:rPr>
                <w:sz w:val="15"/>
              </w:rPr>
              <w:br/>
              <w:t>§2.2</w:t>
            </w:r>
          </w:p>
        </w:tc>
        <w:tc>
          <w:tcPr>
            <w:tcW w:w="8136" w:type="dxa"/>
            <w:tcMar>
              <w:top w:w="60" w:type="dxa"/>
              <w:left w:w="60" w:type="dxa"/>
              <w:bottom w:w="60" w:type="dxa"/>
              <w:right w:w="60" w:type="dxa"/>
            </w:tcMar>
          </w:tcPr>
          <w:p w14:paraId="18C8ED23" w14:textId="77777777" w:rsidR="005B46DD" w:rsidRDefault="00000000">
            <w:r>
              <w:rPr>
                <w:sz w:val="15"/>
              </w:rPr>
              <w:t>Setting: Eight tertiary hospitals in Saudi Arabia and Egypt (hepatology/gastroenterology outpatient clinics). Dates: Ramadan March–April 2024. Recruitment: consecutive enrollment during the pre-Ramadan recruitment window. Exposure: the full month of Ramadan. Assessment time points: baseline (within 7 days before Ramadan) and follow-up (during the final week of Ramadan). Rationale for timing is provided explicitly in §2.2.</w:t>
            </w:r>
          </w:p>
        </w:tc>
      </w:tr>
      <w:tr w:rsidR="005B46DD" w14:paraId="46C4EBDF" w14:textId="77777777">
        <w:trPr>
          <w:jc w:val="center"/>
        </w:trPr>
        <w:tc>
          <w:tcPr>
            <w:tcW w:w="936" w:type="dxa"/>
            <w:tcMar>
              <w:top w:w="60" w:type="dxa"/>
              <w:left w:w="60" w:type="dxa"/>
              <w:bottom w:w="60" w:type="dxa"/>
              <w:right w:w="60" w:type="dxa"/>
            </w:tcMar>
          </w:tcPr>
          <w:p w14:paraId="3B4B7C72" w14:textId="77777777" w:rsidR="005B46DD" w:rsidRDefault="00000000">
            <w:pPr>
              <w:jc w:val="center"/>
            </w:pPr>
            <w:r>
              <w:rPr>
                <w:sz w:val="15"/>
              </w:rPr>
              <w:t>6</w:t>
            </w:r>
          </w:p>
        </w:tc>
        <w:tc>
          <w:tcPr>
            <w:tcW w:w="4320" w:type="dxa"/>
            <w:tcMar>
              <w:top w:w="60" w:type="dxa"/>
              <w:left w:w="60" w:type="dxa"/>
              <w:bottom w:w="60" w:type="dxa"/>
              <w:right w:w="60" w:type="dxa"/>
            </w:tcMar>
          </w:tcPr>
          <w:p w14:paraId="59F1FB40" w14:textId="77777777" w:rsidR="005B46DD" w:rsidRDefault="00000000">
            <w:r>
              <w:rPr>
                <w:sz w:val="15"/>
              </w:rPr>
              <w:t>Participants: (a) Give the eligibility criteria, and the sources and methods of selection of participants.</w:t>
            </w:r>
            <w:r>
              <w:rPr>
                <w:sz w:val="15"/>
              </w:rPr>
              <w:br/>
              <w:t>(b) For matched studies, give matching criteria and number of matched sets.</w:t>
            </w:r>
          </w:p>
        </w:tc>
        <w:tc>
          <w:tcPr>
            <w:tcW w:w="1944" w:type="dxa"/>
            <w:tcMar>
              <w:top w:w="60" w:type="dxa"/>
              <w:left w:w="60" w:type="dxa"/>
              <w:bottom w:w="60" w:type="dxa"/>
              <w:right w:w="60" w:type="dxa"/>
            </w:tcMar>
          </w:tcPr>
          <w:p w14:paraId="3340BE49" w14:textId="77777777" w:rsidR="005B46DD" w:rsidRDefault="00000000">
            <w:r>
              <w:rPr>
                <w:sz w:val="15"/>
              </w:rPr>
              <w:t>Methods,</w:t>
            </w:r>
            <w:r>
              <w:rPr>
                <w:sz w:val="15"/>
              </w:rPr>
              <w:br/>
              <w:t>§2.1</w:t>
            </w:r>
          </w:p>
        </w:tc>
        <w:tc>
          <w:tcPr>
            <w:tcW w:w="8136" w:type="dxa"/>
            <w:tcMar>
              <w:top w:w="60" w:type="dxa"/>
              <w:left w:w="60" w:type="dxa"/>
              <w:bottom w:w="60" w:type="dxa"/>
              <w:right w:w="60" w:type="dxa"/>
            </w:tcMar>
          </w:tcPr>
          <w:p w14:paraId="55D0CFE8" w14:textId="77777777" w:rsidR="005B46DD" w:rsidRDefault="00000000">
            <w:r>
              <w:rPr>
                <w:sz w:val="15"/>
              </w:rPr>
              <w:t>(a) Inclusion criteria: age 18–65 years; MASLD diagnosis per contemporary published criteria; elevated ALT &gt;1.5× ULN; ability to fast ≥21 consecutive days; stable clinical condition; written informed consent. Exclusion criteria: significant alcohol intake (&gt;20 g/day females; &gt;30 g/day males); viral hepatitis; autoimmune hepatitis; cholestatic liver disease; metabolic/genetic liver disease; drug-induced liver injury; HCC; decompensated liver disease; pregnancy/breastfeeding; conditions making fasting unsafe; inability to complete minimum fasting or paired assessments. Consecutive sampling at participating centers is described. Reasons for the 7 exclusions from the final cohort are reported.</w:t>
            </w:r>
            <w:r>
              <w:rPr>
                <w:sz w:val="15"/>
              </w:rPr>
              <w:br/>
              <w:t>(b) Not applicable (no matching; pre–post within-subject design).</w:t>
            </w:r>
          </w:p>
        </w:tc>
      </w:tr>
      <w:tr w:rsidR="005B46DD" w14:paraId="63D1A04D" w14:textId="77777777">
        <w:trPr>
          <w:jc w:val="center"/>
        </w:trPr>
        <w:tc>
          <w:tcPr>
            <w:tcW w:w="936" w:type="dxa"/>
            <w:tcMar>
              <w:top w:w="60" w:type="dxa"/>
              <w:left w:w="60" w:type="dxa"/>
              <w:bottom w:w="60" w:type="dxa"/>
              <w:right w:w="60" w:type="dxa"/>
            </w:tcMar>
          </w:tcPr>
          <w:p w14:paraId="0B9995C5" w14:textId="77777777" w:rsidR="005B46DD" w:rsidRDefault="00000000">
            <w:pPr>
              <w:jc w:val="center"/>
            </w:pPr>
            <w:r>
              <w:rPr>
                <w:sz w:val="15"/>
              </w:rPr>
              <w:lastRenderedPageBreak/>
              <w:t>7</w:t>
            </w:r>
          </w:p>
        </w:tc>
        <w:tc>
          <w:tcPr>
            <w:tcW w:w="4320" w:type="dxa"/>
            <w:tcMar>
              <w:top w:w="60" w:type="dxa"/>
              <w:left w:w="60" w:type="dxa"/>
              <w:bottom w:w="60" w:type="dxa"/>
              <w:right w:w="60" w:type="dxa"/>
            </w:tcMar>
          </w:tcPr>
          <w:p w14:paraId="1E134C2F" w14:textId="77777777" w:rsidR="005B46DD" w:rsidRDefault="00000000">
            <w:r>
              <w:rPr>
                <w:sz w:val="15"/>
              </w:rPr>
              <w:t>Variables: Clearly define all outcomes, exposures, predictors, potential confounders, and effect modifiers. Give diagnostic criteria, if applicable.</w:t>
            </w:r>
          </w:p>
        </w:tc>
        <w:tc>
          <w:tcPr>
            <w:tcW w:w="1944" w:type="dxa"/>
            <w:tcMar>
              <w:top w:w="60" w:type="dxa"/>
              <w:left w:w="60" w:type="dxa"/>
              <w:bottom w:w="60" w:type="dxa"/>
              <w:right w:w="60" w:type="dxa"/>
            </w:tcMar>
          </w:tcPr>
          <w:p w14:paraId="655E6197" w14:textId="77777777" w:rsidR="005B46DD" w:rsidRDefault="00000000">
            <w:r>
              <w:rPr>
                <w:sz w:val="15"/>
              </w:rPr>
              <w:t>Methods,</w:t>
            </w:r>
            <w:r>
              <w:rPr>
                <w:sz w:val="15"/>
              </w:rPr>
              <w:br/>
              <w:t>§2.1–2.6;</w:t>
            </w:r>
            <w:r>
              <w:rPr>
                <w:sz w:val="15"/>
              </w:rPr>
              <w:br/>
              <w:t>Results</w:t>
            </w:r>
          </w:p>
        </w:tc>
        <w:tc>
          <w:tcPr>
            <w:tcW w:w="8136" w:type="dxa"/>
            <w:tcMar>
              <w:top w:w="60" w:type="dxa"/>
              <w:left w:w="60" w:type="dxa"/>
              <w:bottom w:w="60" w:type="dxa"/>
              <w:right w:w="60" w:type="dxa"/>
            </w:tcMar>
          </w:tcPr>
          <w:p w14:paraId="70D2D8BC" w14:textId="77777777" w:rsidR="005B46DD" w:rsidRDefault="00000000">
            <w:r>
              <w:rPr>
                <w:sz w:val="15"/>
              </w:rPr>
              <w:t>Primary outcomes: CAP (dB/m) and ALT (U/L). Secondary hepatic outcomes: AST, GGT, ALP, bilirubin, albumin, liver stiffness (kPa), steatosis and fibrosis stage distribution. Cardiometabolic outcomes: total cholesterol, triglycerides, LDL-C, HDL-C, HbA1c, body weight, BMI, waist circumference. Behavioral outcomes: PA (walking, MPA, VPA, MVPA, total PA, PASTBI) and SB (sitting time, h/day). Dietary outcomes: total energy, macronutrients, selected micronutrients. Exposure: RDIF (Ramadan March–April 2024). Confounders adjusted in sensitivity models: age, sex, baseline BMI, T2D, smoking status. All variables are defined in §2.3–2.6 with units and measurement methods.</w:t>
            </w:r>
          </w:p>
        </w:tc>
      </w:tr>
      <w:tr w:rsidR="005B46DD" w14:paraId="170E47E6" w14:textId="77777777">
        <w:trPr>
          <w:jc w:val="center"/>
        </w:trPr>
        <w:tc>
          <w:tcPr>
            <w:tcW w:w="936" w:type="dxa"/>
            <w:tcMar>
              <w:top w:w="60" w:type="dxa"/>
              <w:left w:w="60" w:type="dxa"/>
              <w:bottom w:w="60" w:type="dxa"/>
              <w:right w:w="60" w:type="dxa"/>
            </w:tcMar>
          </w:tcPr>
          <w:p w14:paraId="7BFF9B7C" w14:textId="77777777" w:rsidR="005B46DD" w:rsidRDefault="00000000">
            <w:pPr>
              <w:jc w:val="center"/>
            </w:pPr>
            <w:r>
              <w:rPr>
                <w:sz w:val="15"/>
              </w:rPr>
              <w:t>8</w:t>
            </w:r>
          </w:p>
        </w:tc>
        <w:tc>
          <w:tcPr>
            <w:tcW w:w="4320" w:type="dxa"/>
            <w:tcMar>
              <w:top w:w="60" w:type="dxa"/>
              <w:left w:w="60" w:type="dxa"/>
              <w:bottom w:w="60" w:type="dxa"/>
              <w:right w:w="60" w:type="dxa"/>
            </w:tcMar>
          </w:tcPr>
          <w:p w14:paraId="17FCEB5F" w14:textId="77777777" w:rsidR="005B46DD" w:rsidRDefault="00000000">
            <w:r>
              <w:rPr>
                <w:sz w:val="15"/>
              </w:rPr>
              <w:t>Data sources/measurement: For each variable of interest, give sources of data and details of methods of assessment. Describe comparability of assessment methods if there is more than one group.</w:t>
            </w:r>
          </w:p>
        </w:tc>
        <w:tc>
          <w:tcPr>
            <w:tcW w:w="1944" w:type="dxa"/>
            <w:tcMar>
              <w:top w:w="60" w:type="dxa"/>
              <w:left w:w="60" w:type="dxa"/>
              <w:bottom w:w="60" w:type="dxa"/>
              <w:right w:w="60" w:type="dxa"/>
            </w:tcMar>
          </w:tcPr>
          <w:p w14:paraId="5CDE50C9" w14:textId="77777777" w:rsidR="005B46DD" w:rsidRDefault="00000000">
            <w:r>
              <w:rPr>
                <w:sz w:val="15"/>
              </w:rPr>
              <w:t>Methods,</w:t>
            </w:r>
            <w:r>
              <w:rPr>
                <w:sz w:val="15"/>
              </w:rPr>
              <w:br/>
              <w:t>§2.3–2.6</w:t>
            </w:r>
          </w:p>
        </w:tc>
        <w:tc>
          <w:tcPr>
            <w:tcW w:w="8136" w:type="dxa"/>
            <w:tcMar>
              <w:top w:w="60" w:type="dxa"/>
              <w:left w:w="60" w:type="dxa"/>
              <w:bottom w:w="60" w:type="dxa"/>
              <w:right w:w="60" w:type="dxa"/>
            </w:tcMar>
          </w:tcPr>
          <w:p w14:paraId="57CE0E7A" w14:textId="77777777" w:rsidR="005B46DD" w:rsidRDefault="00000000">
            <w:r>
              <w:rPr>
                <w:sz w:val="15"/>
              </w:rPr>
              <w:t>Laboratory: accredited hospital laboratories, standardized clinical chemistry and hematology platforms, quality-control procedures; all analytes listed with units (§2.3). FibroScan®: transient elastography (Echosens, Paris), trained operators, manufacturer protocols, quality criteria (IQR/median ratio ≤30%, ≥10 valid acquisitions), appropriate probe selection (§2.4). PA and SB: IPAQ-SF (validated instrument), standard scoring protocol, full variable definitions (§2.5). Dietary intake: three non-consecutive 24-hour dietary recalls at each time point; ESHA Food Processor v11.14.9; values averaged across three days (§2.6). Identical protocols applied at both time points.</w:t>
            </w:r>
          </w:p>
        </w:tc>
      </w:tr>
      <w:tr w:rsidR="005B46DD" w14:paraId="1F84F151" w14:textId="77777777">
        <w:trPr>
          <w:jc w:val="center"/>
        </w:trPr>
        <w:tc>
          <w:tcPr>
            <w:tcW w:w="936" w:type="dxa"/>
            <w:tcMar>
              <w:top w:w="60" w:type="dxa"/>
              <w:left w:w="60" w:type="dxa"/>
              <w:bottom w:w="60" w:type="dxa"/>
              <w:right w:w="60" w:type="dxa"/>
            </w:tcMar>
          </w:tcPr>
          <w:p w14:paraId="19E8F369" w14:textId="77777777" w:rsidR="005B46DD" w:rsidRDefault="00000000">
            <w:pPr>
              <w:jc w:val="center"/>
            </w:pPr>
            <w:r>
              <w:rPr>
                <w:sz w:val="15"/>
              </w:rPr>
              <w:t>9</w:t>
            </w:r>
          </w:p>
        </w:tc>
        <w:tc>
          <w:tcPr>
            <w:tcW w:w="4320" w:type="dxa"/>
            <w:tcMar>
              <w:top w:w="60" w:type="dxa"/>
              <w:left w:w="60" w:type="dxa"/>
              <w:bottom w:w="60" w:type="dxa"/>
              <w:right w:w="60" w:type="dxa"/>
            </w:tcMar>
          </w:tcPr>
          <w:p w14:paraId="18CEC71B" w14:textId="77777777" w:rsidR="005B46DD" w:rsidRDefault="00000000">
            <w:r>
              <w:rPr>
                <w:sz w:val="15"/>
              </w:rPr>
              <w:t>Bias: Describe any efforts taken to address potential sources of bias.</w:t>
            </w:r>
          </w:p>
        </w:tc>
        <w:tc>
          <w:tcPr>
            <w:tcW w:w="1944" w:type="dxa"/>
            <w:tcMar>
              <w:top w:w="60" w:type="dxa"/>
              <w:left w:w="60" w:type="dxa"/>
              <w:bottom w:w="60" w:type="dxa"/>
              <w:right w:w="60" w:type="dxa"/>
            </w:tcMar>
          </w:tcPr>
          <w:p w14:paraId="4FB926FB" w14:textId="77777777" w:rsidR="005B46DD" w:rsidRDefault="00000000">
            <w:r>
              <w:rPr>
                <w:sz w:val="15"/>
              </w:rPr>
              <w:t>Methods,</w:t>
            </w:r>
            <w:r>
              <w:rPr>
                <w:sz w:val="15"/>
              </w:rPr>
              <w:br/>
              <w:t>§2.1;</w:t>
            </w:r>
            <w:r>
              <w:rPr>
                <w:sz w:val="15"/>
              </w:rPr>
              <w:br/>
              <w:t>Discussion</w:t>
            </w:r>
            <w:r>
              <w:rPr>
                <w:sz w:val="15"/>
              </w:rPr>
              <w:br/>
              <w:t>(Limitations)</w:t>
            </w:r>
          </w:p>
        </w:tc>
        <w:tc>
          <w:tcPr>
            <w:tcW w:w="8136" w:type="dxa"/>
            <w:tcMar>
              <w:top w:w="60" w:type="dxa"/>
              <w:left w:w="60" w:type="dxa"/>
              <w:bottom w:w="60" w:type="dxa"/>
              <w:right w:w="60" w:type="dxa"/>
            </w:tcMar>
          </w:tcPr>
          <w:p w14:paraId="0D1952AA" w14:textId="113ABAB2" w:rsidR="005B46DD" w:rsidRDefault="00236866">
            <w:r w:rsidRPr="00236866">
              <w:rPr>
                <w:sz w:val="15"/>
              </w:rPr>
              <w:t>Selection bias: consecutive sampling strategy was used, and the manuscript explicitly acknowledges that participants able to complete ≥21 fasting days and paired assessments may represent a healthier, more adherent subgroup. Measurement bias: IPAQ-SF limitations and dietary recall limitations are acknowledged, and dietary/behavioral analyses are treated as exploratory. Confounding: linear mixed-effects models adjusted for age, sex, baseline BMI, T2D, and smoking. The absence of a non-fasting control group is explicitly acknowledged as a limitation.</w:t>
            </w:r>
          </w:p>
        </w:tc>
      </w:tr>
      <w:tr w:rsidR="005B46DD" w14:paraId="203E41F2" w14:textId="77777777">
        <w:trPr>
          <w:jc w:val="center"/>
        </w:trPr>
        <w:tc>
          <w:tcPr>
            <w:tcW w:w="936" w:type="dxa"/>
            <w:tcMar>
              <w:top w:w="60" w:type="dxa"/>
              <w:left w:w="60" w:type="dxa"/>
              <w:bottom w:w="60" w:type="dxa"/>
              <w:right w:w="60" w:type="dxa"/>
            </w:tcMar>
          </w:tcPr>
          <w:p w14:paraId="4A2A74AF" w14:textId="77777777" w:rsidR="005B46DD" w:rsidRDefault="00000000">
            <w:pPr>
              <w:jc w:val="center"/>
            </w:pPr>
            <w:r>
              <w:rPr>
                <w:sz w:val="15"/>
              </w:rPr>
              <w:t>10</w:t>
            </w:r>
          </w:p>
        </w:tc>
        <w:tc>
          <w:tcPr>
            <w:tcW w:w="4320" w:type="dxa"/>
            <w:tcMar>
              <w:top w:w="60" w:type="dxa"/>
              <w:left w:w="60" w:type="dxa"/>
              <w:bottom w:w="60" w:type="dxa"/>
              <w:right w:w="60" w:type="dxa"/>
            </w:tcMar>
          </w:tcPr>
          <w:p w14:paraId="59CB499F" w14:textId="77777777" w:rsidR="005B46DD" w:rsidRDefault="00000000">
            <w:r>
              <w:rPr>
                <w:sz w:val="15"/>
              </w:rPr>
              <w:t>Study size: Explain how the study size was arrived at.</w:t>
            </w:r>
          </w:p>
        </w:tc>
        <w:tc>
          <w:tcPr>
            <w:tcW w:w="1944" w:type="dxa"/>
            <w:tcMar>
              <w:top w:w="60" w:type="dxa"/>
              <w:left w:w="60" w:type="dxa"/>
              <w:bottom w:w="60" w:type="dxa"/>
              <w:right w:w="60" w:type="dxa"/>
            </w:tcMar>
          </w:tcPr>
          <w:p w14:paraId="66D42FC0" w14:textId="77777777" w:rsidR="005B46DD" w:rsidRDefault="00000000">
            <w:r>
              <w:rPr>
                <w:sz w:val="15"/>
              </w:rPr>
              <w:t>Methods,</w:t>
            </w:r>
            <w:r>
              <w:rPr>
                <w:sz w:val="15"/>
              </w:rPr>
              <w:br/>
              <w:t>§2.1</w:t>
            </w:r>
          </w:p>
        </w:tc>
        <w:tc>
          <w:tcPr>
            <w:tcW w:w="8136" w:type="dxa"/>
            <w:tcMar>
              <w:top w:w="60" w:type="dxa"/>
              <w:left w:w="60" w:type="dxa"/>
              <w:bottom w:w="60" w:type="dxa"/>
              <w:right w:w="60" w:type="dxa"/>
            </w:tcMar>
          </w:tcPr>
          <w:p w14:paraId="7538D487" w14:textId="77777777" w:rsidR="005B46DD" w:rsidRDefault="00000000">
            <w:r>
              <w:rPr>
                <w:sz w:val="15"/>
              </w:rPr>
              <w:t>Sample size was pragmatically determined by the number of participants with complete paired pre- and during-Ramadan assessments, yielding n = 80 from 87 enrolled. This feasibility-driven approach is explicitly stated and justified by the time-bounded, real-world nature of Ramadan-based research. No formal a priori power calculation was conducted; this is acknowledged as a limitation.</w:t>
            </w:r>
          </w:p>
        </w:tc>
      </w:tr>
      <w:tr w:rsidR="005B46DD" w14:paraId="1E430655" w14:textId="77777777">
        <w:trPr>
          <w:jc w:val="center"/>
        </w:trPr>
        <w:tc>
          <w:tcPr>
            <w:tcW w:w="936" w:type="dxa"/>
            <w:tcMar>
              <w:top w:w="60" w:type="dxa"/>
              <w:left w:w="60" w:type="dxa"/>
              <w:bottom w:w="60" w:type="dxa"/>
              <w:right w:w="60" w:type="dxa"/>
            </w:tcMar>
          </w:tcPr>
          <w:p w14:paraId="0F74A0FB" w14:textId="77777777" w:rsidR="005B46DD" w:rsidRDefault="00000000">
            <w:pPr>
              <w:jc w:val="center"/>
            </w:pPr>
            <w:r>
              <w:rPr>
                <w:sz w:val="15"/>
              </w:rPr>
              <w:t>11</w:t>
            </w:r>
          </w:p>
        </w:tc>
        <w:tc>
          <w:tcPr>
            <w:tcW w:w="4320" w:type="dxa"/>
            <w:tcMar>
              <w:top w:w="60" w:type="dxa"/>
              <w:left w:w="60" w:type="dxa"/>
              <w:bottom w:w="60" w:type="dxa"/>
              <w:right w:w="60" w:type="dxa"/>
            </w:tcMar>
          </w:tcPr>
          <w:p w14:paraId="08507C47" w14:textId="77777777" w:rsidR="005B46DD" w:rsidRDefault="00000000">
            <w:r>
              <w:rPr>
                <w:sz w:val="15"/>
              </w:rPr>
              <w:t>Quantitative variables: Explain how quantitative variables were handled in the analyses. If applicable, describe which groupings were chosen and why.</w:t>
            </w:r>
          </w:p>
        </w:tc>
        <w:tc>
          <w:tcPr>
            <w:tcW w:w="1944" w:type="dxa"/>
            <w:tcMar>
              <w:top w:w="60" w:type="dxa"/>
              <w:left w:w="60" w:type="dxa"/>
              <w:bottom w:w="60" w:type="dxa"/>
              <w:right w:w="60" w:type="dxa"/>
            </w:tcMar>
          </w:tcPr>
          <w:p w14:paraId="12BC6106" w14:textId="77777777" w:rsidR="005B46DD" w:rsidRDefault="00000000">
            <w:r>
              <w:rPr>
                <w:sz w:val="15"/>
              </w:rPr>
              <w:t>Methods,</w:t>
            </w:r>
            <w:r>
              <w:rPr>
                <w:sz w:val="15"/>
              </w:rPr>
              <w:br/>
              <w:t>§Statistical</w:t>
            </w:r>
            <w:r>
              <w:rPr>
                <w:sz w:val="15"/>
              </w:rPr>
              <w:br/>
              <w:t>Analysis</w:t>
            </w:r>
          </w:p>
        </w:tc>
        <w:tc>
          <w:tcPr>
            <w:tcW w:w="8136" w:type="dxa"/>
            <w:tcMar>
              <w:top w:w="60" w:type="dxa"/>
              <w:left w:w="60" w:type="dxa"/>
              <w:bottom w:w="60" w:type="dxa"/>
              <w:right w:w="60" w:type="dxa"/>
            </w:tcMar>
          </w:tcPr>
          <w:p w14:paraId="5FE2E39E" w14:textId="77777777" w:rsidR="005B46DD" w:rsidRDefault="00000000">
            <w:r>
              <w:rPr>
                <w:sz w:val="15"/>
              </w:rPr>
              <w:t>Continuous variables assessed for normality using Shapiro–Wilk test; reported as medians with IQR. PA variables with skewed distributions log-transformed prior to mixed-effects modeling; results expressed as relative percentage changes. SB analyzed on the original scale. CAP and ALT used as continuous primary outcomes for Wilcoxon and mixed-effects analyses. Fibrosis and steatosis stages reported as categorical distributions (S0–S3; F0–F4) per published FibroScan thresholds. Responder analyses defined by prespecified clinical thresholds: CAP reduction ≥10 dB/m; ALT normalization to sex-specific ULN (≤45 U/L males; ≤35 U/L females).</w:t>
            </w:r>
          </w:p>
        </w:tc>
      </w:tr>
      <w:tr w:rsidR="005B46DD" w14:paraId="69B0595F" w14:textId="77777777">
        <w:trPr>
          <w:jc w:val="center"/>
        </w:trPr>
        <w:tc>
          <w:tcPr>
            <w:tcW w:w="936" w:type="dxa"/>
            <w:tcMar>
              <w:top w:w="60" w:type="dxa"/>
              <w:left w:w="60" w:type="dxa"/>
              <w:bottom w:w="60" w:type="dxa"/>
              <w:right w:w="60" w:type="dxa"/>
            </w:tcMar>
          </w:tcPr>
          <w:p w14:paraId="0C56ADDE" w14:textId="77777777" w:rsidR="005B46DD" w:rsidRDefault="00000000">
            <w:pPr>
              <w:jc w:val="center"/>
            </w:pPr>
            <w:r>
              <w:rPr>
                <w:sz w:val="15"/>
              </w:rPr>
              <w:t>12</w:t>
            </w:r>
          </w:p>
        </w:tc>
        <w:tc>
          <w:tcPr>
            <w:tcW w:w="4320" w:type="dxa"/>
            <w:tcMar>
              <w:top w:w="60" w:type="dxa"/>
              <w:left w:w="60" w:type="dxa"/>
              <w:bottom w:w="60" w:type="dxa"/>
              <w:right w:w="60" w:type="dxa"/>
            </w:tcMar>
          </w:tcPr>
          <w:p w14:paraId="7458DFF5" w14:textId="77777777" w:rsidR="005B46DD" w:rsidRDefault="00000000">
            <w:r>
              <w:rPr>
                <w:sz w:val="15"/>
              </w:rPr>
              <w:t>Statistical methods:</w:t>
            </w:r>
            <w:r>
              <w:rPr>
                <w:sz w:val="15"/>
              </w:rPr>
              <w:br/>
              <w:t>(a) All methods including confounder control.</w:t>
            </w:r>
            <w:r>
              <w:rPr>
                <w:sz w:val="15"/>
              </w:rPr>
              <w:br/>
              <w:t>(b) Subgroup and interaction analyses.</w:t>
            </w:r>
            <w:r>
              <w:rPr>
                <w:sz w:val="15"/>
              </w:rPr>
              <w:br/>
              <w:t>(c) Missing data handling.</w:t>
            </w:r>
            <w:r>
              <w:rPr>
                <w:sz w:val="15"/>
              </w:rPr>
              <w:br/>
              <w:t>(d) If applicable, sampling strategy methods.</w:t>
            </w:r>
            <w:r>
              <w:rPr>
                <w:sz w:val="15"/>
              </w:rPr>
              <w:br/>
              <w:t>(e) Sensitivity analyses.</w:t>
            </w:r>
          </w:p>
        </w:tc>
        <w:tc>
          <w:tcPr>
            <w:tcW w:w="1944" w:type="dxa"/>
            <w:tcMar>
              <w:top w:w="60" w:type="dxa"/>
              <w:left w:w="60" w:type="dxa"/>
              <w:bottom w:w="60" w:type="dxa"/>
              <w:right w:w="60" w:type="dxa"/>
            </w:tcMar>
          </w:tcPr>
          <w:p w14:paraId="1094B0B2" w14:textId="77777777" w:rsidR="005B46DD" w:rsidRDefault="00000000">
            <w:r>
              <w:rPr>
                <w:sz w:val="15"/>
              </w:rPr>
              <w:t>Methods,</w:t>
            </w:r>
            <w:r>
              <w:rPr>
                <w:sz w:val="15"/>
              </w:rPr>
              <w:br/>
              <w:t>§Statistical</w:t>
            </w:r>
            <w:r>
              <w:rPr>
                <w:sz w:val="15"/>
              </w:rPr>
              <w:br/>
              <w:t>Analysis;</w:t>
            </w:r>
            <w:r>
              <w:rPr>
                <w:sz w:val="15"/>
              </w:rPr>
              <w:br/>
              <w:t>Suppl.</w:t>
            </w:r>
            <w:r>
              <w:rPr>
                <w:sz w:val="15"/>
              </w:rPr>
              <w:br/>
              <w:t>Tables S1–S5</w:t>
            </w:r>
          </w:p>
        </w:tc>
        <w:tc>
          <w:tcPr>
            <w:tcW w:w="8136" w:type="dxa"/>
            <w:tcMar>
              <w:top w:w="60" w:type="dxa"/>
              <w:left w:w="60" w:type="dxa"/>
              <w:bottom w:w="60" w:type="dxa"/>
              <w:right w:w="60" w:type="dxa"/>
            </w:tcMar>
          </w:tcPr>
          <w:p w14:paraId="334B455A" w14:textId="77777777" w:rsidR="005B46DD" w:rsidRDefault="00000000">
            <w:r>
              <w:rPr>
                <w:sz w:val="15"/>
              </w:rPr>
              <w:t>(a) Primary: Wilcoxon signed-rank test (continuous) and Chi-square (categorical); SPSS v26. Adjusted: linear mixed-effects models (participant ID as random effect; time as fixed effect; covariates: age, sex, BMI, T2D, smoking).</w:t>
            </w:r>
            <w:r>
              <w:rPr>
                <w:sz w:val="15"/>
              </w:rPr>
              <w:br/>
              <w:t>(b) Exploratory association analyses: generalized linear models for SB/PASTBI vs. hepatic outcomes. No formal interaction testing; subgroup analyses not pre-specified.</w:t>
            </w:r>
            <w:r>
              <w:rPr>
                <w:sz w:val="15"/>
              </w:rPr>
              <w:br/>
              <w:t>(c) Multiple imputation under MAR assumption for clinical/laboratory variables with ≤30% missingness; complete-case analysis for self-reported PA, SB, and dietary data; variables &gt;30% missing excluded.</w:t>
            </w:r>
            <w:r>
              <w:rPr>
                <w:sz w:val="15"/>
              </w:rPr>
              <w:br/>
              <w:t>(d) Not applicable.</w:t>
            </w:r>
            <w:r>
              <w:rPr>
                <w:sz w:val="15"/>
              </w:rPr>
              <w:br/>
              <w:t>(e) Sensitivity: adjusted mixed-effects models for aminotransferases and CAP (Supplementary Table S1). Responder analyses for CAP (≥10 dB/m) and ALT (normalization). All tests two-sided; α = 0.05.</w:t>
            </w:r>
          </w:p>
        </w:tc>
      </w:tr>
      <w:tr w:rsidR="005B46DD" w14:paraId="76530584" w14:textId="77777777">
        <w:trPr>
          <w:jc w:val="center"/>
        </w:trPr>
        <w:tc>
          <w:tcPr>
            <w:tcW w:w="936" w:type="dxa"/>
            <w:shd w:val="clear" w:color="auto" w:fill="EDEDED"/>
            <w:tcMar>
              <w:top w:w="60" w:type="dxa"/>
              <w:left w:w="60" w:type="dxa"/>
              <w:bottom w:w="60" w:type="dxa"/>
              <w:right w:w="60" w:type="dxa"/>
            </w:tcMar>
          </w:tcPr>
          <w:p w14:paraId="2D617CE3" w14:textId="77777777" w:rsidR="005B46DD" w:rsidRDefault="00000000">
            <w:pPr>
              <w:jc w:val="center"/>
            </w:pPr>
            <w:r>
              <w:rPr>
                <w:b/>
                <w:sz w:val="17"/>
              </w:rPr>
              <w:t>RESULTS</w:t>
            </w:r>
          </w:p>
        </w:tc>
        <w:tc>
          <w:tcPr>
            <w:tcW w:w="4320" w:type="dxa"/>
            <w:shd w:val="clear" w:color="auto" w:fill="EDEDED"/>
            <w:tcMar>
              <w:top w:w="60" w:type="dxa"/>
              <w:left w:w="60" w:type="dxa"/>
              <w:bottom w:w="60" w:type="dxa"/>
              <w:right w:w="60" w:type="dxa"/>
            </w:tcMar>
          </w:tcPr>
          <w:p w14:paraId="1000CF1C" w14:textId="77777777" w:rsidR="005B46DD" w:rsidRDefault="00000000">
            <w:pPr>
              <w:jc w:val="center"/>
            </w:pPr>
            <w:r>
              <w:rPr>
                <w:b/>
                <w:sz w:val="17"/>
              </w:rPr>
              <w:t>RESULTS</w:t>
            </w:r>
          </w:p>
        </w:tc>
        <w:tc>
          <w:tcPr>
            <w:tcW w:w="1944" w:type="dxa"/>
            <w:shd w:val="clear" w:color="auto" w:fill="EDEDED"/>
            <w:tcMar>
              <w:top w:w="60" w:type="dxa"/>
              <w:left w:w="60" w:type="dxa"/>
              <w:bottom w:w="60" w:type="dxa"/>
              <w:right w:w="60" w:type="dxa"/>
            </w:tcMar>
          </w:tcPr>
          <w:p w14:paraId="0A1612F5" w14:textId="77777777" w:rsidR="005B46DD" w:rsidRDefault="00000000">
            <w:pPr>
              <w:jc w:val="center"/>
            </w:pPr>
            <w:r>
              <w:rPr>
                <w:b/>
                <w:sz w:val="17"/>
              </w:rPr>
              <w:t>RESULTS</w:t>
            </w:r>
          </w:p>
        </w:tc>
        <w:tc>
          <w:tcPr>
            <w:tcW w:w="8136" w:type="dxa"/>
            <w:shd w:val="clear" w:color="auto" w:fill="EDEDED"/>
            <w:tcMar>
              <w:top w:w="60" w:type="dxa"/>
              <w:left w:w="60" w:type="dxa"/>
              <w:bottom w:w="60" w:type="dxa"/>
              <w:right w:w="60" w:type="dxa"/>
            </w:tcMar>
          </w:tcPr>
          <w:p w14:paraId="0BE1F3CF" w14:textId="77777777" w:rsidR="005B46DD" w:rsidRDefault="00000000">
            <w:pPr>
              <w:jc w:val="center"/>
            </w:pPr>
            <w:r>
              <w:rPr>
                <w:b/>
                <w:sz w:val="17"/>
              </w:rPr>
              <w:t>RESULTS</w:t>
            </w:r>
          </w:p>
        </w:tc>
      </w:tr>
      <w:tr w:rsidR="005B46DD" w14:paraId="1FB416DF" w14:textId="77777777">
        <w:trPr>
          <w:jc w:val="center"/>
        </w:trPr>
        <w:tc>
          <w:tcPr>
            <w:tcW w:w="936" w:type="dxa"/>
            <w:tcMar>
              <w:top w:w="60" w:type="dxa"/>
              <w:left w:w="60" w:type="dxa"/>
              <w:bottom w:w="60" w:type="dxa"/>
              <w:right w:w="60" w:type="dxa"/>
            </w:tcMar>
          </w:tcPr>
          <w:p w14:paraId="6A07976E" w14:textId="77777777" w:rsidR="005B46DD" w:rsidRDefault="00000000">
            <w:pPr>
              <w:jc w:val="center"/>
            </w:pPr>
            <w:r>
              <w:rPr>
                <w:sz w:val="15"/>
              </w:rPr>
              <w:t>13</w:t>
            </w:r>
          </w:p>
        </w:tc>
        <w:tc>
          <w:tcPr>
            <w:tcW w:w="4320" w:type="dxa"/>
            <w:tcMar>
              <w:top w:w="60" w:type="dxa"/>
              <w:left w:w="60" w:type="dxa"/>
              <w:bottom w:w="60" w:type="dxa"/>
              <w:right w:w="60" w:type="dxa"/>
            </w:tcMar>
          </w:tcPr>
          <w:p w14:paraId="4049482E" w14:textId="77777777" w:rsidR="005B46DD" w:rsidRDefault="00000000">
            <w:r>
              <w:rPr>
                <w:sz w:val="15"/>
              </w:rPr>
              <w:t>Participants:</w:t>
            </w:r>
            <w:r>
              <w:rPr>
                <w:sz w:val="15"/>
              </w:rPr>
              <w:br/>
              <w:t>(a) Report numbers at each stage (screened, eligible, enrolled, analysed).</w:t>
            </w:r>
            <w:r>
              <w:rPr>
                <w:sz w:val="15"/>
              </w:rPr>
              <w:br/>
              <w:t>(b) Reasons for non-participation.</w:t>
            </w:r>
            <w:r>
              <w:rPr>
                <w:sz w:val="15"/>
              </w:rPr>
              <w:br/>
              <w:t>(c) Consider a flow diagram.</w:t>
            </w:r>
          </w:p>
        </w:tc>
        <w:tc>
          <w:tcPr>
            <w:tcW w:w="1944" w:type="dxa"/>
            <w:tcMar>
              <w:top w:w="60" w:type="dxa"/>
              <w:left w:w="60" w:type="dxa"/>
              <w:bottom w:w="60" w:type="dxa"/>
              <w:right w:w="60" w:type="dxa"/>
            </w:tcMar>
          </w:tcPr>
          <w:p w14:paraId="5662D1CB" w14:textId="77777777" w:rsidR="005B46DD" w:rsidRDefault="00000000">
            <w:r>
              <w:rPr>
                <w:sz w:val="15"/>
              </w:rPr>
              <w:t>Methods,</w:t>
            </w:r>
            <w:r>
              <w:rPr>
                <w:sz w:val="15"/>
              </w:rPr>
              <w:br/>
              <w:t>§2.1;</w:t>
            </w:r>
            <w:r>
              <w:rPr>
                <w:sz w:val="15"/>
              </w:rPr>
              <w:br/>
              <w:t>Results</w:t>
            </w:r>
            <w:r>
              <w:rPr>
                <w:sz w:val="15"/>
              </w:rPr>
              <w:br/>
              <w:t>(Baseline</w:t>
            </w:r>
            <w:r>
              <w:rPr>
                <w:sz w:val="15"/>
              </w:rPr>
              <w:br/>
              <w:t>Character-</w:t>
            </w:r>
            <w:r>
              <w:rPr>
                <w:sz w:val="15"/>
              </w:rPr>
              <w:br/>
              <w:t>istics)</w:t>
            </w:r>
          </w:p>
        </w:tc>
        <w:tc>
          <w:tcPr>
            <w:tcW w:w="8136" w:type="dxa"/>
            <w:tcMar>
              <w:top w:w="60" w:type="dxa"/>
              <w:left w:w="60" w:type="dxa"/>
              <w:bottom w:w="60" w:type="dxa"/>
              <w:right w:w="60" w:type="dxa"/>
            </w:tcMar>
          </w:tcPr>
          <w:p w14:paraId="281744B8" w14:textId="23CDE98A" w:rsidR="005B46DD" w:rsidRDefault="00000000">
            <w:r>
              <w:rPr>
                <w:sz w:val="15"/>
              </w:rPr>
              <w:t>(a) 87 enrolled and assessed at baseline; 7 excluded; 80 in final analytic cohort. Reported in both Methods and the Results Baseline Characteristics section.</w:t>
            </w:r>
            <w:r>
              <w:rPr>
                <w:sz w:val="15"/>
              </w:rPr>
              <w:br/>
              <w:t>(b) Reasons for exclusion: inability to complete ≥21 consecutive fasting days and/or incomplete paired follow-up assessments (logistical/social demands of the final Ramadan week). Reported in Methods §2.1.</w:t>
            </w:r>
            <w:r>
              <w:rPr>
                <w:sz w:val="15"/>
              </w:rPr>
              <w:br/>
              <w:t xml:space="preserve">(c) </w:t>
            </w:r>
            <w:r w:rsidR="00F129D5" w:rsidRPr="00F129D5">
              <w:rPr>
                <w:sz w:val="15"/>
              </w:rPr>
              <w:t>A participant flow diagram is provided as Supplementary Figure S1, summarizing screened, eligible, enrolled, excluded, and analyzed participants.</w:t>
            </w:r>
          </w:p>
        </w:tc>
      </w:tr>
      <w:tr w:rsidR="005B46DD" w14:paraId="18BC7E46" w14:textId="77777777">
        <w:trPr>
          <w:jc w:val="center"/>
        </w:trPr>
        <w:tc>
          <w:tcPr>
            <w:tcW w:w="936" w:type="dxa"/>
            <w:tcMar>
              <w:top w:w="60" w:type="dxa"/>
              <w:left w:w="60" w:type="dxa"/>
              <w:bottom w:w="60" w:type="dxa"/>
              <w:right w:w="60" w:type="dxa"/>
            </w:tcMar>
          </w:tcPr>
          <w:p w14:paraId="5ADE1C30" w14:textId="77777777" w:rsidR="005B46DD" w:rsidRDefault="00000000">
            <w:pPr>
              <w:jc w:val="center"/>
            </w:pPr>
            <w:r>
              <w:rPr>
                <w:sz w:val="15"/>
              </w:rPr>
              <w:t>14</w:t>
            </w:r>
          </w:p>
        </w:tc>
        <w:tc>
          <w:tcPr>
            <w:tcW w:w="4320" w:type="dxa"/>
            <w:tcMar>
              <w:top w:w="60" w:type="dxa"/>
              <w:left w:w="60" w:type="dxa"/>
              <w:bottom w:w="60" w:type="dxa"/>
              <w:right w:w="60" w:type="dxa"/>
            </w:tcMar>
          </w:tcPr>
          <w:p w14:paraId="15EC399A" w14:textId="77777777" w:rsidR="005B46DD" w:rsidRDefault="00000000">
            <w:r>
              <w:rPr>
                <w:sz w:val="15"/>
              </w:rPr>
              <w:t>Descriptive data:</w:t>
            </w:r>
            <w:r>
              <w:rPr>
                <w:sz w:val="15"/>
              </w:rPr>
              <w:br/>
              <w:t>(a) Characteristics of study participants (demographics, exposures, potential confounders).</w:t>
            </w:r>
            <w:r>
              <w:rPr>
                <w:sz w:val="15"/>
              </w:rPr>
              <w:br/>
              <w:t>(b) Indicate number of participants with missing data for each variable.</w:t>
            </w:r>
          </w:p>
        </w:tc>
        <w:tc>
          <w:tcPr>
            <w:tcW w:w="1944" w:type="dxa"/>
            <w:tcMar>
              <w:top w:w="60" w:type="dxa"/>
              <w:left w:w="60" w:type="dxa"/>
              <w:bottom w:w="60" w:type="dxa"/>
              <w:right w:w="60" w:type="dxa"/>
            </w:tcMar>
          </w:tcPr>
          <w:p w14:paraId="226A8C75" w14:textId="77777777" w:rsidR="005B46DD" w:rsidRDefault="00000000">
            <w:r>
              <w:rPr>
                <w:sz w:val="15"/>
              </w:rPr>
              <w:t>Results</w:t>
            </w:r>
            <w:r>
              <w:rPr>
                <w:sz w:val="15"/>
              </w:rPr>
              <w:br/>
              <w:t>(Baseline);</w:t>
            </w:r>
            <w:r>
              <w:rPr>
                <w:sz w:val="15"/>
              </w:rPr>
              <w:br/>
              <w:t>Table 1;</w:t>
            </w:r>
            <w:r>
              <w:rPr>
                <w:sz w:val="15"/>
              </w:rPr>
              <w:br/>
              <w:t>Methods</w:t>
            </w:r>
            <w:r>
              <w:rPr>
                <w:sz w:val="15"/>
              </w:rPr>
              <w:br/>
              <w:t>§Stats</w:t>
            </w:r>
          </w:p>
        </w:tc>
        <w:tc>
          <w:tcPr>
            <w:tcW w:w="8136" w:type="dxa"/>
            <w:tcMar>
              <w:top w:w="60" w:type="dxa"/>
              <w:left w:w="60" w:type="dxa"/>
              <w:bottom w:w="60" w:type="dxa"/>
              <w:right w:w="60" w:type="dxa"/>
            </w:tcMar>
          </w:tcPr>
          <w:p w14:paraId="6C9B313A" w14:textId="77777777" w:rsidR="005B46DD" w:rsidRDefault="00000000">
            <w:r>
              <w:rPr>
                <w:sz w:val="15"/>
              </w:rPr>
              <w:t>(a) Full baseline characteristics reported in Table 1: demographics (age, sex), anthropometrics (weight, height, BMI, waist circumference), lifestyle factors (smoking, alcohol), and comorbidities (obesity, hypertension, T2D, CVD, hyperlipidemia, OSA).</w:t>
            </w:r>
            <w:r>
              <w:rPr>
                <w:sz w:val="15"/>
              </w:rPr>
              <w:br/>
              <w:t>(b) Missing data: clinical and laboratory variables had ≤30% missingness and were imputed. PA data: n varies by variable (e.g., walking n=68; total PA n=62; SB n=73) as shown in Table 3. Dietary data: n=56–61 depending on variable, shown in Table 4. Missing data handling is described in the Statistical Analysis section.</w:t>
            </w:r>
          </w:p>
        </w:tc>
      </w:tr>
      <w:tr w:rsidR="005B46DD" w14:paraId="50CFFB0C" w14:textId="77777777">
        <w:trPr>
          <w:jc w:val="center"/>
        </w:trPr>
        <w:tc>
          <w:tcPr>
            <w:tcW w:w="936" w:type="dxa"/>
            <w:tcMar>
              <w:top w:w="60" w:type="dxa"/>
              <w:left w:w="60" w:type="dxa"/>
              <w:bottom w:w="60" w:type="dxa"/>
              <w:right w:w="60" w:type="dxa"/>
            </w:tcMar>
          </w:tcPr>
          <w:p w14:paraId="1245152E" w14:textId="77777777" w:rsidR="005B46DD" w:rsidRDefault="00000000">
            <w:pPr>
              <w:jc w:val="center"/>
            </w:pPr>
            <w:r>
              <w:rPr>
                <w:sz w:val="15"/>
              </w:rPr>
              <w:lastRenderedPageBreak/>
              <w:t>15</w:t>
            </w:r>
          </w:p>
        </w:tc>
        <w:tc>
          <w:tcPr>
            <w:tcW w:w="4320" w:type="dxa"/>
            <w:tcMar>
              <w:top w:w="60" w:type="dxa"/>
              <w:left w:w="60" w:type="dxa"/>
              <w:bottom w:w="60" w:type="dxa"/>
              <w:right w:w="60" w:type="dxa"/>
            </w:tcMar>
          </w:tcPr>
          <w:p w14:paraId="7F4A3FB4" w14:textId="77777777" w:rsidR="005B46DD" w:rsidRDefault="00000000">
            <w:r>
              <w:rPr>
                <w:sz w:val="15"/>
              </w:rPr>
              <w:t>Outcome data: Report numbers of outcome events or summary measures over time.</w:t>
            </w:r>
          </w:p>
        </w:tc>
        <w:tc>
          <w:tcPr>
            <w:tcW w:w="1944" w:type="dxa"/>
            <w:tcMar>
              <w:top w:w="60" w:type="dxa"/>
              <w:left w:w="60" w:type="dxa"/>
              <w:bottom w:w="60" w:type="dxa"/>
              <w:right w:w="60" w:type="dxa"/>
            </w:tcMar>
          </w:tcPr>
          <w:p w14:paraId="5E7ACCDB" w14:textId="77777777" w:rsidR="005B46DD" w:rsidRDefault="00000000">
            <w:r>
              <w:rPr>
                <w:sz w:val="15"/>
              </w:rPr>
              <w:t>Results;</w:t>
            </w:r>
            <w:r>
              <w:rPr>
                <w:sz w:val="15"/>
              </w:rPr>
              <w:br/>
              <w:t>Table 2;</w:t>
            </w:r>
            <w:r>
              <w:rPr>
                <w:sz w:val="15"/>
              </w:rPr>
              <w:br/>
              <w:t>Table 3;</w:t>
            </w:r>
            <w:r>
              <w:rPr>
                <w:sz w:val="15"/>
              </w:rPr>
              <w:br/>
              <w:t>Table 4</w:t>
            </w:r>
          </w:p>
        </w:tc>
        <w:tc>
          <w:tcPr>
            <w:tcW w:w="8136" w:type="dxa"/>
            <w:tcMar>
              <w:top w:w="60" w:type="dxa"/>
              <w:left w:w="60" w:type="dxa"/>
              <w:bottom w:w="60" w:type="dxa"/>
              <w:right w:w="60" w:type="dxa"/>
            </w:tcMar>
          </w:tcPr>
          <w:p w14:paraId="2811E020" w14:textId="77777777" w:rsidR="005B46DD" w:rsidRDefault="00000000">
            <w:r>
              <w:rPr>
                <w:sz w:val="15"/>
              </w:rPr>
              <w:t>All primary and secondary outcomes reported at both time points (baseline and follow-up) as medians with IQR in Tables 2–4, with within-participant delta values and p-values. Hepatic outcomes: Table 2. PA and SB: Table 3. Dietary intake: Table 4. Responder data reported in the text: 38/80 (47.5%) CAP responders; 14/80 (17.5%) ALT normalizers.</w:t>
            </w:r>
          </w:p>
        </w:tc>
      </w:tr>
      <w:tr w:rsidR="005B46DD" w14:paraId="1050142E" w14:textId="77777777">
        <w:trPr>
          <w:jc w:val="center"/>
        </w:trPr>
        <w:tc>
          <w:tcPr>
            <w:tcW w:w="936" w:type="dxa"/>
            <w:tcMar>
              <w:top w:w="60" w:type="dxa"/>
              <w:left w:w="60" w:type="dxa"/>
              <w:bottom w:w="60" w:type="dxa"/>
              <w:right w:w="60" w:type="dxa"/>
            </w:tcMar>
          </w:tcPr>
          <w:p w14:paraId="55DEE9E1" w14:textId="77777777" w:rsidR="005B46DD" w:rsidRDefault="00000000">
            <w:pPr>
              <w:jc w:val="center"/>
            </w:pPr>
            <w:r>
              <w:rPr>
                <w:sz w:val="15"/>
              </w:rPr>
              <w:t>16</w:t>
            </w:r>
          </w:p>
        </w:tc>
        <w:tc>
          <w:tcPr>
            <w:tcW w:w="4320" w:type="dxa"/>
            <w:tcMar>
              <w:top w:w="60" w:type="dxa"/>
              <w:left w:w="60" w:type="dxa"/>
              <w:bottom w:w="60" w:type="dxa"/>
              <w:right w:w="60" w:type="dxa"/>
            </w:tcMar>
          </w:tcPr>
          <w:p w14:paraId="63BF3381" w14:textId="77777777" w:rsidR="005B46DD" w:rsidRDefault="00000000">
            <w:r>
              <w:rPr>
                <w:sz w:val="15"/>
              </w:rPr>
              <w:t>Main results:</w:t>
            </w:r>
            <w:r>
              <w:rPr>
                <w:sz w:val="15"/>
              </w:rPr>
              <w:br/>
              <w:t>(a) Unadjusted and confounder-adjusted estimates with precision.</w:t>
            </w:r>
            <w:r>
              <w:rPr>
                <w:sz w:val="15"/>
              </w:rPr>
              <w:br/>
              <w:t>(b) Category boundaries when continuous variables categorized.</w:t>
            </w:r>
            <w:r>
              <w:rPr>
                <w:sz w:val="15"/>
              </w:rPr>
              <w:br/>
              <w:t>(c) If relevant, translate relative risk to absolute risk.</w:t>
            </w:r>
          </w:p>
        </w:tc>
        <w:tc>
          <w:tcPr>
            <w:tcW w:w="1944" w:type="dxa"/>
            <w:tcMar>
              <w:top w:w="60" w:type="dxa"/>
              <w:left w:w="60" w:type="dxa"/>
              <w:bottom w:w="60" w:type="dxa"/>
              <w:right w:w="60" w:type="dxa"/>
            </w:tcMar>
          </w:tcPr>
          <w:p w14:paraId="3927C2BE" w14:textId="77777777" w:rsidR="005B46DD" w:rsidRDefault="00000000">
            <w:r>
              <w:rPr>
                <w:sz w:val="15"/>
              </w:rPr>
              <w:t>Results;</w:t>
            </w:r>
            <w:r>
              <w:rPr>
                <w:sz w:val="15"/>
              </w:rPr>
              <w:br/>
              <w:t>Tables 2–4;</w:t>
            </w:r>
            <w:r>
              <w:rPr>
                <w:sz w:val="15"/>
              </w:rPr>
              <w:br/>
              <w:t>Suppl.</w:t>
            </w:r>
            <w:r>
              <w:rPr>
                <w:sz w:val="15"/>
              </w:rPr>
              <w:br/>
              <w:t>Tables S1–S2</w:t>
            </w:r>
          </w:p>
        </w:tc>
        <w:tc>
          <w:tcPr>
            <w:tcW w:w="8136" w:type="dxa"/>
            <w:tcMar>
              <w:top w:w="60" w:type="dxa"/>
              <w:left w:w="60" w:type="dxa"/>
              <w:bottom w:w="60" w:type="dxa"/>
              <w:right w:w="60" w:type="dxa"/>
            </w:tcMar>
          </w:tcPr>
          <w:p w14:paraId="4566B58F" w14:textId="3EAD02FA" w:rsidR="005B46DD" w:rsidRPr="00F129D5" w:rsidRDefault="00F129D5" w:rsidP="00F129D5">
            <w:pPr>
              <w:rPr>
                <w:sz w:val="15"/>
              </w:rPr>
            </w:pPr>
            <w:r>
              <w:rPr>
                <w:sz w:val="15"/>
              </w:rPr>
              <w:t>(a)</w:t>
            </w:r>
            <w:r w:rsidRPr="00F129D5">
              <w:rPr>
                <w:sz w:val="15"/>
              </w:rPr>
              <w:t>Unadjusted: Wilcoxon results in Tables 2–4 with medians, IQR, delta, and p-values. Adjusted: mixed-effects model results in Supplementary Table S1 (liver enzymes and CAP) and S2 (PA variables) with β coefficients, 95% CI, and p-values.</w:t>
            </w:r>
            <w:r w:rsidRPr="00F129D5">
              <w:rPr>
                <w:sz w:val="15"/>
              </w:rPr>
              <w:br/>
              <w:t>(b) Steatosis and fibrosis categories are reported as S0–S3 and F0–F4 distributions based on the thresholds used in the study dataset.(Table 2).</w:t>
            </w:r>
            <w:r w:rsidRPr="00F129D5">
              <w:rPr>
                <w:sz w:val="15"/>
              </w:rPr>
              <w:br/>
              <w:t>(c) Responder analyses provide absolute proportions: 47.5% CAP responders; 17.5% ALT normalizers, with sex-stratified breakdown. These translate continuous findings to clinically interpretable absolute proportions.</w:t>
            </w:r>
          </w:p>
        </w:tc>
      </w:tr>
      <w:tr w:rsidR="005B46DD" w14:paraId="6C3293AE" w14:textId="77777777">
        <w:trPr>
          <w:jc w:val="center"/>
        </w:trPr>
        <w:tc>
          <w:tcPr>
            <w:tcW w:w="936" w:type="dxa"/>
            <w:tcMar>
              <w:top w:w="60" w:type="dxa"/>
              <w:left w:w="60" w:type="dxa"/>
              <w:bottom w:w="60" w:type="dxa"/>
              <w:right w:w="60" w:type="dxa"/>
            </w:tcMar>
          </w:tcPr>
          <w:p w14:paraId="6B22EB65" w14:textId="77777777" w:rsidR="005B46DD" w:rsidRDefault="00000000">
            <w:pPr>
              <w:jc w:val="center"/>
            </w:pPr>
            <w:r>
              <w:rPr>
                <w:sz w:val="15"/>
              </w:rPr>
              <w:t>17</w:t>
            </w:r>
          </w:p>
        </w:tc>
        <w:tc>
          <w:tcPr>
            <w:tcW w:w="4320" w:type="dxa"/>
            <w:tcMar>
              <w:top w:w="60" w:type="dxa"/>
              <w:left w:w="60" w:type="dxa"/>
              <w:bottom w:w="60" w:type="dxa"/>
              <w:right w:w="60" w:type="dxa"/>
            </w:tcMar>
          </w:tcPr>
          <w:p w14:paraId="35AD74DB" w14:textId="77777777" w:rsidR="005B46DD" w:rsidRDefault="00000000">
            <w:r>
              <w:rPr>
                <w:sz w:val="15"/>
              </w:rPr>
              <w:t>Other analyses: Report other analyses done — subgroup, interaction, and sensitivity analyses.</w:t>
            </w:r>
          </w:p>
        </w:tc>
        <w:tc>
          <w:tcPr>
            <w:tcW w:w="1944" w:type="dxa"/>
            <w:tcMar>
              <w:top w:w="60" w:type="dxa"/>
              <w:left w:w="60" w:type="dxa"/>
              <w:bottom w:w="60" w:type="dxa"/>
              <w:right w:w="60" w:type="dxa"/>
            </w:tcMar>
          </w:tcPr>
          <w:p w14:paraId="5A68D671" w14:textId="77777777" w:rsidR="005B46DD" w:rsidRDefault="00000000">
            <w:r>
              <w:rPr>
                <w:sz w:val="15"/>
              </w:rPr>
              <w:t>Results;</w:t>
            </w:r>
            <w:r>
              <w:rPr>
                <w:sz w:val="15"/>
              </w:rPr>
              <w:br/>
              <w:t>Suppl.</w:t>
            </w:r>
            <w:r>
              <w:rPr>
                <w:sz w:val="15"/>
              </w:rPr>
              <w:br/>
              <w:t>Tables S1–S5</w:t>
            </w:r>
          </w:p>
        </w:tc>
        <w:tc>
          <w:tcPr>
            <w:tcW w:w="8136" w:type="dxa"/>
            <w:tcMar>
              <w:top w:w="60" w:type="dxa"/>
              <w:left w:w="60" w:type="dxa"/>
              <w:bottom w:w="60" w:type="dxa"/>
              <w:right w:w="60" w:type="dxa"/>
            </w:tcMar>
          </w:tcPr>
          <w:p w14:paraId="02F78193" w14:textId="77777777" w:rsidR="005B46DD" w:rsidRDefault="00000000">
            <w:r>
              <w:rPr>
                <w:sz w:val="15"/>
              </w:rPr>
              <w:t>Sensitivity analyses: adjusted mixed-effects models (Supplementary Table S1 for hepatic outcomes; Supplementary Table S2 for PA variables). Dietary adjusted models: Supplementary Table S3. Exploratory dietary-behavioral association analyses: Supplementary Table S4. Exploratory SB/PASTBI-hepatic association analyses: Supplementary Table S5. Responder analyses: text (Results, Hepatic Biochemistry section). All additional analyses are clearly labeled as exploratory and are appropriately caveated throughout.</w:t>
            </w:r>
          </w:p>
        </w:tc>
      </w:tr>
      <w:tr w:rsidR="005B46DD" w14:paraId="1B6211E4" w14:textId="77777777">
        <w:trPr>
          <w:jc w:val="center"/>
        </w:trPr>
        <w:tc>
          <w:tcPr>
            <w:tcW w:w="936" w:type="dxa"/>
            <w:shd w:val="clear" w:color="auto" w:fill="EDEDED"/>
            <w:tcMar>
              <w:top w:w="60" w:type="dxa"/>
              <w:left w:w="60" w:type="dxa"/>
              <w:bottom w:w="60" w:type="dxa"/>
              <w:right w:w="60" w:type="dxa"/>
            </w:tcMar>
          </w:tcPr>
          <w:p w14:paraId="6B586BA7" w14:textId="77777777" w:rsidR="005B46DD" w:rsidRDefault="00000000">
            <w:pPr>
              <w:jc w:val="center"/>
            </w:pPr>
            <w:r>
              <w:rPr>
                <w:b/>
                <w:sz w:val="17"/>
              </w:rPr>
              <w:t>DISCUSSION</w:t>
            </w:r>
          </w:p>
        </w:tc>
        <w:tc>
          <w:tcPr>
            <w:tcW w:w="4320" w:type="dxa"/>
            <w:shd w:val="clear" w:color="auto" w:fill="EDEDED"/>
            <w:tcMar>
              <w:top w:w="60" w:type="dxa"/>
              <w:left w:w="60" w:type="dxa"/>
              <w:bottom w:w="60" w:type="dxa"/>
              <w:right w:w="60" w:type="dxa"/>
            </w:tcMar>
          </w:tcPr>
          <w:p w14:paraId="3A26D6BC" w14:textId="77777777" w:rsidR="005B46DD" w:rsidRDefault="00000000">
            <w:pPr>
              <w:jc w:val="center"/>
            </w:pPr>
            <w:r>
              <w:rPr>
                <w:b/>
                <w:sz w:val="17"/>
              </w:rPr>
              <w:t>DISCUSSION</w:t>
            </w:r>
          </w:p>
        </w:tc>
        <w:tc>
          <w:tcPr>
            <w:tcW w:w="1944" w:type="dxa"/>
            <w:shd w:val="clear" w:color="auto" w:fill="EDEDED"/>
            <w:tcMar>
              <w:top w:w="60" w:type="dxa"/>
              <w:left w:w="60" w:type="dxa"/>
              <w:bottom w:w="60" w:type="dxa"/>
              <w:right w:w="60" w:type="dxa"/>
            </w:tcMar>
          </w:tcPr>
          <w:p w14:paraId="7F08C7E1" w14:textId="77777777" w:rsidR="005B46DD" w:rsidRDefault="00000000">
            <w:pPr>
              <w:jc w:val="center"/>
            </w:pPr>
            <w:r>
              <w:rPr>
                <w:b/>
                <w:sz w:val="17"/>
              </w:rPr>
              <w:t>DISCUSSION</w:t>
            </w:r>
          </w:p>
        </w:tc>
        <w:tc>
          <w:tcPr>
            <w:tcW w:w="8136" w:type="dxa"/>
            <w:shd w:val="clear" w:color="auto" w:fill="EDEDED"/>
            <w:tcMar>
              <w:top w:w="60" w:type="dxa"/>
              <w:left w:w="60" w:type="dxa"/>
              <w:bottom w:w="60" w:type="dxa"/>
              <w:right w:w="60" w:type="dxa"/>
            </w:tcMar>
          </w:tcPr>
          <w:p w14:paraId="0EE8FDEC" w14:textId="77777777" w:rsidR="005B46DD" w:rsidRDefault="00000000">
            <w:pPr>
              <w:jc w:val="center"/>
            </w:pPr>
            <w:r>
              <w:rPr>
                <w:b/>
                <w:sz w:val="17"/>
              </w:rPr>
              <w:t>DISCUSSION</w:t>
            </w:r>
          </w:p>
        </w:tc>
      </w:tr>
      <w:tr w:rsidR="005B46DD" w14:paraId="4FBED76E" w14:textId="77777777">
        <w:trPr>
          <w:jc w:val="center"/>
        </w:trPr>
        <w:tc>
          <w:tcPr>
            <w:tcW w:w="936" w:type="dxa"/>
            <w:tcMar>
              <w:top w:w="60" w:type="dxa"/>
              <w:left w:w="60" w:type="dxa"/>
              <w:bottom w:w="60" w:type="dxa"/>
              <w:right w:w="60" w:type="dxa"/>
            </w:tcMar>
          </w:tcPr>
          <w:p w14:paraId="1C55126D" w14:textId="77777777" w:rsidR="005B46DD" w:rsidRDefault="00000000">
            <w:pPr>
              <w:jc w:val="center"/>
            </w:pPr>
            <w:r>
              <w:rPr>
                <w:sz w:val="15"/>
              </w:rPr>
              <w:t>18</w:t>
            </w:r>
          </w:p>
        </w:tc>
        <w:tc>
          <w:tcPr>
            <w:tcW w:w="4320" w:type="dxa"/>
            <w:tcMar>
              <w:top w:w="60" w:type="dxa"/>
              <w:left w:w="60" w:type="dxa"/>
              <w:bottom w:w="60" w:type="dxa"/>
              <w:right w:w="60" w:type="dxa"/>
            </w:tcMar>
          </w:tcPr>
          <w:p w14:paraId="06B094BA" w14:textId="77777777" w:rsidR="005B46DD" w:rsidRDefault="00000000">
            <w:r>
              <w:rPr>
                <w:sz w:val="15"/>
              </w:rPr>
              <w:t>Key results: Summarise key results with reference to study objectives.</w:t>
            </w:r>
          </w:p>
        </w:tc>
        <w:tc>
          <w:tcPr>
            <w:tcW w:w="1944" w:type="dxa"/>
            <w:tcMar>
              <w:top w:w="60" w:type="dxa"/>
              <w:left w:w="60" w:type="dxa"/>
              <w:bottom w:w="60" w:type="dxa"/>
              <w:right w:w="60" w:type="dxa"/>
            </w:tcMar>
          </w:tcPr>
          <w:p w14:paraId="3F464EBB" w14:textId="77777777" w:rsidR="005B46DD" w:rsidRDefault="00000000">
            <w:r>
              <w:rPr>
                <w:sz w:val="15"/>
              </w:rPr>
              <w:t>Discussion,</w:t>
            </w:r>
            <w:r>
              <w:rPr>
                <w:sz w:val="15"/>
              </w:rPr>
              <w:br/>
              <w:t>paras 1–5</w:t>
            </w:r>
          </w:p>
        </w:tc>
        <w:tc>
          <w:tcPr>
            <w:tcW w:w="8136" w:type="dxa"/>
            <w:tcMar>
              <w:top w:w="60" w:type="dxa"/>
              <w:left w:w="60" w:type="dxa"/>
              <w:bottom w:w="60" w:type="dxa"/>
              <w:right w:w="60" w:type="dxa"/>
            </w:tcMar>
          </w:tcPr>
          <w:p w14:paraId="07472764" w14:textId="77777777" w:rsidR="005B46DD" w:rsidRDefault="00000000">
            <w:r>
              <w:rPr>
                <w:sz w:val="15"/>
              </w:rPr>
              <w:t>The opening of the Discussion summarizes: (1) robust reductions in ALT, AST, and CAP persisting after multivariable adjustment; (2) preferential reduction in central adiposity; (3) significant lipid improvements; (4) substantial PA decline during RDIF despite hepatic improvement; and (5) absence of consistent dietary change associations with hepatic outcomes. All findings are linked back to the stated study objectives.</w:t>
            </w:r>
          </w:p>
        </w:tc>
      </w:tr>
      <w:tr w:rsidR="005B46DD" w14:paraId="25C60B14" w14:textId="77777777">
        <w:trPr>
          <w:jc w:val="center"/>
        </w:trPr>
        <w:tc>
          <w:tcPr>
            <w:tcW w:w="936" w:type="dxa"/>
            <w:tcMar>
              <w:top w:w="60" w:type="dxa"/>
              <w:left w:w="60" w:type="dxa"/>
              <w:bottom w:w="60" w:type="dxa"/>
              <w:right w:w="60" w:type="dxa"/>
            </w:tcMar>
          </w:tcPr>
          <w:p w14:paraId="675B8853" w14:textId="77777777" w:rsidR="005B46DD" w:rsidRDefault="00000000">
            <w:pPr>
              <w:jc w:val="center"/>
            </w:pPr>
            <w:r>
              <w:rPr>
                <w:sz w:val="15"/>
              </w:rPr>
              <w:t>19</w:t>
            </w:r>
          </w:p>
        </w:tc>
        <w:tc>
          <w:tcPr>
            <w:tcW w:w="4320" w:type="dxa"/>
            <w:tcMar>
              <w:top w:w="60" w:type="dxa"/>
              <w:left w:w="60" w:type="dxa"/>
              <w:bottom w:w="60" w:type="dxa"/>
              <w:right w:w="60" w:type="dxa"/>
            </w:tcMar>
          </w:tcPr>
          <w:p w14:paraId="3D89D189" w14:textId="77777777" w:rsidR="005B46DD" w:rsidRDefault="00000000">
            <w:r>
              <w:rPr>
                <w:sz w:val="15"/>
              </w:rPr>
              <w:t>Limitations: Discuss limitations, including potential bias and imprecision, and their direction and magnitude.</w:t>
            </w:r>
          </w:p>
        </w:tc>
        <w:tc>
          <w:tcPr>
            <w:tcW w:w="1944" w:type="dxa"/>
            <w:tcMar>
              <w:top w:w="60" w:type="dxa"/>
              <w:left w:w="60" w:type="dxa"/>
              <w:bottom w:w="60" w:type="dxa"/>
              <w:right w:w="60" w:type="dxa"/>
            </w:tcMar>
          </w:tcPr>
          <w:p w14:paraId="6B38587F" w14:textId="77777777" w:rsidR="005B46DD" w:rsidRDefault="00000000">
            <w:r>
              <w:rPr>
                <w:sz w:val="15"/>
              </w:rPr>
              <w:t>Discussion,</w:t>
            </w:r>
            <w:r>
              <w:rPr>
                <w:sz w:val="15"/>
              </w:rPr>
              <w:br/>
              <w:t>Limitations</w:t>
            </w:r>
            <w:r>
              <w:rPr>
                <w:sz w:val="15"/>
              </w:rPr>
              <w:br/>
              <w:t>(final para-</w:t>
            </w:r>
            <w:r>
              <w:rPr>
                <w:sz w:val="15"/>
              </w:rPr>
              <w:br/>
              <w:t>graphs)</w:t>
            </w:r>
          </w:p>
        </w:tc>
        <w:tc>
          <w:tcPr>
            <w:tcW w:w="8136" w:type="dxa"/>
            <w:tcMar>
              <w:top w:w="60" w:type="dxa"/>
              <w:left w:w="60" w:type="dxa"/>
              <w:bottom w:w="60" w:type="dxa"/>
              <w:right w:w="60" w:type="dxa"/>
            </w:tcMar>
          </w:tcPr>
          <w:p w14:paraId="6BA7F745" w14:textId="77777777" w:rsidR="005B46DD" w:rsidRDefault="00000000">
            <w:r>
              <w:rPr>
                <w:sz w:val="15"/>
              </w:rPr>
              <w:t>Limitations explicitly addressed: (1) Observational pre–post design without a non-fasting control group; regression to the mean, seasonal effects, and medication changes cannot be excluded; methodological challenge of constructing a valid Ramadan comparator in Muslim-majority settings is explained. (2) One-month observation window precludes durability assessment. (3) Self-reported dietary intake, PA, and SB subject to measurement error; no objective biomarker validation. (4) Elevated ALT inclusion criterion may limit generalizability to MASLD with normal transaminases. (5) Selection bias toward healthier, more adherent participants. Directionality of likely bias discussed for each.</w:t>
            </w:r>
          </w:p>
        </w:tc>
      </w:tr>
      <w:tr w:rsidR="005B46DD" w14:paraId="1B534B3D" w14:textId="77777777">
        <w:trPr>
          <w:jc w:val="center"/>
        </w:trPr>
        <w:tc>
          <w:tcPr>
            <w:tcW w:w="936" w:type="dxa"/>
            <w:tcMar>
              <w:top w:w="60" w:type="dxa"/>
              <w:left w:w="60" w:type="dxa"/>
              <w:bottom w:w="60" w:type="dxa"/>
              <w:right w:w="60" w:type="dxa"/>
            </w:tcMar>
          </w:tcPr>
          <w:p w14:paraId="39A3BF3B" w14:textId="77777777" w:rsidR="005B46DD" w:rsidRDefault="00000000">
            <w:pPr>
              <w:jc w:val="center"/>
            </w:pPr>
            <w:r>
              <w:rPr>
                <w:sz w:val="15"/>
              </w:rPr>
              <w:t>20</w:t>
            </w:r>
          </w:p>
        </w:tc>
        <w:tc>
          <w:tcPr>
            <w:tcW w:w="4320" w:type="dxa"/>
            <w:tcMar>
              <w:top w:w="60" w:type="dxa"/>
              <w:left w:w="60" w:type="dxa"/>
              <w:bottom w:w="60" w:type="dxa"/>
              <w:right w:w="60" w:type="dxa"/>
            </w:tcMar>
          </w:tcPr>
          <w:p w14:paraId="59EC006A" w14:textId="77777777" w:rsidR="005B46DD" w:rsidRDefault="00000000">
            <w:r>
              <w:rPr>
                <w:sz w:val="15"/>
              </w:rPr>
              <w:t>Interpretation: Give a cautious overall interpretation considering objectives, limitations, multiplicity, and other evidence.</w:t>
            </w:r>
          </w:p>
        </w:tc>
        <w:tc>
          <w:tcPr>
            <w:tcW w:w="1944" w:type="dxa"/>
            <w:tcMar>
              <w:top w:w="60" w:type="dxa"/>
              <w:left w:w="60" w:type="dxa"/>
              <w:bottom w:w="60" w:type="dxa"/>
              <w:right w:w="60" w:type="dxa"/>
            </w:tcMar>
          </w:tcPr>
          <w:p w14:paraId="4DD8D55F" w14:textId="77777777" w:rsidR="005B46DD" w:rsidRDefault="00000000">
            <w:r>
              <w:rPr>
                <w:sz w:val="15"/>
              </w:rPr>
              <w:t>Discussion,</w:t>
            </w:r>
            <w:r>
              <w:rPr>
                <w:sz w:val="15"/>
              </w:rPr>
              <w:br/>
              <w:t>paras 6–8;</w:t>
            </w:r>
            <w:r>
              <w:rPr>
                <w:sz w:val="15"/>
              </w:rPr>
              <w:br/>
              <w:t>Conclusion</w:t>
            </w:r>
          </w:p>
        </w:tc>
        <w:tc>
          <w:tcPr>
            <w:tcW w:w="8136" w:type="dxa"/>
            <w:tcMar>
              <w:top w:w="60" w:type="dxa"/>
              <w:left w:w="60" w:type="dxa"/>
              <w:bottom w:w="60" w:type="dxa"/>
              <w:right w:w="60" w:type="dxa"/>
            </w:tcMar>
          </w:tcPr>
          <w:p w14:paraId="127E88D0" w14:textId="77777777" w:rsidR="005B46DD" w:rsidRDefault="00000000">
            <w:r>
              <w:rPr>
                <w:sz w:val="15"/>
              </w:rPr>
              <w:t>Findings are consistently interpreted as 'temporally associated with RDIF rather than causal.' The Discussion explicitly states that mechanistic pathways 'should be viewed as biologically plausible hypotheses' and 'should be regarded as biologically plausible but unconfirmed explanations.' The conclusion uses 'associated with' throughout and calls for 'controlled, longer-term studies' before definitive conclusions. Multiplicity is managed by designating exploratory analyses throughout.</w:t>
            </w:r>
          </w:p>
        </w:tc>
      </w:tr>
      <w:tr w:rsidR="005B46DD" w14:paraId="7ACAB405" w14:textId="77777777">
        <w:trPr>
          <w:jc w:val="center"/>
        </w:trPr>
        <w:tc>
          <w:tcPr>
            <w:tcW w:w="936" w:type="dxa"/>
            <w:tcMar>
              <w:top w:w="60" w:type="dxa"/>
              <w:left w:w="60" w:type="dxa"/>
              <w:bottom w:w="60" w:type="dxa"/>
              <w:right w:w="60" w:type="dxa"/>
            </w:tcMar>
          </w:tcPr>
          <w:p w14:paraId="657A150F" w14:textId="77777777" w:rsidR="005B46DD" w:rsidRDefault="00000000">
            <w:pPr>
              <w:jc w:val="center"/>
            </w:pPr>
            <w:r>
              <w:rPr>
                <w:sz w:val="15"/>
              </w:rPr>
              <w:t>21</w:t>
            </w:r>
          </w:p>
        </w:tc>
        <w:tc>
          <w:tcPr>
            <w:tcW w:w="4320" w:type="dxa"/>
            <w:tcMar>
              <w:top w:w="60" w:type="dxa"/>
              <w:left w:w="60" w:type="dxa"/>
              <w:bottom w:w="60" w:type="dxa"/>
              <w:right w:w="60" w:type="dxa"/>
            </w:tcMar>
          </w:tcPr>
          <w:p w14:paraId="1786DF9B" w14:textId="77777777" w:rsidR="005B46DD" w:rsidRDefault="00000000">
            <w:r>
              <w:rPr>
                <w:sz w:val="15"/>
              </w:rPr>
              <w:t>Generalisability: Discuss the generalisability (external validity) of the study results.</w:t>
            </w:r>
          </w:p>
        </w:tc>
        <w:tc>
          <w:tcPr>
            <w:tcW w:w="1944" w:type="dxa"/>
            <w:tcMar>
              <w:top w:w="60" w:type="dxa"/>
              <w:left w:w="60" w:type="dxa"/>
              <w:bottom w:w="60" w:type="dxa"/>
              <w:right w:w="60" w:type="dxa"/>
            </w:tcMar>
          </w:tcPr>
          <w:p w14:paraId="2C3CFA27" w14:textId="77777777" w:rsidR="005B46DD" w:rsidRDefault="00000000">
            <w:r>
              <w:rPr>
                <w:sz w:val="15"/>
              </w:rPr>
              <w:t>Discussion,</w:t>
            </w:r>
            <w:r>
              <w:rPr>
                <w:sz w:val="15"/>
              </w:rPr>
              <w:br/>
              <w:t>Limitations</w:t>
            </w:r>
          </w:p>
        </w:tc>
        <w:tc>
          <w:tcPr>
            <w:tcW w:w="8136" w:type="dxa"/>
            <w:tcMar>
              <w:top w:w="60" w:type="dxa"/>
              <w:left w:w="60" w:type="dxa"/>
              <w:bottom w:w="60" w:type="dxa"/>
              <w:right w:w="60" w:type="dxa"/>
            </w:tcMar>
          </w:tcPr>
          <w:p w14:paraId="3A557087" w14:textId="77777777" w:rsidR="005B46DD" w:rsidRDefault="00000000">
            <w:r>
              <w:rPr>
                <w:sz w:val="15"/>
              </w:rPr>
              <w:t>Generalizability discussed explicitly: findings are most applicable to MASLD adults with elevated ALT who are medically able to fast ≥21 consecutive days. The population reflects the MENA-region MASLD spectrum (high cardiometabolic burden, multicenter design across Saudi Arabia and Egypt). Limitation to populations with more advanced disease, greater comorbidity, or reduced fasting tolerance is acknowledged. The multicenter design spanning two countries strengthens regional external validity.</w:t>
            </w:r>
          </w:p>
        </w:tc>
      </w:tr>
      <w:tr w:rsidR="005B46DD" w14:paraId="08B1B47D" w14:textId="77777777">
        <w:trPr>
          <w:jc w:val="center"/>
        </w:trPr>
        <w:tc>
          <w:tcPr>
            <w:tcW w:w="936" w:type="dxa"/>
            <w:shd w:val="clear" w:color="auto" w:fill="EDEDED"/>
            <w:tcMar>
              <w:top w:w="60" w:type="dxa"/>
              <w:left w:w="60" w:type="dxa"/>
              <w:bottom w:w="60" w:type="dxa"/>
              <w:right w:w="60" w:type="dxa"/>
            </w:tcMar>
          </w:tcPr>
          <w:p w14:paraId="4D6920DF" w14:textId="77777777" w:rsidR="005B46DD" w:rsidRDefault="00000000">
            <w:pPr>
              <w:jc w:val="center"/>
            </w:pPr>
            <w:r>
              <w:rPr>
                <w:b/>
                <w:sz w:val="17"/>
              </w:rPr>
              <w:t>OTHER INFORMATION</w:t>
            </w:r>
          </w:p>
        </w:tc>
        <w:tc>
          <w:tcPr>
            <w:tcW w:w="4320" w:type="dxa"/>
            <w:shd w:val="clear" w:color="auto" w:fill="EDEDED"/>
            <w:tcMar>
              <w:top w:w="60" w:type="dxa"/>
              <w:left w:w="60" w:type="dxa"/>
              <w:bottom w:w="60" w:type="dxa"/>
              <w:right w:w="60" w:type="dxa"/>
            </w:tcMar>
          </w:tcPr>
          <w:p w14:paraId="551EEAFE" w14:textId="77777777" w:rsidR="005B46DD" w:rsidRDefault="00000000">
            <w:pPr>
              <w:jc w:val="center"/>
            </w:pPr>
            <w:r>
              <w:rPr>
                <w:b/>
                <w:sz w:val="17"/>
              </w:rPr>
              <w:t>OTHER INFORMATION</w:t>
            </w:r>
          </w:p>
        </w:tc>
        <w:tc>
          <w:tcPr>
            <w:tcW w:w="1944" w:type="dxa"/>
            <w:shd w:val="clear" w:color="auto" w:fill="EDEDED"/>
            <w:tcMar>
              <w:top w:w="60" w:type="dxa"/>
              <w:left w:w="60" w:type="dxa"/>
              <w:bottom w:w="60" w:type="dxa"/>
              <w:right w:w="60" w:type="dxa"/>
            </w:tcMar>
          </w:tcPr>
          <w:p w14:paraId="1E2A0644" w14:textId="77777777" w:rsidR="005B46DD" w:rsidRDefault="00000000">
            <w:pPr>
              <w:jc w:val="center"/>
            </w:pPr>
            <w:r>
              <w:rPr>
                <w:b/>
                <w:sz w:val="17"/>
              </w:rPr>
              <w:t>OTHER INFORMATION</w:t>
            </w:r>
          </w:p>
        </w:tc>
        <w:tc>
          <w:tcPr>
            <w:tcW w:w="8136" w:type="dxa"/>
            <w:shd w:val="clear" w:color="auto" w:fill="EDEDED"/>
            <w:tcMar>
              <w:top w:w="60" w:type="dxa"/>
              <w:left w:w="60" w:type="dxa"/>
              <w:bottom w:w="60" w:type="dxa"/>
              <w:right w:w="60" w:type="dxa"/>
            </w:tcMar>
          </w:tcPr>
          <w:p w14:paraId="4D3F1912" w14:textId="77777777" w:rsidR="005B46DD" w:rsidRDefault="00000000">
            <w:pPr>
              <w:jc w:val="center"/>
            </w:pPr>
            <w:r>
              <w:rPr>
                <w:b/>
                <w:sz w:val="17"/>
              </w:rPr>
              <w:t>OTHER INFORMATION</w:t>
            </w:r>
          </w:p>
        </w:tc>
      </w:tr>
      <w:tr w:rsidR="005B46DD" w14:paraId="4B1F1CD1" w14:textId="77777777">
        <w:trPr>
          <w:jc w:val="center"/>
        </w:trPr>
        <w:tc>
          <w:tcPr>
            <w:tcW w:w="936" w:type="dxa"/>
            <w:tcMar>
              <w:top w:w="60" w:type="dxa"/>
              <w:left w:w="60" w:type="dxa"/>
              <w:bottom w:w="60" w:type="dxa"/>
              <w:right w:w="60" w:type="dxa"/>
            </w:tcMar>
          </w:tcPr>
          <w:p w14:paraId="2465D6EF" w14:textId="77777777" w:rsidR="005B46DD" w:rsidRDefault="00000000">
            <w:pPr>
              <w:jc w:val="center"/>
            </w:pPr>
            <w:r>
              <w:rPr>
                <w:sz w:val="15"/>
              </w:rPr>
              <w:t>22</w:t>
            </w:r>
          </w:p>
        </w:tc>
        <w:tc>
          <w:tcPr>
            <w:tcW w:w="4320" w:type="dxa"/>
            <w:tcMar>
              <w:top w:w="60" w:type="dxa"/>
              <w:left w:w="60" w:type="dxa"/>
              <w:bottom w:w="60" w:type="dxa"/>
              <w:right w:w="60" w:type="dxa"/>
            </w:tcMar>
          </w:tcPr>
          <w:p w14:paraId="71F35926" w14:textId="77777777" w:rsidR="005B46DD" w:rsidRDefault="00000000">
            <w:r>
              <w:rPr>
                <w:sz w:val="15"/>
              </w:rPr>
              <w:t>Funding: Give the source of funding and the role of the funders for the present study and, if applicable, for the original study on which the present article is based.</w:t>
            </w:r>
          </w:p>
        </w:tc>
        <w:tc>
          <w:tcPr>
            <w:tcW w:w="1944" w:type="dxa"/>
            <w:tcMar>
              <w:top w:w="60" w:type="dxa"/>
              <w:left w:w="60" w:type="dxa"/>
              <w:bottom w:w="60" w:type="dxa"/>
              <w:right w:w="60" w:type="dxa"/>
            </w:tcMar>
          </w:tcPr>
          <w:p w14:paraId="1FB00E34" w14:textId="77777777" w:rsidR="005B46DD" w:rsidRDefault="00000000">
            <w:r>
              <w:rPr>
                <w:sz w:val="15"/>
              </w:rPr>
              <w:t>Declarations</w:t>
            </w:r>
            <w:r>
              <w:rPr>
                <w:sz w:val="15"/>
              </w:rPr>
              <w:br/>
              <w:t>(Funding)</w:t>
            </w:r>
          </w:p>
        </w:tc>
        <w:tc>
          <w:tcPr>
            <w:tcW w:w="8136" w:type="dxa"/>
            <w:tcMar>
              <w:top w:w="60" w:type="dxa"/>
              <w:left w:w="60" w:type="dxa"/>
              <w:bottom w:w="60" w:type="dxa"/>
              <w:right w:w="60" w:type="dxa"/>
            </w:tcMar>
          </w:tcPr>
          <w:p w14:paraId="401D9D0F" w14:textId="77777777" w:rsidR="005B46DD" w:rsidRDefault="00000000">
            <w:r>
              <w:rPr>
                <w:sz w:val="15"/>
              </w:rPr>
              <w:t>Funding declared: National Plan for Science, Technology, and Innovation (MAARIFAH), King Abdul-Aziz City for Science and Technology, Riyadh, Saudi Arabia (Grant No. 08-MED512-02). Explicit statement: 'The funding body had no role in the study design, data collection, analysis, interpretation, or manuscript preparation.' Conflicts of interest: all authors declare none.</w:t>
            </w:r>
          </w:p>
        </w:tc>
      </w:tr>
    </w:tbl>
    <w:p w14:paraId="03A16C00" w14:textId="77777777" w:rsidR="005B46DD" w:rsidRDefault="00000000">
      <w:pPr>
        <w:spacing w:before="120" w:after="0"/>
      </w:pPr>
      <w:r>
        <w:rPr>
          <w:sz w:val="16"/>
        </w:rPr>
        <w:t>STROBE Reference: von Elm E, et al. The Strengthening the Reporting of Observational Studies in Epidemiology (STROBE) statement: guidelines for reporting observational studies. Lancet. 2007;370(9596):1453–1457. doi: 10.1016/S0140-6736(07)61602-X.  |  Available at: www.strobe-statement.org</w:t>
      </w:r>
    </w:p>
    <w:sectPr w:rsidR="005B46DD" w:rsidSect="00034616">
      <w:footerReference w:type="default" r:id="rId8"/>
      <w:pgSz w:w="16834" w:h="11909"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55177" w14:textId="77777777" w:rsidR="00BF26B2" w:rsidRDefault="00BF26B2">
      <w:pPr>
        <w:spacing w:after="0" w:line="240" w:lineRule="auto"/>
      </w:pPr>
      <w:r>
        <w:separator/>
      </w:r>
    </w:p>
  </w:endnote>
  <w:endnote w:type="continuationSeparator" w:id="0">
    <w:p w14:paraId="712A35E6" w14:textId="77777777" w:rsidR="00BF26B2" w:rsidRDefault="00BF2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F9981" w14:textId="77777777" w:rsidR="005B46DD" w:rsidRDefault="00000000">
    <w:pPr>
      <w:pStyle w:val="Footer"/>
      <w:jc w:val="center"/>
    </w:pPr>
    <w:r>
      <w:rPr>
        <w:sz w:val="16"/>
      </w:rPr>
      <w:t>STROBE Checklist — Supplementary Material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4F560" w14:textId="77777777" w:rsidR="00BF26B2" w:rsidRDefault="00BF26B2">
      <w:pPr>
        <w:spacing w:after="0" w:line="240" w:lineRule="auto"/>
      </w:pPr>
      <w:r>
        <w:separator/>
      </w:r>
    </w:p>
  </w:footnote>
  <w:footnote w:type="continuationSeparator" w:id="0">
    <w:p w14:paraId="184875A4" w14:textId="77777777" w:rsidR="00BF26B2" w:rsidRDefault="00BF26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55C4239"/>
    <w:multiLevelType w:val="hybridMultilevel"/>
    <w:tmpl w:val="63985A60"/>
    <w:lvl w:ilvl="0" w:tplc="CB143E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5378295">
    <w:abstractNumId w:val="8"/>
  </w:num>
  <w:num w:numId="2" w16cid:durableId="1917741918">
    <w:abstractNumId w:val="6"/>
  </w:num>
  <w:num w:numId="3" w16cid:durableId="1102530538">
    <w:abstractNumId w:val="5"/>
  </w:num>
  <w:num w:numId="4" w16cid:durableId="1206025829">
    <w:abstractNumId w:val="4"/>
  </w:num>
  <w:num w:numId="5" w16cid:durableId="1313173650">
    <w:abstractNumId w:val="7"/>
  </w:num>
  <w:num w:numId="6" w16cid:durableId="1911845909">
    <w:abstractNumId w:val="3"/>
  </w:num>
  <w:num w:numId="7" w16cid:durableId="1948391051">
    <w:abstractNumId w:val="2"/>
  </w:num>
  <w:num w:numId="8" w16cid:durableId="926305468">
    <w:abstractNumId w:val="1"/>
  </w:num>
  <w:num w:numId="9" w16cid:durableId="912661733">
    <w:abstractNumId w:val="0"/>
  </w:num>
  <w:num w:numId="10" w16cid:durableId="3323385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IwtzAzNDcyM7A0MjBS0lEKTi0uzszPAykwrAUA61FL4ywAAAA="/>
  </w:docVars>
  <w:rsids>
    <w:rsidRoot w:val="00B47730"/>
    <w:rsid w:val="00034616"/>
    <w:rsid w:val="0006063C"/>
    <w:rsid w:val="0015074B"/>
    <w:rsid w:val="00236866"/>
    <w:rsid w:val="0029629A"/>
    <w:rsid w:val="0029639D"/>
    <w:rsid w:val="00326F90"/>
    <w:rsid w:val="004046DD"/>
    <w:rsid w:val="00503B9D"/>
    <w:rsid w:val="005B46DD"/>
    <w:rsid w:val="006E2E79"/>
    <w:rsid w:val="009247A2"/>
    <w:rsid w:val="00AA1D8D"/>
    <w:rsid w:val="00B47730"/>
    <w:rsid w:val="00BF26B2"/>
    <w:rsid w:val="00CB0664"/>
    <w:rsid w:val="00CC0BA3"/>
    <w:rsid w:val="00F0077C"/>
    <w:rsid w:val="00F129D5"/>
    <w:rsid w:val="00F528B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B36D61"/>
  <w14:defaultImageDpi w14:val="300"/>
  <w15:docId w15:val="{572E3ED1-7133-454D-BDB3-D19AEEE5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2236</Words>
  <Characters>14698</Characters>
  <Application>Microsoft Office Word</Application>
  <DocSecurity>0</DocSecurity>
  <Lines>326</Lines>
  <Paragraphs>138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16796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Khalid Alswat</cp:lastModifiedBy>
  <cp:revision>6</cp:revision>
  <dcterms:created xsi:type="dcterms:W3CDTF">2026-05-04T09:47:00Z</dcterms:created>
  <dcterms:modified xsi:type="dcterms:W3CDTF">2026-05-31T08:16:00Z</dcterms:modified>
  <cp:category/>
</cp:coreProperties>
</file>