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261CC">
      <w:pPr>
        <w:adjustRightInd w:val="0"/>
        <w:snapToGrid w:val="0"/>
        <w:spacing w:beforeLines="0" w:after="0" w:afterLines="0" w:line="360" w:lineRule="auto"/>
        <w:jc w:val="both"/>
        <w:rPr>
          <w:rFonts w:hint="default" w:ascii="Times New Roman" w:hAnsi="Times New Roman"/>
          <w:b/>
          <w:color w:val="auto"/>
          <w:sz w:val="20"/>
          <w:szCs w:val="20"/>
        </w:rPr>
      </w:pPr>
      <w:r>
        <w:rPr>
          <w:rFonts w:hint="default" w:ascii="Times New Roman" w:hAnsi="Times New Roman"/>
          <w:b/>
          <w:color w:val="auto"/>
          <w:sz w:val="20"/>
          <w:szCs w:val="20"/>
        </w:rPr>
        <w:t>Figure S1.</w:t>
      </w:r>
      <w:r>
        <w:rPr>
          <w:rFonts w:hint="eastAsia" w:ascii="Times New Roman" w:hAnsi="Times New Roman"/>
          <w:b/>
          <w:color w:val="auto"/>
          <w:sz w:val="20"/>
          <w:szCs w:val="20"/>
        </w:rPr>
        <w:t>TGF-β1 downregulates CaSR and upregulates α-SMA in human hepatic stellate LX-2 cells</w:t>
      </w:r>
    </w:p>
    <w:p w14:paraId="3C3BA438">
      <w:pPr>
        <w:adjustRightInd w:val="0"/>
        <w:snapToGrid w:val="0"/>
        <w:spacing w:beforeLines="0" w:after="0" w:afterLines="0" w:line="360" w:lineRule="auto"/>
        <w:jc w:val="both"/>
        <w:rPr>
          <w:rFonts w:hint="default" w:ascii="Times New Roman" w:hAnsi="Times New Roman"/>
          <w:sz w:val="20"/>
          <w:szCs w:val="20"/>
        </w:rPr>
      </w:pPr>
      <w:r>
        <w:rPr>
          <w:rFonts w:hint="default" w:ascii="Times New Roman" w:hAnsi="Times New Roman"/>
          <w:sz w:val="20"/>
          <w:szCs w:val="20"/>
        </w:rPr>
        <w:t>(A) Western blot analysis and quantification of CaSR and α-SMA protein expression in LX-2 cells treated with TGF-β1. TGF-β1 stimulation resulted in decreased CaSR expression and increased α-SMA levels. Data are presented as mean ± SD (n = 3-6). *</w:t>
      </w:r>
      <w:r>
        <w:rPr>
          <w:rFonts w:hint="default" w:ascii="Times New Roman" w:hAnsi="Times New Roman"/>
          <w:i/>
          <w:sz w:val="20"/>
          <w:szCs w:val="20"/>
        </w:rPr>
        <w:t>P</w:t>
      </w:r>
      <w:r>
        <w:rPr>
          <w:rFonts w:hint="default" w:ascii="Times New Roman" w:hAnsi="Times New Roman"/>
          <w:sz w:val="20"/>
          <w:szCs w:val="20"/>
        </w:rPr>
        <w:t>&lt; 0.05.</w:t>
      </w:r>
    </w:p>
    <w:p w14:paraId="02A8E95F">
      <w:pPr>
        <w:adjustRightInd w:val="0"/>
        <w:snapToGrid w:val="0"/>
        <w:spacing w:beforeLines="0" w:after="0" w:afterLines="0" w:line="360" w:lineRule="auto"/>
        <w:jc w:val="both"/>
        <w:rPr>
          <w:rFonts w:hint="default" w:ascii="Times New Roman" w:hAnsi="Times New Roman"/>
          <w:sz w:val="20"/>
          <w:szCs w:val="20"/>
        </w:rPr>
      </w:pPr>
    </w:p>
    <w:p w14:paraId="1479A980">
      <w:pPr>
        <w:adjustRightInd w:val="0"/>
        <w:snapToGrid w:val="0"/>
        <w:spacing w:beforeLines="0" w:after="0" w:afterLines="0" w:line="360" w:lineRule="auto"/>
        <w:jc w:val="both"/>
        <w:rPr>
          <w:rFonts w:hint="default" w:ascii="Times New Roman" w:hAnsi="Times New Roman"/>
          <w:b/>
          <w:sz w:val="20"/>
          <w:szCs w:val="20"/>
        </w:rPr>
      </w:pPr>
      <w:r>
        <w:rPr>
          <w:rFonts w:hint="default" w:ascii="Times New Roman" w:hAnsi="Times New Roman"/>
          <w:b/>
          <w:sz w:val="20"/>
          <w:szCs w:val="20"/>
        </w:rPr>
        <w:t xml:space="preserve">Figure S2. </w:t>
      </w:r>
      <w:r>
        <w:rPr>
          <w:rFonts w:hint="eastAsia" w:ascii="Times New Roman" w:hAnsi="Times New Roman"/>
          <w:b/>
          <w:sz w:val="20"/>
          <w:szCs w:val="20"/>
        </w:rPr>
        <w:t>CaCl</w:t>
      </w:r>
      <w:r>
        <w:rPr>
          <w:rFonts w:hint="eastAsia" w:ascii="Times New Roman" w:hAnsi="Times New Roman"/>
          <w:b/>
          <w:sz w:val="20"/>
          <w:szCs w:val="20"/>
          <w:vertAlign w:val="subscript"/>
        </w:rPr>
        <w:t xml:space="preserve">2 </w:t>
      </w:r>
      <w:r>
        <w:rPr>
          <w:rFonts w:hint="eastAsia" w:ascii="Times New Roman" w:hAnsi="Times New Roman"/>
          <w:b/>
          <w:sz w:val="20"/>
          <w:szCs w:val="20"/>
        </w:rPr>
        <w:t>treatment suppresses hepatic stellate cell activation in vitro and modulates hepatic Bax/Bcl-2 expression in vivo.</w:t>
      </w:r>
    </w:p>
    <w:p w14:paraId="7E9AEF51">
      <w:pPr>
        <w:numPr>
          <w:ilvl w:val="0"/>
          <w:numId w:val="1"/>
        </w:numPr>
        <w:adjustRightInd w:val="0"/>
        <w:snapToGrid w:val="0"/>
        <w:spacing w:beforeLines="0" w:after="0" w:afterLines="0" w:line="360" w:lineRule="auto"/>
        <w:jc w:val="both"/>
        <w:rPr>
          <w:rFonts w:hint="default" w:ascii="Times New Roman" w:hAnsi="Times New Roman"/>
          <w:sz w:val="20"/>
          <w:szCs w:val="20"/>
        </w:rPr>
      </w:pPr>
      <w:r>
        <w:rPr>
          <w:rFonts w:hint="default" w:ascii="Times New Roman" w:hAnsi="Times New Roman"/>
          <w:sz w:val="20"/>
          <w:szCs w:val="20"/>
        </w:rPr>
        <w:t>CaCl</w:t>
      </w:r>
      <w:r>
        <w:rPr>
          <w:rFonts w:hint="default" w:ascii="Times New Roman" w:hAnsi="Times New Roman"/>
          <w:sz w:val="20"/>
          <w:szCs w:val="20"/>
          <w:vertAlign w:val="subscript"/>
        </w:rPr>
        <w:t>2</w:t>
      </w:r>
      <w:r>
        <w:rPr>
          <w:rFonts w:hint="default" w:ascii="Times New Roman" w:hAnsi="Times New Roman"/>
          <w:sz w:val="20"/>
          <w:szCs w:val="20"/>
        </w:rPr>
        <w:t xml:space="preserve"> restores CaSR expression and reduces α-SMA levels in LX-2 cells under TGF-β1 stimulation conditions.</w:t>
      </w:r>
      <w:r>
        <w:rPr>
          <w:rFonts w:hint="eastAsia" w:ascii="Times New Roman" w:hAnsi="Times New Roman"/>
          <w:sz w:val="20"/>
          <w:szCs w:val="20"/>
        </w:rPr>
        <w:t xml:space="preserve"> (B) Western blot analysis and quantification of Bax and Bcl-2 expression in liver tissues from mice treated as indicated (Con,</w:t>
      </w:r>
      <w:r>
        <w:rPr>
          <w:rFonts w:hint="default" w:ascii="Times New Roman" w:hAnsi="Times New Roman"/>
          <w:sz w:val="20"/>
          <w:szCs w:val="20"/>
        </w:rPr>
        <w:t>CCl</w:t>
      </w:r>
      <w:r>
        <w:rPr>
          <w:rFonts w:hint="default" w:ascii="Times New Roman" w:hAnsi="Times New Roman"/>
          <w:sz w:val="20"/>
          <w:szCs w:val="20"/>
          <w:vertAlign w:val="subscript"/>
        </w:rPr>
        <w:t>4</w:t>
      </w:r>
      <w:r>
        <w:rPr>
          <w:rFonts w:hint="eastAsia" w:ascii="Times New Roman" w:hAnsi="Times New Roman"/>
          <w:sz w:val="20"/>
          <w:szCs w:val="20"/>
        </w:rPr>
        <w:t>,</w:t>
      </w:r>
      <w:r>
        <w:rPr>
          <w:rFonts w:hint="default" w:ascii="Times New Roman" w:hAnsi="Times New Roman"/>
          <w:sz w:val="20"/>
          <w:szCs w:val="20"/>
        </w:rPr>
        <w:t>CCl</w:t>
      </w:r>
      <w:r>
        <w:rPr>
          <w:rFonts w:hint="default" w:ascii="Times New Roman" w:hAnsi="Times New Roman"/>
          <w:sz w:val="20"/>
          <w:szCs w:val="20"/>
          <w:vertAlign w:val="subscript"/>
        </w:rPr>
        <w:t>4</w:t>
      </w:r>
      <w:r>
        <w:rPr>
          <w:rFonts w:hint="eastAsia" w:ascii="Times New Roman" w:hAnsi="Times New Roman"/>
          <w:sz w:val="20"/>
          <w:szCs w:val="20"/>
        </w:rPr>
        <w:t>+</w:t>
      </w:r>
      <w:r>
        <w:rPr>
          <w:rFonts w:hint="eastAsia" w:ascii="Times New Roman" w:hAnsi="Times New Roman"/>
          <w:color w:val="auto"/>
          <w:sz w:val="20"/>
          <w:szCs w:val="20"/>
        </w:rPr>
        <w:t>CaCl</w:t>
      </w:r>
      <w:r>
        <w:rPr>
          <w:rFonts w:hint="eastAsia" w:ascii="Times New Roman" w:hAnsi="Times New Roman"/>
          <w:color w:val="auto"/>
          <w:sz w:val="20"/>
          <w:szCs w:val="20"/>
          <w:vertAlign w:val="subscript"/>
        </w:rPr>
        <w:t>2</w:t>
      </w:r>
      <w:r>
        <w:rPr>
          <w:rFonts w:hint="eastAsia" w:ascii="Times New Roman" w:hAnsi="Times New Roman"/>
          <w:sz w:val="20"/>
          <w:szCs w:val="20"/>
        </w:rPr>
        <w:t xml:space="preserve"> ).</w:t>
      </w:r>
      <w:r>
        <w:rPr>
          <w:rFonts w:hint="default" w:ascii="Times New Roman" w:hAnsi="Times New Roman"/>
          <w:sz w:val="20"/>
          <w:szCs w:val="20"/>
        </w:rPr>
        <w:t>Data are presented as mean ± SD (n = 3-6). *</w:t>
      </w:r>
      <w:r>
        <w:rPr>
          <w:rFonts w:hint="default" w:ascii="Times New Roman" w:hAnsi="Times New Roman"/>
          <w:i/>
          <w:sz w:val="20"/>
          <w:szCs w:val="20"/>
        </w:rPr>
        <w:t>P</w:t>
      </w:r>
      <w:r>
        <w:rPr>
          <w:rFonts w:hint="default" w:ascii="Times New Roman" w:hAnsi="Times New Roman"/>
          <w:sz w:val="20"/>
          <w:szCs w:val="20"/>
        </w:rPr>
        <w:t>&lt; 0.05.</w:t>
      </w:r>
    </w:p>
    <w:p w14:paraId="10435435">
      <w:pPr>
        <w:adjustRightInd w:val="0"/>
        <w:snapToGrid w:val="0"/>
        <w:spacing w:beforeLines="0" w:after="0" w:afterLines="0" w:line="360" w:lineRule="auto"/>
        <w:jc w:val="both"/>
        <w:rPr>
          <w:rFonts w:hint="default" w:ascii="Times New Roman" w:hAnsi="Times New Roman"/>
          <w:sz w:val="20"/>
          <w:szCs w:val="20"/>
        </w:rPr>
      </w:pPr>
    </w:p>
    <w:p w14:paraId="673A5E6A">
      <w:pPr>
        <w:adjustRightInd w:val="0"/>
        <w:snapToGrid w:val="0"/>
        <w:spacing w:beforeLines="0" w:after="0" w:afterLines="0" w:line="360" w:lineRule="auto"/>
        <w:jc w:val="both"/>
        <w:rPr>
          <w:rFonts w:hint="default" w:ascii="Times New Roman" w:hAnsi="Times New Roman"/>
          <w:b/>
          <w:sz w:val="20"/>
          <w:szCs w:val="20"/>
        </w:rPr>
      </w:pPr>
      <w:r>
        <w:rPr>
          <w:rFonts w:hint="default" w:ascii="Times New Roman" w:hAnsi="Times New Roman"/>
          <w:b/>
          <w:sz w:val="20"/>
          <w:szCs w:val="20"/>
        </w:rPr>
        <w:t>Figure S3. CaSR dependent calcium signaling in HSCs under different stimulation conditions.</w:t>
      </w:r>
    </w:p>
    <w:p w14:paraId="526B455A">
      <w:pPr>
        <w:adjustRightInd w:val="0"/>
        <w:snapToGrid w:val="0"/>
        <w:spacing w:beforeLines="0" w:after="0" w:afterLines="0" w:line="360" w:lineRule="auto"/>
        <w:jc w:val="both"/>
        <w:rPr>
          <w:rFonts w:hint="default" w:ascii="Times New Roman" w:hAnsi="Times New Roman"/>
          <w:sz w:val="20"/>
          <w:szCs w:val="20"/>
        </w:rPr>
      </w:pPr>
      <w:r>
        <w:rPr>
          <w:rFonts w:hint="default" w:ascii="Times New Roman" w:hAnsi="Times New Roman"/>
          <w:sz w:val="20"/>
          <w:szCs w:val="20"/>
        </w:rPr>
        <w:t xml:space="preserve">(A) CaCl₂ induces intracellular calcium elevation in </w:t>
      </w:r>
      <w:r>
        <w:rPr>
          <w:rFonts w:hint="eastAsia" w:ascii="Times New Roman" w:hAnsi="Times New Roman"/>
          <w:sz w:val="20"/>
          <w:szCs w:val="20"/>
        </w:rPr>
        <w:t>LX-2</w:t>
      </w:r>
      <w:r>
        <w:rPr>
          <w:rFonts w:hint="default" w:ascii="Times New Roman" w:hAnsi="Times New Roman"/>
          <w:sz w:val="20"/>
          <w:szCs w:val="20"/>
        </w:rPr>
        <w:t xml:space="preserve"> cells in a concentration dependent manner. (B) </w:t>
      </w:r>
      <w:r>
        <w:rPr>
          <w:rFonts w:hint="eastAsia" w:ascii="Times New Roman" w:hAnsi="Times New Roman"/>
          <w:sz w:val="20"/>
          <w:szCs w:val="20"/>
        </w:rPr>
        <w:t xml:space="preserve">In LX-2 cells, </w:t>
      </w:r>
      <w:r>
        <w:rPr>
          <w:rFonts w:hint="default" w:ascii="Times New Roman" w:hAnsi="Times New Roman"/>
          <w:sz w:val="20"/>
          <w:szCs w:val="20"/>
        </w:rPr>
        <w:t xml:space="preserve">CaCl₂- and spermine-induced calcium responses are attenuated by the CaSR antagonist NPS-2143. (C) Spermine-induced calcium signaling is reduced in TGF-β1-activated </w:t>
      </w:r>
      <w:r>
        <w:rPr>
          <w:rFonts w:hint="eastAsia" w:ascii="Times New Roman" w:hAnsi="Times New Roman"/>
          <w:sz w:val="20"/>
          <w:szCs w:val="20"/>
        </w:rPr>
        <w:t>LX-2</w:t>
      </w:r>
      <w:r>
        <w:rPr>
          <w:rFonts w:hint="default" w:ascii="Times New Roman" w:hAnsi="Times New Roman"/>
          <w:sz w:val="20"/>
          <w:szCs w:val="20"/>
        </w:rPr>
        <w:t xml:space="preserve"> cells and remains sensitive to inhibition by NPS-2143.(D)</w:t>
      </w:r>
      <w:r>
        <w:rPr>
          <w:rFonts w:hint="eastAsia" w:ascii="Times New Roman" w:hAnsi="Times New Roman"/>
          <w:sz w:val="20"/>
          <w:szCs w:val="20"/>
        </w:rPr>
        <w:t>In LX-2 cells, removal of extracellular calcium abolishes spermine-induced intracellular calcium elevation</w:t>
      </w:r>
      <w:r>
        <w:rPr>
          <w:rFonts w:hint="default" w:ascii="Times New Roman" w:hAnsi="Times New Roman"/>
          <w:sz w:val="20"/>
          <w:szCs w:val="20"/>
        </w:rPr>
        <w:t xml:space="preserve">. (E) </w:t>
      </w:r>
      <w:r>
        <w:rPr>
          <w:rFonts w:hint="eastAsia" w:ascii="Times New Roman" w:hAnsi="Times New Roman"/>
          <w:sz w:val="20"/>
          <w:szCs w:val="20"/>
        </w:rPr>
        <w:t>In LX-2 cells,c</w:t>
      </w:r>
      <w:r>
        <w:rPr>
          <w:rFonts w:hint="default" w:ascii="Times New Roman" w:hAnsi="Times New Roman"/>
          <w:sz w:val="20"/>
          <w:szCs w:val="20"/>
        </w:rPr>
        <w:t>helation of intracellular calcium with BAPTA-AM partially reduces CaCl₂-induced calcium signals. Data are presented as mean ± SD (n = 3-6). *</w:t>
      </w:r>
      <w:r>
        <w:rPr>
          <w:rFonts w:hint="default" w:ascii="Times New Roman" w:hAnsi="Times New Roman"/>
          <w:i/>
          <w:sz w:val="20"/>
          <w:szCs w:val="20"/>
        </w:rPr>
        <w:t>P</w:t>
      </w:r>
      <w:r>
        <w:rPr>
          <w:rFonts w:hint="default" w:ascii="Times New Roman" w:hAnsi="Times New Roman"/>
          <w:sz w:val="20"/>
          <w:szCs w:val="20"/>
        </w:rPr>
        <w:t>&lt; 0.05.</w:t>
      </w:r>
    </w:p>
    <w:p w14:paraId="7E5866F7">
      <w:pPr>
        <w:adjustRightInd w:val="0"/>
        <w:snapToGrid w:val="0"/>
        <w:spacing w:beforeLines="0" w:after="0" w:afterLines="0" w:line="360" w:lineRule="auto"/>
        <w:jc w:val="both"/>
        <w:rPr>
          <w:rFonts w:hint="default" w:ascii="Times New Roman" w:hAnsi="Times New Roman"/>
          <w:sz w:val="20"/>
          <w:szCs w:val="20"/>
        </w:rPr>
      </w:pPr>
    </w:p>
    <w:p w14:paraId="1B81A61B">
      <w:pPr>
        <w:adjustRightInd w:val="0"/>
        <w:snapToGrid w:val="0"/>
        <w:spacing w:beforeLines="0" w:after="0" w:afterLines="0" w:line="360" w:lineRule="auto"/>
        <w:jc w:val="both"/>
        <w:rPr>
          <w:rFonts w:hint="default" w:ascii="Times New Roman" w:hAnsi="Times New Roman"/>
          <w:b/>
          <w:color w:val="auto"/>
          <w:sz w:val="20"/>
          <w:szCs w:val="20"/>
        </w:rPr>
      </w:pPr>
      <w:r>
        <w:rPr>
          <w:rFonts w:hint="default" w:ascii="Times New Roman" w:hAnsi="Times New Roman"/>
          <w:b/>
          <w:color w:val="auto"/>
          <w:sz w:val="20"/>
          <w:szCs w:val="20"/>
        </w:rPr>
        <w:t>Figure S4. Supplementary evidence supporting functional coupling between CaSR and TRPV4 in HSCs.</w:t>
      </w:r>
    </w:p>
    <w:p w14:paraId="4C14959C">
      <w:pPr>
        <w:adjustRightInd w:val="0"/>
        <w:snapToGrid w:val="0"/>
        <w:spacing w:beforeLines="0" w:after="0" w:afterLines="0" w:line="360" w:lineRule="auto"/>
        <w:jc w:val="both"/>
        <w:rPr>
          <w:rFonts w:hint="default" w:ascii="Times New Roman" w:hAnsi="Times New Roman"/>
          <w:sz w:val="20"/>
          <w:szCs w:val="20"/>
        </w:rPr>
      </w:pPr>
      <w:r>
        <w:rPr>
          <w:rFonts w:hint="default" w:ascii="Times New Roman" w:hAnsi="Times New Roman"/>
          <w:sz w:val="20"/>
          <w:szCs w:val="20"/>
        </w:rPr>
        <w:t>(</w:t>
      </w:r>
      <w:r>
        <w:rPr>
          <w:rFonts w:hint="eastAsia" w:ascii="Times New Roman" w:hAnsi="Times New Roman"/>
          <w:sz w:val="20"/>
          <w:szCs w:val="20"/>
        </w:rPr>
        <w:t>A</w:t>
      </w:r>
      <w:r>
        <w:rPr>
          <w:rFonts w:hint="default" w:ascii="Times New Roman" w:hAnsi="Times New Roman"/>
          <w:sz w:val="20"/>
          <w:szCs w:val="20"/>
        </w:rPr>
        <w:t xml:space="preserve">) Inhibition of TRPV4 attenuates CaCl₂-mediated regulation of CaSR and α-SMA expression in activated LX-2 cells. </w:t>
      </w:r>
      <w:r>
        <w:rPr>
          <w:rFonts w:hint="default" w:ascii="Times New Roman" w:hAnsi="Times New Roman"/>
          <w:color w:val="auto"/>
          <w:sz w:val="20"/>
          <w:szCs w:val="20"/>
        </w:rPr>
        <w:t>(</w:t>
      </w:r>
      <w:r>
        <w:rPr>
          <w:rFonts w:hint="eastAsia" w:ascii="Times New Roman" w:hAnsi="Times New Roman"/>
          <w:color w:val="auto"/>
          <w:sz w:val="20"/>
          <w:szCs w:val="20"/>
        </w:rPr>
        <w:t>B</w:t>
      </w:r>
      <w:r>
        <w:rPr>
          <w:rFonts w:hint="default" w:ascii="Times New Roman" w:hAnsi="Times New Roman"/>
          <w:color w:val="auto"/>
          <w:sz w:val="20"/>
          <w:szCs w:val="20"/>
        </w:rPr>
        <w:t>-</w:t>
      </w:r>
      <w:r>
        <w:rPr>
          <w:rFonts w:hint="eastAsia" w:ascii="Times New Roman" w:hAnsi="Times New Roman"/>
          <w:color w:val="auto"/>
          <w:sz w:val="20"/>
          <w:szCs w:val="20"/>
        </w:rPr>
        <w:t>C</w:t>
      </w:r>
      <w:r>
        <w:rPr>
          <w:rFonts w:hint="default" w:ascii="Times New Roman" w:hAnsi="Times New Roman"/>
          <w:color w:val="auto"/>
          <w:sz w:val="20"/>
          <w:szCs w:val="20"/>
        </w:rPr>
        <w:t xml:space="preserve">) </w:t>
      </w:r>
      <w:r>
        <w:rPr>
          <w:rFonts w:hint="default" w:ascii="Times New Roman" w:hAnsi="Times New Roman"/>
          <w:sz w:val="20"/>
          <w:szCs w:val="20"/>
        </w:rPr>
        <w:t xml:space="preserve">Western blot and immunofluorescence analyses showing reduced TRPV4 and CaSR expression in activated LX-2 cells. </w:t>
      </w:r>
      <w:r>
        <w:rPr>
          <w:rFonts w:hint="default" w:ascii="Times New Roman" w:hAnsi="Times New Roman"/>
          <w:color w:val="000000"/>
          <w:sz w:val="20"/>
          <w:szCs w:val="20"/>
        </w:rPr>
        <w:t>(</w:t>
      </w:r>
      <w:r>
        <w:rPr>
          <w:rFonts w:hint="eastAsia" w:ascii="Times New Roman" w:hAnsi="Times New Roman"/>
          <w:color w:val="000000"/>
          <w:sz w:val="20"/>
          <w:szCs w:val="20"/>
        </w:rPr>
        <w:t>D</w:t>
      </w:r>
      <w:r>
        <w:rPr>
          <w:rFonts w:hint="default" w:ascii="Times New Roman" w:hAnsi="Times New Roman"/>
          <w:color w:val="000000"/>
          <w:sz w:val="20"/>
          <w:szCs w:val="20"/>
        </w:rPr>
        <w:t xml:space="preserve">) </w:t>
      </w:r>
      <w:r>
        <w:rPr>
          <w:rFonts w:hint="eastAsia" w:ascii="Times New Roman" w:hAnsi="Times New Roman"/>
          <w:color w:val="000000"/>
          <w:sz w:val="20"/>
          <w:szCs w:val="20"/>
        </w:rPr>
        <w:t>Co-immunoprecipitation analysis confirming interaction between CaSR and TRPV4 in activated LX-2 cells</w:t>
      </w:r>
      <w:r>
        <w:rPr>
          <w:rFonts w:hint="default" w:ascii="Times New Roman" w:hAnsi="Times New Roman"/>
          <w:color w:val="000000"/>
          <w:sz w:val="20"/>
          <w:szCs w:val="20"/>
        </w:rPr>
        <w:t>.</w:t>
      </w:r>
      <w:r>
        <w:rPr>
          <w:rFonts w:hint="default" w:ascii="Times New Roman" w:hAnsi="Times New Roman"/>
          <w:color w:val="FF0000"/>
          <w:sz w:val="20"/>
          <w:szCs w:val="20"/>
        </w:rPr>
        <w:t xml:space="preserve"> </w:t>
      </w:r>
      <w:r>
        <w:rPr>
          <w:rFonts w:hint="default" w:ascii="Times New Roman" w:hAnsi="Times New Roman"/>
          <w:color w:val="auto"/>
          <w:sz w:val="20"/>
          <w:szCs w:val="20"/>
        </w:rPr>
        <w:t>(</w:t>
      </w:r>
      <w:r>
        <w:rPr>
          <w:rFonts w:hint="eastAsia" w:ascii="Times New Roman" w:hAnsi="Times New Roman"/>
          <w:color w:val="auto"/>
          <w:sz w:val="20"/>
          <w:szCs w:val="20"/>
        </w:rPr>
        <w:t>E</w:t>
      </w:r>
      <w:r>
        <w:rPr>
          <w:rFonts w:hint="default" w:ascii="Times New Roman" w:hAnsi="Times New Roman"/>
          <w:color w:val="auto"/>
          <w:sz w:val="20"/>
          <w:szCs w:val="20"/>
        </w:rPr>
        <w:t xml:space="preserve">) </w:t>
      </w:r>
      <w:r>
        <w:rPr>
          <w:rFonts w:hint="eastAsia" w:ascii="Times New Roman" w:hAnsi="Times New Roman"/>
          <w:color w:val="auto"/>
          <w:sz w:val="20"/>
          <w:szCs w:val="20"/>
        </w:rPr>
        <w:t>Immunofluorescence co-localization analysis in LX-2 cells showing reduced membrane co-localization of CaSR and TRPV4 following HSC activation.</w:t>
      </w:r>
      <w:r>
        <w:rPr>
          <w:rFonts w:hint="default" w:ascii="Times New Roman" w:hAnsi="Times New Roman"/>
          <w:sz w:val="20"/>
          <w:szCs w:val="20"/>
        </w:rPr>
        <w:t>Data are presented as mean ± SD (n = 3-6). *</w:t>
      </w:r>
      <w:r>
        <w:rPr>
          <w:rFonts w:hint="default" w:ascii="Times New Roman" w:hAnsi="Times New Roman"/>
          <w:i/>
          <w:sz w:val="20"/>
          <w:szCs w:val="20"/>
        </w:rPr>
        <w:t>P</w:t>
      </w:r>
      <w:r>
        <w:rPr>
          <w:rFonts w:hint="default" w:ascii="Times New Roman" w:hAnsi="Times New Roman"/>
          <w:sz w:val="20"/>
          <w:szCs w:val="20"/>
        </w:rPr>
        <w:t>&lt; 0.05.</w:t>
      </w:r>
    </w:p>
    <w:p w14:paraId="1FA8CB42">
      <w:pPr>
        <w:adjustRightInd w:val="0"/>
        <w:snapToGrid w:val="0"/>
        <w:spacing w:beforeLines="0" w:after="0" w:afterLines="0" w:line="360" w:lineRule="auto"/>
        <w:jc w:val="both"/>
        <w:rPr>
          <w:rFonts w:hint="default" w:ascii="Times New Roman" w:hAnsi="Times New Roman"/>
          <w:sz w:val="20"/>
          <w:szCs w:val="20"/>
        </w:rPr>
      </w:pPr>
    </w:p>
    <w:p w14:paraId="6A07498C">
      <w:pPr>
        <w:adjustRightInd w:val="0"/>
        <w:snapToGrid w:val="0"/>
        <w:spacing w:beforeLines="0" w:after="0" w:afterLines="0" w:line="360" w:lineRule="auto"/>
        <w:jc w:val="both"/>
        <w:rPr>
          <w:rFonts w:hint="default" w:ascii="Times New Roman" w:hAnsi="Times New Roman"/>
          <w:b/>
          <w:color w:val="auto"/>
          <w:sz w:val="20"/>
          <w:szCs w:val="20"/>
        </w:rPr>
      </w:pPr>
      <w:r>
        <w:rPr>
          <w:rFonts w:hint="default" w:ascii="Times New Roman" w:hAnsi="Times New Roman"/>
          <w:b/>
          <w:color w:val="auto"/>
          <w:sz w:val="20"/>
          <w:szCs w:val="20"/>
        </w:rPr>
        <w:t>Figure S5. Supplementary evidence supporting the role of the CaSR–TRPV4 axis in apoptosis-related signaling in HSCs.</w:t>
      </w:r>
    </w:p>
    <w:p w14:paraId="02CD4F71">
      <w:pPr>
        <w:numPr>
          <w:ilvl w:val="0"/>
          <w:numId w:val="2"/>
        </w:numPr>
        <w:adjustRightInd w:val="0"/>
        <w:snapToGrid w:val="0"/>
        <w:spacing w:beforeLines="0" w:after="0" w:afterLines="0" w:line="360" w:lineRule="auto"/>
        <w:jc w:val="both"/>
        <w:rPr>
          <w:rFonts w:hint="default" w:ascii="Times New Roman" w:hAnsi="Times New Roman"/>
          <w:sz w:val="20"/>
          <w:szCs w:val="20"/>
        </w:rPr>
      </w:pPr>
      <w:r>
        <w:rPr>
          <w:rFonts w:hint="default" w:ascii="Times New Roman" w:hAnsi="Times New Roman"/>
          <w:sz w:val="20"/>
          <w:szCs w:val="20"/>
        </w:rPr>
        <w:t>Flow cytometric analysis of apoptosis in activated LX-2 cells following CaCl</w:t>
      </w:r>
      <w:r>
        <w:rPr>
          <w:rFonts w:hint="default" w:ascii="Times New Roman" w:hAnsi="Times New Roman"/>
          <w:sz w:val="20"/>
          <w:szCs w:val="20"/>
          <w:vertAlign w:val="subscript"/>
        </w:rPr>
        <w:t>2</w:t>
      </w:r>
      <w:r>
        <w:rPr>
          <w:rFonts w:hint="default" w:ascii="Times New Roman" w:hAnsi="Times New Roman"/>
          <w:sz w:val="20"/>
          <w:szCs w:val="20"/>
        </w:rPr>
        <w:t xml:space="preserve"> treatment. (B) Western blot analysis of Bax and Bcl-2 expression in activated LX-2 cells following CaCl</w:t>
      </w:r>
      <w:r>
        <w:rPr>
          <w:rFonts w:hint="default" w:ascii="Times New Roman" w:hAnsi="Times New Roman"/>
          <w:sz w:val="20"/>
          <w:szCs w:val="20"/>
          <w:vertAlign w:val="subscript"/>
        </w:rPr>
        <w:t>2</w:t>
      </w:r>
      <w:r>
        <w:rPr>
          <w:rFonts w:hint="default" w:ascii="Times New Roman" w:hAnsi="Times New Roman"/>
          <w:sz w:val="20"/>
          <w:szCs w:val="20"/>
        </w:rPr>
        <w:t xml:space="preserve"> treatment. (C) Inhibition of CaSR or TRPV4 attenuates CaCl₂-mediated regulation of apoptosis-related proteins in activated LX-2 cells. (D) Screening of PKC isoforms in activated </w:t>
      </w:r>
      <w:r>
        <w:rPr>
          <w:rFonts w:hint="eastAsia" w:ascii="Times New Roman" w:hAnsi="Times New Roman"/>
          <w:sz w:val="20"/>
          <w:szCs w:val="20"/>
        </w:rPr>
        <w:t>LX-2 cells</w:t>
      </w:r>
      <w:r>
        <w:rPr>
          <w:rFonts w:hint="default" w:ascii="Times New Roman" w:hAnsi="Times New Roman"/>
          <w:sz w:val="20"/>
          <w:szCs w:val="20"/>
        </w:rPr>
        <w:t xml:space="preserve"> identifies selective involvement of PKCα. (E) Inhibition of PKCα attenuates CaCl</w:t>
      </w:r>
      <w:r>
        <w:rPr>
          <w:rFonts w:hint="default" w:ascii="Times New Roman" w:hAnsi="Times New Roman"/>
          <w:sz w:val="20"/>
          <w:szCs w:val="20"/>
          <w:vertAlign w:val="subscript"/>
        </w:rPr>
        <w:t>2</w:t>
      </w:r>
      <w:r>
        <w:rPr>
          <w:rFonts w:hint="default" w:ascii="Times New Roman" w:hAnsi="Times New Roman"/>
          <w:sz w:val="20"/>
          <w:szCs w:val="20"/>
        </w:rPr>
        <w:t>-induced TRPV4 upregulation without affecting CaSR expression in LX-2 cells. (F) CaCl</w:t>
      </w:r>
      <w:r>
        <w:rPr>
          <w:rFonts w:hint="default" w:ascii="Times New Roman" w:hAnsi="Times New Roman"/>
          <w:sz w:val="20"/>
          <w:szCs w:val="20"/>
          <w:vertAlign w:val="subscript"/>
        </w:rPr>
        <w:t>2</w:t>
      </w:r>
      <w:r>
        <w:rPr>
          <w:rFonts w:hint="default" w:ascii="Times New Roman" w:hAnsi="Times New Roman"/>
          <w:sz w:val="20"/>
          <w:szCs w:val="20"/>
        </w:rPr>
        <w:t xml:space="preserve"> treatment increases intracellular ROS levels in activated </w:t>
      </w:r>
      <w:r>
        <w:rPr>
          <w:rFonts w:hint="eastAsia" w:ascii="Times New Roman" w:hAnsi="Times New Roman"/>
          <w:sz w:val="20"/>
          <w:szCs w:val="20"/>
        </w:rPr>
        <w:t>HSC</w:t>
      </w:r>
      <w:r>
        <w:rPr>
          <w:rFonts w:hint="default" w:ascii="Times New Roman" w:hAnsi="Times New Roman"/>
          <w:sz w:val="20"/>
          <w:szCs w:val="20"/>
        </w:rPr>
        <w:t>s.</w:t>
      </w:r>
      <w:r>
        <w:rPr>
          <w:rFonts w:hint="eastAsia" w:ascii="Times New Roman" w:hAnsi="Times New Roman"/>
          <w:sz w:val="20"/>
          <w:szCs w:val="20"/>
        </w:rPr>
        <w:t xml:space="preserve"> </w:t>
      </w:r>
      <w:r>
        <w:rPr>
          <w:rFonts w:hint="default" w:ascii="Times New Roman" w:hAnsi="Times New Roman"/>
          <w:sz w:val="20"/>
          <w:szCs w:val="20"/>
        </w:rPr>
        <w:t xml:space="preserve">(G-I) Activation of TRPV4 is associated with increased phosphorylation of JAK2, STAT3, and NF-κB p65, together with regulation of apoptosis-related proteins in activated </w:t>
      </w:r>
      <w:r>
        <w:rPr>
          <w:rFonts w:hint="eastAsia" w:ascii="Times New Roman" w:hAnsi="Times New Roman"/>
          <w:sz w:val="20"/>
          <w:szCs w:val="20"/>
        </w:rPr>
        <w:t>LX-2 cells</w:t>
      </w:r>
      <w:r>
        <w:rPr>
          <w:rFonts w:hint="default" w:ascii="Times New Roman" w:hAnsi="Times New Roman"/>
          <w:sz w:val="20"/>
          <w:szCs w:val="20"/>
        </w:rPr>
        <w:t>. Data are presented as mean ± SD (n = 3-6). *</w:t>
      </w:r>
      <w:r>
        <w:rPr>
          <w:rFonts w:hint="default" w:ascii="Times New Roman" w:hAnsi="Times New Roman"/>
          <w:i/>
          <w:sz w:val="20"/>
          <w:szCs w:val="20"/>
        </w:rPr>
        <w:t>P</w:t>
      </w:r>
      <w:r>
        <w:rPr>
          <w:rFonts w:hint="default" w:ascii="Times New Roman" w:hAnsi="Times New Roman"/>
          <w:sz w:val="20"/>
          <w:szCs w:val="20"/>
        </w:rPr>
        <w:t>&lt; 0.05.</w:t>
      </w:r>
    </w:p>
    <w:p w14:paraId="4DA334C7">
      <w:pPr>
        <w:adjustRightInd w:val="0"/>
        <w:snapToGrid w:val="0"/>
        <w:spacing w:after="0" w:line="360" w:lineRule="auto"/>
        <w:jc w:val="both"/>
        <w:rPr>
          <w:rFonts w:hint="default" w:ascii="Times New Roman" w:hAnsi="Times New Roman" w:cs="Times New Roman" w:eastAsiaTheme="minorEastAsia"/>
          <w:kern w:val="2"/>
          <w:sz w:val="20"/>
          <w:szCs w:val="20"/>
          <w:lang w:val="en-US" w:eastAsia="zh-CN" w:bidi="ar-SA"/>
          <w14:ligatures w14:val="standardContextual"/>
        </w:rPr>
      </w:pPr>
    </w:p>
    <w:p w14:paraId="6D1DBF19">
      <w:pPr>
        <w:adjustRightInd w:val="0"/>
        <w:snapToGrid w:val="0"/>
        <w:spacing w:after="0" w:line="360" w:lineRule="auto"/>
        <w:jc w:val="both"/>
        <w:rPr>
          <w:rFonts w:hint="default" w:ascii="Times New Roman" w:hAnsi="Times New Roman" w:cs="Times New Roman" w:eastAsiaTheme="minorEastAsia"/>
          <w:b/>
          <w:bCs/>
          <w:kern w:val="2"/>
          <w:sz w:val="20"/>
          <w:szCs w:val="20"/>
          <w:lang w:val="en-US" w:eastAsia="zh-CN" w:bidi="ar-SA"/>
          <w14:ligatures w14:val="standardContextual"/>
        </w:rPr>
      </w:pPr>
      <w:r>
        <w:rPr>
          <w:rFonts w:hint="default" w:ascii="Times New Roman" w:hAnsi="Times New Roman" w:cs="Times New Roman" w:eastAsiaTheme="minorEastAsia"/>
          <w:b/>
          <w:bCs/>
          <w:kern w:val="2"/>
          <w:sz w:val="20"/>
          <w:szCs w:val="20"/>
          <w:lang w:val="en-US" w:eastAsia="zh-CN" w:bidi="ar-SA"/>
          <w14:ligatures w14:val="standardContextual"/>
        </w:rPr>
        <w:t>Figure S1</w:t>
      </w:r>
    </w:p>
    <w:p w14:paraId="40577802">
      <w:pPr>
        <w:adjustRightInd w:val="0"/>
        <w:snapToGrid w:val="0"/>
        <w:spacing w:after="0" w:line="360" w:lineRule="auto"/>
        <w:jc w:val="both"/>
        <w:rPr>
          <w:rFonts w:hint="default" w:ascii="Times New Roman" w:hAnsi="Times New Roman" w:cs="Times New Roman" w:eastAsiaTheme="minorEastAsia"/>
          <w:b/>
          <w:bCs/>
          <w:kern w:val="2"/>
          <w:sz w:val="20"/>
          <w:szCs w:val="20"/>
          <w:lang w:val="en-US" w:eastAsia="zh-CN" w:bidi="ar-SA"/>
          <w14:ligatures w14:val="standardContextual"/>
        </w:rPr>
      </w:pPr>
    </w:p>
    <w:p w14:paraId="221C4D7F">
      <w:pPr>
        <w:adjustRightInd w:val="0"/>
        <w:snapToGrid w:val="0"/>
        <w:spacing w:after="0" w:line="360" w:lineRule="auto"/>
        <w:jc w:val="both"/>
        <w:rPr>
          <w:rFonts w:hint="default" w:ascii="Times New Roman" w:hAnsi="Times New Roman" w:cs="Times New Roman" w:eastAsiaTheme="minorEastAsia"/>
          <w:b/>
          <w:bCs/>
          <w:kern w:val="2"/>
          <w:sz w:val="20"/>
          <w:szCs w:val="20"/>
          <w:lang w:val="en-US" w:eastAsia="zh-CN" w:bidi="ar-SA"/>
          <w14:ligatures w14:val="standardContextual"/>
        </w:rPr>
      </w:pPr>
      <w:r>
        <w:rPr>
          <w:rFonts w:hint="default" w:ascii="Times New Roman" w:hAnsi="Times New Roman" w:cs="Times New Roman" w:eastAsiaTheme="minorEastAsia"/>
          <w:b/>
          <w:bCs/>
          <w:kern w:val="2"/>
          <w:sz w:val="20"/>
          <w:szCs w:val="20"/>
          <w:lang w:val="en-US" w:eastAsia="zh-CN" w:bidi="ar-SA"/>
          <w14:ligatures w14:val="standardContextual"/>
        </w:rPr>
        <w:drawing>
          <wp:inline distT="0" distB="0" distL="114300" distR="114300">
            <wp:extent cx="5268595" cy="1440180"/>
            <wp:effectExtent l="0" t="0" r="0" b="0"/>
            <wp:docPr id="1" name="图片 1" descr="附加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加图1"/>
                    <pic:cNvPicPr>
                      <a:picLocks noChangeAspect="1"/>
                    </pic:cNvPicPr>
                  </pic:nvPicPr>
                  <pic:blipFill>
                    <a:blip r:embed="rId6"/>
                    <a:srcRect b="7266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B8A4B">
      <w:pPr>
        <w:adjustRightInd w:val="0"/>
        <w:snapToGrid w:val="0"/>
        <w:spacing w:after="0" w:line="360" w:lineRule="auto"/>
        <w:jc w:val="both"/>
        <w:rPr>
          <w:rFonts w:hint="default" w:ascii="Times New Roman" w:hAnsi="Times New Roman" w:cs="Times New Roman" w:eastAsiaTheme="minorEastAsia"/>
          <w:b/>
          <w:bCs/>
          <w:kern w:val="2"/>
          <w:sz w:val="20"/>
          <w:szCs w:val="20"/>
          <w:lang w:val="en-US" w:eastAsia="zh-CN" w:bidi="ar-SA"/>
          <w14:ligatures w14:val="standardContextual"/>
        </w:rPr>
      </w:pPr>
    </w:p>
    <w:p w14:paraId="74A088C3">
      <w:pPr>
        <w:adjustRightInd w:val="0"/>
        <w:snapToGrid w:val="0"/>
        <w:spacing w:after="0" w:line="360" w:lineRule="auto"/>
        <w:jc w:val="both"/>
        <w:rPr>
          <w:rFonts w:hint="eastAsia" w:ascii="Times New Roman" w:hAnsi="Times New Roman" w:cs="Times New Roman"/>
          <w:b/>
          <w:bCs/>
          <w:kern w:val="2"/>
          <w:sz w:val="20"/>
          <w:szCs w:val="20"/>
          <w:lang w:val="en-US" w:eastAsia="zh-CN" w:bidi="ar-SA"/>
          <w14:ligatures w14:val="standardContextual"/>
        </w:rPr>
      </w:pPr>
      <w:r>
        <w:rPr>
          <w:rFonts w:hint="default" w:ascii="Times New Roman" w:hAnsi="Times New Roman" w:cs="Times New Roman" w:eastAsiaTheme="minorEastAsia"/>
          <w:b/>
          <w:bCs/>
          <w:kern w:val="2"/>
          <w:sz w:val="20"/>
          <w:szCs w:val="20"/>
          <w:lang w:val="en-US" w:eastAsia="zh-CN" w:bidi="ar-SA"/>
          <w14:ligatures w14:val="standardContextual"/>
        </w:rPr>
        <w:t>Figure S</w:t>
      </w:r>
      <w:r>
        <w:rPr>
          <w:rFonts w:hint="eastAsia" w:ascii="Times New Roman" w:hAnsi="Times New Roman" w:cs="Times New Roman"/>
          <w:b/>
          <w:bCs/>
          <w:kern w:val="2"/>
          <w:sz w:val="20"/>
          <w:szCs w:val="20"/>
          <w:lang w:val="en-US" w:eastAsia="zh-CN" w:bidi="ar-SA"/>
          <w14:ligatures w14:val="standardContextual"/>
        </w:rPr>
        <w:t>2</w:t>
      </w:r>
    </w:p>
    <w:p w14:paraId="36C5FCE8">
      <w:pPr>
        <w:adjustRightInd w:val="0"/>
        <w:snapToGrid w:val="0"/>
        <w:spacing w:after="0" w:line="360" w:lineRule="auto"/>
        <w:jc w:val="both"/>
        <w:rPr>
          <w:rFonts w:hint="default" w:ascii="Times New Roman" w:hAnsi="Times New Roman" w:cs="Times New Roman"/>
          <w:b/>
          <w:bCs/>
          <w:kern w:val="2"/>
          <w:sz w:val="20"/>
          <w:szCs w:val="20"/>
          <w:lang w:val="en-US" w:eastAsia="zh-CN" w:bidi="ar-SA"/>
          <w14:ligatures w14:val="standardContextual"/>
        </w:rPr>
      </w:pPr>
    </w:p>
    <w:p w14:paraId="2F784F9B">
      <w:pPr>
        <w:adjustRightInd w:val="0"/>
        <w:snapToGrid w:val="0"/>
        <w:spacing w:after="0" w:line="360" w:lineRule="auto"/>
        <w:jc w:val="both"/>
        <w:rPr>
          <w:rFonts w:hint="default" w:ascii="Times New Roman" w:hAnsi="Times New Roman" w:cs="Times New Roman"/>
          <w:b/>
          <w:bCs/>
          <w:kern w:val="2"/>
          <w:sz w:val="20"/>
          <w:szCs w:val="20"/>
          <w:lang w:val="en-US" w:eastAsia="zh-CN" w:bidi="ar-SA"/>
          <w14:ligatures w14:val="standardContextual"/>
        </w:rPr>
      </w:pPr>
      <w:r>
        <w:rPr>
          <w:rFonts w:hint="default" w:ascii="Times New Roman" w:hAnsi="Times New Roman" w:cs="Times New Roman"/>
          <w:b/>
          <w:bCs/>
          <w:kern w:val="2"/>
          <w:sz w:val="20"/>
          <w:szCs w:val="20"/>
          <w:lang w:val="en-US" w:eastAsia="zh-CN" w:bidi="ar-SA"/>
          <w14:ligatures w14:val="standardContextual"/>
        </w:rPr>
        <w:drawing>
          <wp:inline distT="0" distB="0" distL="114300" distR="114300">
            <wp:extent cx="5268595" cy="3507740"/>
            <wp:effectExtent l="0" t="0" r="1905" b="10160"/>
            <wp:docPr id="2" name="图片 2" descr="附加图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附加图-2"/>
                    <pic:cNvPicPr>
                      <a:picLocks noChangeAspect="1"/>
                    </pic:cNvPicPr>
                  </pic:nvPicPr>
                  <pic:blipFill>
                    <a:blip r:embed="rId7"/>
                    <a:srcRect b="33422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50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85C4A">
      <w:pPr>
        <w:adjustRightInd w:val="0"/>
        <w:snapToGrid w:val="0"/>
        <w:spacing w:after="0" w:line="360" w:lineRule="auto"/>
        <w:jc w:val="both"/>
        <w:rPr>
          <w:rFonts w:hint="default" w:ascii="Times New Roman" w:hAnsi="Times New Roman" w:cs="Times New Roman"/>
          <w:b/>
          <w:bCs/>
          <w:kern w:val="2"/>
          <w:sz w:val="20"/>
          <w:szCs w:val="20"/>
          <w:lang w:val="en-US" w:eastAsia="zh-CN" w:bidi="ar-SA"/>
          <w14:ligatures w14:val="standardContextual"/>
        </w:rPr>
      </w:pPr>
    </w:p>
    <w:p w14:paraId="2607F383">
      <w:pPr>
        <w:adjustRightInd w:val="0"/>
        <w:snapToGrid w:val="0"/>
        <w:spacing w:after="0" w:line="360" w:lineRule="auto"/>
        <w:jc w:val="both"/>
        <w:rPr>
          <w:rFonts w:hint="default" w:ascii="Times New Roman" w:hAnsi="Times New Roman" w:cs="Times New Roman"/>
          <w:b/>
          <w:bCs/>
          <w:kern w:val="2"/>
          <w:sz w:val="20"/>
          <w:szCs w:val="20"/>
          <w:lang w:val="en-US" w:eastAsia="zh-CN" w:bidi="ar-SA"/>
          <w14:ligatures w14:val="standardContextual"/>
        </w:rPr>
      </w:pPr>
    </w:p>
    <w:p w14:paraId="4C16B78E">
      <w:pPr>
        <w:adjustRightInd w:val="0"/>
        <w:snapToGrid w:val="0"/>
        <w:spacing w:after="0" w:line="360" w:lineRule="auto"/>
        <w:jc w:val="both"/>
        <w:rPr>
          <w:rFonts w:hint="default" w:ascii="Times New Roman" w:hAnsi="Times New Roman" w:cs="Times New Roman"/>
          <w:b/>
          <w:bCs/>
          <w:kern w:val="2"/>
          <w:sz w:val="20"/>
          <w:szCs w:val="20"/>
          <w:lang w:val="en-US" w:eastAsia="zh-CN" w:bidi="ar-SA"/>
          <w14:ligatures w14:val="standardContextual"/>
        </w:rPr>
      </w:pPr>
    </w:p>
    <w:p w14:paraId="17F166DF">
      <w:pPr>
        <w:adjustRightInd w:val="0"/>
        <w:snapToGrid w:val="0"/>
        <w:spacing w:after="0" w:line="360" w:lineRule="auto"/>
        <w:jc w:val="both"/>
        <w:rPr>
          <w:rFonts w:hint="default" w:ascii="Times New Roman" w:hAnsi="Times New Roman" w:cs="Times New Roman"/>
          <w:b/>
          <w:bCs/>
          <w:kern w:val="2"/>
          <w:sz w:val="20"/>
          <w:szCs w:val="20"/>
          <w:lang w:val="en-US" w:eastAsia="zh-CN" w:bidi="ar-SA"/>
          <w14:ligatures w14:val="standardContextual"/>
        </w:rPr>
      </w:pPr>
    </w:p>
    <w:p w14:paraId="2B1774B0">
      <w:pPr>
        <w:adjustRightInd w:val="0"/>
        <w:snapToGrid w:val="0"/>
        <w:spacing w:after="0" w:line="360" w:lineRule="auto"/>
        <w:jc w:val="both"/>
        <w:rPr>
          <w:rFonts w:hint="default" w:ascii="Times New Roman" w:hAnsi="Times New Roman" w:cs="Times New Roman"/>
          <w:b/>
          <w:bCs/>
          <w:kern w:val="2"/>
          <w:sz w:val="20"/>
          <w:szCs w:val="20"/>
          <w:lang w:val="en-US" w:eastAsia="zh-CN" w:bidi="ar-SA"/>
          <w14:ligatures w14:val="standardContextual"/>
        </w:rPr>
      </w:pPr>
    </w:p>
    <w:p w14:paraId="60AB1DAB">
      <w:pPr>
        <w:adjustRightInd w:val="0"/>
        <w:snapToGrid w:val="0"/>
        <w:spacing w:after="0" w:line="360" w:lineRule="auto"/>
        <w:jc w:val="both"/>
        <w:rPr>
          <w:rFonts w:hint="default" w:ascii="Times New Roman" w:hAnsi="Times New Roman" w:cs="Times New Roman"/>
          <w:b/>
          <w:bCs/>
          <w:kern w:val="2"/>
          <w:sz w:val="20"/>
          <w:szCs w:val="20"/>
          <w:lang w:val="en-US" w:eastAsia="zh-CN" w:bidi="ar-SA"/>
          <w14:ligatures w14:val="standardContextual"/>
        </w:rPr>
      </w:pPr>
    </w:p>
    <w:p w14:paraId="28493790">
      <w:pPr>
        <w:adjustRightInd w:val="0"/>
        <w:snapToGrid w:val="0"/>
        <w:spacing w:after="0" w:line="360" w:lineRule="auto"/>
        <w:jc w:val="both"/>
        <w:rPr>
          <w:rFonts w:hint="default" w:ascii="Times New Roman" w:hAnsi="Times New Roman" w:cs="Times New Roman"/>
          <w:b/>
          <w:bCs/>
          <w:kern w:val="2"/>
          <w:sz w:val="20"/>
          <w:szCs w:val="20"/>
          <w:lang w:val="en-US" w:eastAsia="zh-CN" w:bidi="ar-SA"/>
          <w14:ligatures w14:val="standardContextual"/>
        </w:rPr>
      </w:pPr>
    </w:p>
    <w:p w14:paraId="5A1FC143">
      <w:pPr>
        <w:adjustRightInd w:val="0"/>
        <w:snapToGrid w:val="0"/>
        <w:spacing w:after="0" w:line="360" w:lineRule="auto"/>
        <w:jc w:val="both"/>
        <w:rPr>
          <w:rFonts w:hint="default" w:ascii="Times New Roman" w:hAnsi="Times New Roman" w:cs="Times New Roman"/>
          <w:b/>
          <w:bCs/>
          <w:kern w:val="2"/>
          <w:sz w:val="20"/>
          <w:szCs w:val="20"/>
          <w:lang w:val="en-US" w:eastAsia="zh-CN" w:bidi="ar-SA"/>
          <w14:ligatures w14:val="standardContextual"/>
        </w:rPr>
      </w:pPr>
    </w:p>
    <w:p w14:paraId="5DFD88F3">
      <w:pPr>
        <w:adjustRightInd w:val="0"/>
        <w:snapToGrid w:val="0"/>
        <w:spacing w:after="0" w:line="360" w:lineRule="auto"/>
        <w:jc w:val="both"/>
        <w:rPr>
          <w:rFonts w:hint="default" w:ascii="Times New Roman" w:hAnsi="Times New Roman" w:cs="Times New Roman"/>
          <w:b/>
          <w:bCs/>
          <w:kern w:val="2"/>
          <w:sz w:val="20"/>
          <w:szCs w:val="20"/>
          <w:lang w:val="en-US" w:eastAsia="zh-CN" w:bidi="ar-SA"/>
          <w14:ligatures w14:val="standardContextual"/>
        </w:rPr>
      </w:pPr>
    </w:p>
    <w:p w14:paraId="77BFD847">
      <w:pPr>
        <w:adjustRightInd w:val="0"/>
        <w:snapToGrid w:val="0"/>
        <w:spacing w:after="0" w:line="360" w:lineRule="auto"/>
        <w:jc w:val="both"/>
        <w:rPr>
          <w:rFonts w:hint="default" w:ascii="Times New Roman" w:hAnsi="Times New Roman" w:cs="Times New Roman"/>
          <w:b/>
          <w:bCs/>
          <w:kern w:val="2"/>
          <w:sz w:val="20"/>
          <w:szCs w:val="20"/>
          <w:lang w:val="en-US" w:eastAsia="zh-CN" w:bidi="ar-SA"/>
          <w14:ligatures w14:val="standardContextual"/>
        </w:rPr>
      </w:pPr>
      <w:r>
        <w:rPr>
          <w:rFonts w:hint="default" w:ascii="Times New Roman" w:hAnsi="Times New Roman" w:cs="Times New Roman"/>
          <w:b/>
          <w:bCs/>
          <w:kern w:val="2"/>
          <w:sz w:val="20"/>
          <w:szCs w:val="20"/>
          <w:lang w:val="en-US" w:eastAsia="zh-CN" w:bidi="ar-SA"/>
          <w14:ligatures w14:val="standardContextual"/>
        </w:rPr>
        <w:t>Figure S3</w:t>
      </w:r>
    </w:p>
    <w:p w14:paraId="2348A194">
      <w:pPr>
        <w:adjustRightInd w:val="0"/>
        <w:snapToGrid w:val="0"/>
        <w:spacing w:after="0" w:line="360" w:lineRule="auto"/>
        <w:jc w:val="both"/>
        <w:rPr>
          <w:rFonts w:hint="default" w:ascii="Times New Roman" w:hAnsi="Times New Roman" w:cs="Times New Roman"/>
          <w:b/>
          <w:bCs/>
          <w:kern w:val="2"/>
          <w:sz w:val="20"/>
          <w:szCs w:val="20"/>
          <w:lang w:val="en-US" w:eastAsia="zh-CN" w:bidi="ar-SA"/>
          <w14:ligatures w14:val="standardContextual"/>
        </w:rPr>
      </w:pPr>
      <w:r>
        <w:rPr>
          <w:rFonts w:hint="default" w:ascii="Times New Roman" w:hAnsi="Times New Roman" w:cs="Times New Roman"/>
          <w:b/>
          <w:bCs/>
          <w:kern w:val="2"/>
          <w:sz w:val="20"/>
          <w:szCs w:val="20"/>
          <w:lang w:val="en-US" w:eastAsia="zh-CN" w:bidi="ar-SA"/>
          <w14:ligatures w14:val="standardContextual"/>
        </w:rPr>
        <w:drawing>
          <wp:inline distT="0" distB="0" distL="114300" distR="114300">
            <wp:extent cx="5268595" cy="4541520"/>
            <wp:effectExtent l="0" t="0" r="0" b="0"/>
            <wp:docPr id="3" name="图片 3" descr="附加图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附加图3"/>
                    <pic:cNvPicPr>
                      <a:picLocks noChangeAspect="1"/>
                    </pic:cNvPicPr>
                  </pic:nvPicPr>
                  <pic:blipFill>
                    <a:blip r:embed="rId8"/>
                    <a:srcRect b="1380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54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98E651">
      <w:pPr>
        <w:adjustRightInd w:val="0"/>
        <w:snapToGrid w:val="0"/>
        <w:spacing w:after="0" w:line="360" w:lineRule="auto"/>
        <w:jc w:val="both"/>
        <w:rPr>
          <w:rFonts w:hint="default" w:ascii="Times New Roman" w:hAnsi="Times New Roman" w:cs="Times New Roman"/>
          <w:b/>
          <w:bCs/>
          <w:kern w:val="2"/>
          <w:sz w:val="20"/>
          <w:szCs w:val="20"/>
          <w:lang w:val="en-US" w:eastAsia="zh-CN" w:bidi="ar-SA"/>
          <w14:ligatures w14:val="standardContextual"/>
        </w:rPr>
      </w:pPr>
    </w:p>
    <w:p w14:paraId="3E07501A">
      <w:pPr>
        <w:adjustRightInd w:val="0"/>
        <w:snapToGrid w:val="0"/>
        <w:spacing w:after="0" w:line="360" w:lineRule="auto"/>
        <w:jc w:val="both"/>
        <w:rPr>
          <w:rFonts w:hint="eastAsia" w:ascii="Times New Roman" w:hAnsi="Times New Roman" w:cs="Times New Roman"/>
          <w:b/>
          <w:bCs/>
          <w:kern w:val="2"/>
          <w:sz w:val="20"/>
          <w:szCs w:val="20"/>
          <w:lang w:val="en-US" w:eastAsia="zh-CN" w:bidi="ar-SA"/>
          <w14:ligatures w14:val="standardContextual"/>
        </w:rPr>
      </w:pPr>
      <w:r>
        <w:rPr>
          <w:rFonts w:hint="default" w:ascii="Times New Roman" w:hAnsi="Times New Roman" w:cs="Times New Roman"/>
          <w:b/>
          <w:bCs/>
          <w:kern w:val="2"/>
          <w:sz w:val="20"/>
          <w:szCs w:val="20"/>
          <w:lang w:val="en-US" w:eastAsia="zh-CN" w:bidi="ar-SA"/>
          <w14:ligatures w14:val="standardContextual"/>
        </w:rPr>
        <w:t>Figure S</w:t>
      </w:r>
      <w:r>
        <w:rPr>
          <w:rFonts w:hint="eastAsia" w:ascii="Times New Roman" w:hAnsi="Times New Roman" w:cs="Times New Roman"/>
          <w:b/>
          <w:bCs/>
          <w:kern w:val="2"/>
          <w:sz w:val="20"/>
          <w:szCs w:val="20"/>
          <w:lang w:val="en-US" w:eastAsia="zh-CN" w:bidi="ar-SA"/>
          <w14:ligatures w14:val="standardContextual"/>
        </w:rPr>
        <w:t>4</w:t>
      </w:r>
    </w:p>
    <w:p w14:paraId="1915F117">
      <w:pPr>
        <w:adjustRightInd w:val="0"/>
        <w:snapToGrid w:val="0"/>
        <w:spacing w:after="0" w:line="360" w:lineRule="auto"/>
        <w:jc w:val="both"/>
        <w:rPr>
          <w:rFonts w:hint="default" w:ascii="Times New Roman" w:hAnsi="Times New Roman" w:cs="Times New Roman"/>
          <w:b/>
          <w:bCs/>
          <w:kern w:val="2"/>
          <w:sz w:val="20"/>
          <w:szCs w:val="20"/>
          <w:lang w:val="en-US" w:eastAsia="zh-CN" w:bidi="ar-SA"/>
          <w14:ligatures w14:val="standardContextual"/>
        </w:rPr>
      </w:pPr>
      <w:r>
        <w:rPr>
          <w:rFonts w:hint="default" w:ascii="Times New Roman" w:hAnsi="Times New Roman" w:cs="Times New Roman"/>
          <w:b/>
          <w:bCs/>
          <w:kern w:val="2"/>
          <w:sz w:val="20"/>
          <w:szCs w:val="20"/>
          <w:lang w:val="en-US" w:eastAsia="zh-CN" w:bidi="ar-SA"/>
          <w14:ligatures w14:val="standardContextual"/>
        </w:rPr>
        <w:drawing>
          <wp:inline distT="0" distB="0" distL="114300" distR="114300">
            <wp:extent cx="5268595" cy="3417570"/>
            <wp:effectExtent l="0" t="0" r="0" b="0"/>
            <wp:docPr id="4" name="图片 4" descr="附加图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附加图4"/>
                    <pic:cNvPicPr>
                      <a:picLocks noChangeAspect="1"/>
                    </pic:cNvPicPr>
                  </pic:nvPicPr>
                  <pic:blipFill>
                    <a:blip r:embed="rId9"/>
                    <a:srcRect b="4233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41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D6FF9">
      <w:pPr>
        <w:adjustRightInd w:val="0"/>
        <w:snapToGrid w:val="0"/>
        <w:spacing w:after="0" w:line="360" w:lineRule="auto"/>
        <w:jc w:val="both"/>
        <w:rPr>
          <w:rFonts w:hint="default" w:ascii="Times New Roman" w:hAnsi="Times New Roman" w:cs="Times New Roman"/>
          <w:b/>
          <w:bCs/>
          <w:kern w:val="2"/>
          <w:sz w:val="20"/>
          <w:szCs w:val="20"/>
          <w:lang w:val="en-US" w:eastAsia="zh-CN" w:bidi="ar-SA"/>
          <w14:ligatures w14:val="standardContextual"/>
        </w:rPr>
      </w:pPr>
      <w:r>
        <w:rPr>
          <w:rFonts w:hint="default" w:ascii="Times New Roman" w:hAnsi="Times New Roman" w:cs="Times New Roman"/>
          <w:b/>
          <w:bCs/>
          <w:kern w:val="2"/>
          <w:sz w:val="20"/>
          <w:szCs w:val="20"/>
          <w:lang w:val="en-US" w:eastAsia="zh-CN" w:bidi="ar-SA"/>
          <w14:ligatures w14:val="standardContextual"/>
        </w:rPr>
        <w:t>Figure S4</w:t>
      </w:r>
    </w:p>
    <w:p w14:paraId="722B6D6C">
      <w:pPr>
        <w:adjustRightInd w:val="0"/>
        <w:snapToGrid w:val="0"/>
        <w:spacing w:after="0" w:line="360" w:lineRule="auto"/>
        <w:jc w:val="both"/>
        <w:rPr>
          <w:rFonts w:hint="default" w:ascii="Times New Roman" w:hAnsi="Times New Roman" w:cs="Times New Roman"/>
          <w:b/>
          <w:bCs/>
          <w:kern w:val="2"/>
          <w:sz w:val="20"/>
          <w:szCs w:val="20"/>
          <w:lang w:val="en-US" w:eastAsia="zh-CN" w:bidi="ar-SA"/>
          <w14:ligatures w14:val="standardContextual"/>
        </w:rPr>
      </w:pPr>
      <w:r>
        <w:rPr>
          <w:rFonts w:hint="default" w:ascii="Times New Roman" w:hAnsi="Times New Roman" w:cs="Times New Roman"/>
          <w:b/>
          <w:bCs/>
          <w:kern w:val="2"/>
          <w:sz w:val="20"/>
          <w:szCs w:val="20"/>
          <w:lang w:val="en-US" w:eastAsia="zh-CN" w:bidi="ar-SA"/>
          <w14:ligatures w14:val="standardContextual"/>
        </w:rPr>
        <w:drawing>
          <wp:inline distT="0" distB="0" distL="114300" distR="114300">
            <wp:extent cx="5264785" cy="6799580"/>
            <wp:effectExtent l="0" t="0" r="0" b="0"/>
            <wp:docPr id="5" name="图片 5" descr="附加图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附加图5"/>
                    <pic:cNvPicPr>
                      <a:picLocks noChangeAspect="1"/>
                    </pic:cNvPicPr>
                  </pic:nvPicPr>
                  <pic:blipFill>
                    <a:blip r:embed="rId10"/>
                    <a:srcRect b="7753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6799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5BD01D"/>
    <w:multiLevelType w:val="multilevel"/>
    <w:tmpl w:val="825BD01D"/>
    <w:lvl w:ilvl="0" w:tentative="0">
      <w:start w:val="1"/>
      <w:numFmt w:val="upperLetter"/>
      <w:suff w:val="space"/>
      <w:lvlText w:val="(%1)"/>
      <w:lvlJc w:val="left"/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1">
    <w:nsid w:val="7FBF5AE4"/>
    <w:multiLevelType w:val="multilevel"/>
    <w:tmpl w:val="7FBF5AE4"/>
    <w:lvl w:ilvl="0" w:tentative="0">
      <w:start w:val="1"/>
      <w:numFmt w:val="upperLetter"/>
      <w:suff w:val="space"/>
      <w:lvlText w:val="(%1)"/>
      <w:lvlJc w:val="left"/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0MzY2NTIzM7QwMzZX0lEKTi0uzszPAykwrQUA2igWhiwAAAA="/>
  </w:docVars>
  <w:rsids>
    <w:rsidRoot w:val="00172A27"/>
    <w:rsid w:val="0001628C"/>
    <w:rsid w:val="00034784"/>
    <w:rsid w:val="00075AD3"/>
    <w:rsid w:val="00092E2A"/>
    <w:rsid w:val="000D7CD2"/>
    <w:rsid w:val="000F159E"/>
    <w:rsid w:val="00161B36"/>
    <w:rsid w:val="00173A80"/>
    <w:rsid w:val="00193E4F"/>
    <w:rsid w:val="001E13C3"/>
    <w:rsid w:val="0021271A"/>
    <w:rsid w:val="00213C99"/>
    <w:rsid w:val="002871A7"/>
    <w:rsid w:val="002D24FE"/>
    <w:rsid w:val="002E09C2"/>
    <w:rsid w:val="00323CB3"/>
    <w:rsid w:val="0036083A"/>
    <w:rsid w:val="00363B95"/>
    <w:rsid w:val="003A340B"/>
    <w:rsid w:val="003D028D"/>
    <w:rsid w:val="003F04CF"/>
    <w:rsid w:val="003F40D3"/>
    <w:rsid w:val="00476F46"/>
    <w:rsid w:val="004F4E93"/>
    <w:rsid w:val="0052505D"/>
    <w:rsid w:val="0056572A"/>
    <w:rsid w:val="00571515"/>
    <w:rsid w:val="005835D3"/>
    <w:rsid w:val="005E1FE2"/>
    <w:rsid w:val="00685C32"/>
    <w:rsid w:val="00696CEA"/>
    <w:rsid w:val="006C4C20"/>
    <w:rsid w:val="006C631B"/>
    <w:rsid w:val="0072016E"/>
    <w:rsid w:val="00756089"/>
    <w:rsid w:val="00776C3F"/>
    <w:rsid w:val="007B6A4D"/>
    <w:rsid w:val="00800DAB"/>
    <w:rsid w:val="00802EEA"/>
    <w:rsid w:val="00833353"/>
    <w:rsid w:val="0087538D"/>
    <w:rsid w:val="00875C9D"/>
    <w:rsid w:val="008952BF"/>
    <w:rsid w:val="009343D8"/>
    <w:rsid w:val="00945071"/>
    <w:rsid w:val="009474D3"/>
    <w:rsid w:val="0095253E"/>
    <w:rsid w:val="00A05B20"/>
    <w:rsid w:val="00A22945"/>
    <w:rsid w:val="00A2731E"/>
    <w:rsid w:val="00AA2B0E"/>
    <w:rsid w:val="00AE059B"/>
    <w:rsid w:val="00AE05BE"/>
    <w:rsid w:val="00B72A46"/>
    <w:rsid w:val="00B85E27"/>
    <w:rsid w:val="00B97C5B"/>
    <w:rsid w:val="00C25361"/>
    <w:rsid w:val="00C43468"/>
    <w:rsid w:val="00C96FD6"/>
    <w:rsid w:val="00CE633A"/>
    <w:rsid w:val="00D14D28"/>
    <w:rsid w:val="00D46056"/>
    <w:rsid w:val="00D601A3"/>
    <w:rsid w:val="00D96CFB"/>
    <w:rsid w:val="00DB7722"/>
    <w:rsid w:val="00E06D17"/>
    <w:rsid w:val="00E805E7"/>
    <w:rsid w:val="00EA409C"/>
    <w:rsid w:val="00EA4C77"/>
    <w:rsid w:val="00F52EB9"/>
    <w:rsid w:val="00F95AA4"/>
    <w:rsid w:val="00FA6812"/>
    <w:rsid w:val="00FC0677"/>
    <w:rsid w:val="0138298D"/>
    <w:rsid w:val="01C04651"/>
    <w:rsid w:val="029F6E0D"/>
    <w:rsid w:val="02E01C47"/>
    <w:rsid w:val="03656656"/>
    <w:rsid w:val="038D0E84"/>
    <w:rsid w:val="03B46C2F"/>
    <w:rsid w:val="03C73DFE"/>
    <w:rsid w:val="03F1736A"/>
    <w:rsid w:val="03F31A3D"/>
    <w:rsid w:val="040A201A"/>
    <w:rsid w:val="041C5514"/>
    <w:rsid w:val="04341630"/>
    <w:rsid w:val="04394B6B"/>
    <w:rsid w:val="04A76D7B"/>
    <w:rsid w:val="05017C52"/>
    <w:rsid w:val="059E36F3"/>
    <w:rsid w:val="05C11476"/>
    <w:rsid w:val="05D1329F"/>
    <w:rsid w:val="065516E9"/>
    <w:rsid w:val="06826B71"/>
    <w:rsid w:val="071B4B75"/>
    <w:rsid w:val="076A271C"/>
    <w:rsid w:val="076F49C2"/>
    <w:rsid w:val="07AA5FE8"/>
    <w:rsid w:val="081E5658"/>
    <w:rsid w:val="08446740"/>
    <w:rsid w:val="089716ED"/>
    <w:rsid w:val="08B77EDC"/>
    <w:rsid w:val="08C37F77"/>
    <w:rsid w:val="09004F4F"/>
    <w:rsid w:val="096D3B08"/>
    <w:rsid w:val="0A2C1D60"/>
    <w:rsid w:val="0A402FCB"/>
    <w:rsid w:val="0A8173B3"/>
    <w:rsid w:val="0A83110A"/>
    <w:rsid w:val="0AD50AEB"/>
    <w:rsid w:val="0B865483"/>
    <w:rsid w:val="0BB93035"/>
    <w:rsid w:val="0BE16BD2"/>
    <w:rsid w:val="0C6962A6"/>
    <w:rsid w:val="0CA708E5"/>
    <w:rsid w:val="0E0117B5"/>
    <w:rsid w:val="0E4D215A"/>
    <w:rsid w:val="0E625C06"/>
    <w:rsid w:val="0F3E2F03"/>
    <w:rsid w:val="10864E08"/>
    <w:rsid w:val="10C81F96"/>
    <w:rsid w:val="11956369"/>
    <w:rsid w:val="11D8582F"/>
    <w:rsid w:val="124651D8"/>
    <w:rsid w:val="134E393E"/>
    <w:rsid w:val="13890211"/>
    <w:rsid w:val="139879D4"/>
    <w:rsid w:val="13D07DE5"/>
    <w:rsid w:val="149F7734"/>
    <w:rsid w:val="150F0169"/>
    <w:rsid w:val="154047C7"/>
    <w:rsid w:val="157750CB"/>
    <w:rsid w:val="1585617B"/>
    <w:rsid w:val="15AA002D"/>
    <w:rsid w:val="16201F02"/>
    <w:rsid w:val="168246A1"/>
    <w:rsid w:val="16F70EB5"/>
    <w:rsid w:val="16FA40CC"/>
    <w:rsid w:val="17A705CD"/>
    <w:rsid w:val="17C61124"/>
    <w:rsid w:val="1802043D"/>
    <w:rsid w:val="184416FE"/>
    <w:rsid w:val="18B93547"/>
    <w:rsid w:val="18E82CD9"/>
    <w:rsid w:val="18FA29E9"/>
    <w:rsid w:val="197762DD"/>
    <w:rsid w:val="19D025E6"/>
    <w:rsid w:val="1A4D0051"/>
    <w:rsid w:val="1B5216CA"/>
    <w:rsid w:val="1B5508A0"/>
    <w:rsid w:val="1B937A0D"/>
    <w:rsid w:val="1B990341"/>
    <w:rsid w:val="1C346708"/>
    <w:rsid w:val="1CA12961"/>
    <w:rsid w:val="1D052138"/>
    <w:rsid w:val="1D354F02"/>
    <w:rsid w:val="1D4D182F"/>
    <w:rsid w:val="1DB554CB"/>
    <w:rsid w:val="1DC57AA3"/>
    <w:rsid w:val="1E517D0F"/>
    <w:rsid w:val="1E597967"/>
    <w:rsid w:val="1E735D4A"/>
    <w:rsid w:val="1E9D566D"/>
    <w:rsid w:val="1EBC7EF7"/>
    <w:rsid w:val="1F02587B"/>
    <w:rsid w:val="1F2622CA"/>
    <w:rsid w:val="1F475CC9"/>
    <w:rsid w:val="208D0A44"/>
    <w:rsid w:val="20B031B7"/>
    <w:rsid w:val="20E06E5E"/>
    <w:rsid w:val="210B3A12"/>
    <w:rsid w:val="210C37AF"/>
    <w:rsid w:val="21996880"/>
    <w:rsid w:val="21C6111D"/>
    <w:rsid w:val="22276955"/>
    <w:rsid w:val="227B0BEC"/>
    <w:rsid w:val="23560544"/>
    <w:rsid w:val="235A46FB"/>
    <w:rsid w:val="23B516DD"/>
    <w:rsid w:val="23D6002D"/>
    <w:rsid w:val="24457704"/>
    <w:rsid w:val="245E4322"/>
    <w:rsid w:val="24614566"/>
    <w:rsid w:val="250B29A8"/>
    <w:rsid w:val="25154893"/>
    <w:rsid w:val="2530657B"/>
    <w:rsid w:val="26D218A8"/>
    <w:rsid w:val="272A0AD1"/>
    <w:rsid w:val="276E0D20"/>
    <w:rsid w:val="277678A2"/>
    <w:rsid w:val="27912539"/>
    <w:rsid w:val="27EF39AB"/>
    <w:rsid w:val="28A74A64"/>
    <w:rsid w:val="293C1ADF"/>
    <w:rsid w:val="29820AB2"/>
    <w:rsid w:val="2A426219"/>
    <w:rsid w:val="2AA87F4C"/>
    <w:rsid w:val="2ADA0E92"/>
    <w:rsid w:val="2B0B2D29"/>
    <w:rsid w:val="2B6C00A7"/>
    <w:rsid w:val="2B811D52"/>
    <w:rsid w:val="2C3C7A0F"/>
    <w:rsid w:val="2C7768C8"/>
    <w:rsid w:val="2C8F6D44"/>
    <w:rsid w:val="2D0451F9"/>
    <w:rsid w:val="2F7E7A5E"/>
    <w:rsid w:val="305E3BE9"/>
    <w:rsid w:val="307774AD"/>
    <w:rsid w:val="308D392E"/>
    <w:rsid w:val="30F537B2"/>
    <w:rsid w:val="3264344B"/>
    <w:rsid w:val="332A6D30"/>
    <w:rsid w:val="340260B7"/>
    <w:rsid w:val="351F23C7"/>
    <w:rsid w:val="352B46F4"/>
    <w:rsid w:val="359E6C74"/>
    <w:rsid w:val="3621101C"/>
    <w:rsid w:val="3692525E"/>
    <w:rsid w:val="37A52B76"/>
    <w:rsid w:val="381336B6"/>
    <w:rsid w:val="386F45D3"/>
    <w:rsid w:val="38EF7596"/>
    <w:rsid w:val="39124B41"/>
    <w:rsid w:val="3B467EF4"/>
    <w:rsid w:val="3B4C2C47"/>
    <w:rsid w:val="3B620744"/>
    <w:rsid w:val="3BEF5199"/>
    <w:rsid w:val="3C6D2EA2"/>
    <w:rsid w:val="3C7C70D7"/>
    <w:rsid w:val="3C8F6774"/>
    <w:rsid w:val="3CA8487C"/>
    <w:rsid w:val="3D320A93"/>
    <w:rsid w:val="3D3F5CBB"/>
    <w:rsid w:val="3D947C07"/>
    <w:rsid w:val="3DB7417D"/>
    <w:rsid w:val="3EAC2095"/>
    <w:rsid w:val="3ED0233C"/>
    <w:rsid w:val="3F1D12DC"/>
    <w:rsid w:val="3F4940F4"/>
    <w:rsid w:val="3FBB69F6"/>
    <w:rsid w:val="40583EC3"/>
    <w:rsid w:val="4072225E"/>
    <w:rsid w:val="40AE6C10"/>
    <w:rsid w:val="40C2253B"/>
    <w:rsid w:val="410A6089"/>
    <w:rsid w:val="418D5641"/>
    <w:rsid w:val="418F6027"/>
    <w:rsid w:val="421B164C"/>
    <w:rsid w:val="42613503"/>
    <w:rsid w:val="42DF08CC"/>
    <w:rsid w:val="432A4CBD"/>
    <w:rsid w:val="44AA24F0"/>
    <w:rsid w:val="44BF2763"/>
    <w:rsid w:val="45B47F84"/>
    <w:rsid w:val="45E75DBC"/>
    <w:rsid w:val="471F3E1D"/>
    <w:rsid w:val="478B5BE9"/>
    <w:rsid w:val="48C20748"/>
    <w:rsid w:val="49566C12"/>
    <w:rsid w:val="49AF11BC"/>
    <w:rsid w:val="4A10545B"/>
    <w:rsid w:val="4A7C42FE"/>
    <w:rsid w:val="4ACC5BD9"/>
    <w:rsid w:val="4B565BFA"/>
    <w:rsid w:val="4B985564"/>
    <w:rsid w:val="4BFC4F59"/>
    <w:rsid w:val="4CBF0399"/>
    <w:rsid w:val="4DB42828"/>
    <w:rsid w:val="4DC20345"/>
    <w:rsid w:val="4E133073"/>
    <w:rsid w:val="4E2112D7"/>
    <w:rsid w:val="4E40308D"/>
    <w:rsid w:val="4FA4343A"/>
    <w:rsid w:val="4FC45FF2"/>
    <w:rsid w:val="50D03393"/>
    <w:rsid w:val="51197162"/>
    <w:rsid w:val="51273EBD"/>
    <w:rsid w:val="513C34FC"/>
    <w:rsid w:val="515132B5"/>
    <w:rsid w:val="51713755"/>
    <w:rsid w:val="51CB7850"/>
    <w:rsid w:val="52B50824"/>
    <w:rsid w:val="536A66F2"/>
    <w:rsid w:val="53CA4C80"/>
    <w:rsid w:val="53EA1D40"/>
    <w:rsid w:val="540011E8"/>
    <w:rsid w:val="54B024FB"/>
    <w:rsid w:val="54E7373A"/>
    <w:rsid w:val="54FE1085"/>
    <w:rsid w:val="55180754"/>
    <w:rsid w:val="55603A56"/>
    <w:rsid w:val="55B900D0"/>
    <w:rsid w:val="564F24EF"/>
    <w:rsid w:val="56B963F7"/>
    <w:rsid w:val="570650A1"/>
    <w:rsid w:val="57776ECD"/>
    <w:rsid w:val="57832FE9"/>
    <w:rsid w:val="57913BB1"/>
    <w:rsid w:val="57945EBD"/>
    <w:rsid w:val="57A25AC2"/>
    <w:rsid w:val="57C078D9"/>
    <w:rsid w:val="57E411DB"/>
    <w:rsid w:val="57FB7EC2"/>
    <w:rsid w:val="59370D6B"/>
    <w:rsid w:val="59C03A1C"/>
    <w:rsid w:val="5A116184"/>
    <w:rsid w:val="5A267D09"/>
    <w:rsid w:val="5A437F8B"/>
    <w:rsid w:val="5A557999"/>
    <w:rsid w:val="5A5F0C25"/>
    <w:rsid w:val="5AEB3E5A"/>
    <w:rsid w:val="5B280C0A"/>
    <w:rsid w:val="5B52610A"/>
    <w:rsid w:val="5B951B8F"/>
    <w:rsid w:val="5BFB2157"/>
    <w:rsid w:val="5C3363E1"/>
    <w:rsid w:val="5CF43EDF"/>
    <w:rsid w:val="5D1741B9"/>
    <w:rsid w:val="5D9D5A08"/>
    <w:rsid w:val="5E0A1696"/>
    <w:rsid w:val="5F4F11B3"/>
    <w:rsid w:val="5F7F033D"/>
    <w:rsid w:val="60455A2D"/>
    <w:rsid w:val="60861ECC"/>
    <w:rsid w:val="61436338"/>
    <w:rsid w:val="61474CB9"/>
    <w:rsid w:val="6159312D"/>
    <w:rsid w:val="616B35FF"/>
    <w:rsid w:val="61722BDF"/>
    <w:rsid w:val="617A6654"/>
    <w:rsid w:val="61A33803"/>
    <w:rsid w:val="61A967E0"/>
    <w:rsid w:val="62571DD5"/>
    <w:rsid w:val="632C521F"/>
    <w:rsid w:val="637A0055"/>
    <w:rsid w:val="638035BB"/>
    <w:rsid w:val="6435019B"/>
    <w:rsid w:val="647D689B"/>
    <w:rsid w:val="65F6727F"/>
    <w:rsid w:val="66603820"/>
    <w:rsid w:val="666219E2"/>
    <w:rsid w:val="667258CB"/>
    <w:rsid w:val="67217629"/>
    <w:rsid w:val="674035EA"/>
    <w:rsid w:val="67A45CF9"/>
    <w:rsid w:val="68E90304"/>
    <w:rsid w:val="68F252C5"/>
    <w:rsid w:val="6A331379"/>
    <w:rsid w:val="6B797260"/>
    <w:rsid w:val="6BB771CA"/>
    <w:rsid w:val="6C4363EC"/>
    <w:rsid w:val="6C580C23"/>
    <w:rsid w:val="6C941CB7"/>
    <w:rsid w:val="6D3554BA"/>
    <w:rsid w:val="6D7B107C"/>
    <w:rsid w:val="6DF3389D"/>
    <w:rsid w:val="6E6722D6"/>
    <w:rsid w:val="6E674C17"/>
    <w:rsid w:val="6E964025"/>
    <w:rsid w:val="6F484F7F"/>
    <w:rsid w:val="6FEF3D10"/>
    <w:rsid w:val="70F62BE1"/>
    <w:rsid w:val="71030382"/>
    <w:rsid w:val="71251DDB"/>
    <w:rsid w:val="71287D21"/>
    <w:rsid w:val="718D45E7"/>
    <w:rsid w:val="71B17869"/>
    <w:rsid w:val="71B763EC"/>
    <w:rsid w:val="72800ED4"/>
    <w:rsid w:val="72EE4056"/>
    <w:rsid w:val="731A30D6"/>
    <w:rsid w:val="745B5755"/>
    <w:rsid w:val="74693FE1"/>
    <w:rsid w:val="748C4CD0"/>
    <w:rsid w:val="7499594B"/>
    <w:rsid w:val="74F65FDA"/>
    <w:rsid w:val="75151DA7"/>
    <w:rsid w:val="75200CC7"/>
    <w:rsid w:val="75573420"/>
    <w:rsid w:val="756E0DE3"/>
    <w:rsid w:val="778F0AFC"/>
    <w:rsid w:val="77A67875"/>
    <w:rsid w:val="77B96B5A"/>
    <w:rsid w:val="77D3326F"/>
    <w:rsid w:val="77EE75AE"/>
    <w:rsid w:val="78177BE5"/>
    <w:rsid w:val="788D102E"/>
    <w:rsid w:val="78AA46F2"/>
    <w:rsid w:val="78F37967"/>
    <w:rsid w:val="7A2648D2"/>
    <w:rsid w:val="7A3F0231"/>
    <w:rsid w:val="7A6A66F1"/>
    <w:rsid w:val="7AEC1374"/>
    <w:rsid w:val="7B183515"/>
    <w:rsid w:val="7B317800"/>
    <w:rsid w:val="7B3E7406"/>
    <w:rsid w:val="7B6342CD"/>
    <w:rsid w:val="7B691533"/>
    <w:rsid w:val="7B8F39AE"/>
    <w:rsid w:val="7B94598A"/>
    <w:rsid w:val="7BA9423D"/>
    <w:rsid w:val="7BCA291C"/>
    <w:rsid w:val="7C2F6CC8"/>
    <w:rsid w:val="7C4F3F13"/>
    <w:rsid w:val="7C776EA4"/>
    <w:rsid w:val="7D853013"/>
    <w:rsid w:val="7DF22C25"/>
    <w:rsid w:val="7E0F7090"/>
    <w:rsid w:val="7E567B85"/>
    <w:rsid w:val="7E9C59EE"/>
    <w:rsid w:val="7F81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semiHidden/>
    <w:unhideWhenUsed/>
    <w:qFormat/>
    <w:uiPriority w:val="99"/>
    <w:rPr>
      <w:color w:val="0000FF"/>
      <w:u w:val="single"/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  <w:style w:type="paragraph" w:customStyle="1" w:styleId="38">
    <w:name w:val="Bibliography"/>
    <w:basedOn w:val="1"/>
    <w:qFormat/>
    <w:uiPriority w:val="0"/>
    <w:pPr>
      <w:tabs>
        <w:tab w:val="left" w:pos="0"/>
      </w:tabs>
      <w:spacing w:line="240" w:lineRule="auto"/>
      <w:ind w:left="0" w:hanging="624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3175</Words>
  <Characters>20451</Characters>
  <Lines>1</Lines>
  <Paragraphs>1</Paragraphs>
  <TotalTime>3</TotalTime>
  <ScaleCrop>false</ScaleCrop>
  <LinksUpToDate>false</LinksUpToDate>
  <CharactersWithSpaces>23551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2026-03-28T09:22:00Z</dcterms:created>
  <dc:creator>Yidong Chen</dc:creator>
  <cp:lastModifiedBy>张潇</cp:lastModifiedBy>
  <dcterms:modified xsi:type="dcterms:W3CDTF">2026-05-28T09:08:13Z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eyJoZGlkIjoiZGRmZmUzOWZhZWUwMDgwZGM0ODIzNDQ5MWVmZTEyNjAiLCJ1c2VySWQiOiI1NzcyOTc1ODYifQ==</vt:lpwstr>
  </property>
  <property fmtid="{D5CDD505-2E9C-101B-9397-08002B2CF9AE}" pid="3" name="KSOProductBuildVer">
    <vt:lpwstr>2052-12.1.0.26375</vt:lpwstr>
  </property>
  <property fmtid="{D5CDD505-2E9C-101B-9397-08002B2CF9AE}" pid="4" name="ICV">
    <vt:lpwstr>342F7E033FDA4794A6206108B3DA2DF8_12</vt:lpwstr>
  </property>
  <property fmtid="{D5CDD505-2E9C-101B-9397-08002B2CF9AE}" pid="5" name="ZOTERO_PREF_1">
    <vt:lpwstr>&lt;data data-version="3" zotero-version="9.0.4"&gt;&lt;session id="X7gnMYYn"/&gt;&lt;style id="http://www.zotero.org/styles/advanced-science" hasBibliography="1" bibliographyStyleHasBeenSet="1"/&gt;&lt;prefs&gt;&lt;pref name="fieldType" value="Field"/&gt;&lt;/prefs&gt;&lt;/data&gt;</vt:lpwstr>
  </property>
</Properties>
</file>