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i w:val="0"/>
          <w:sz w:val="24"/>
        </w:rPr>
        <w:t>Supplementary Materials</w:t>
      </w:r>
    </w:p>
    <w:p/>
    <w:p>
      <w:pPr>
        <w:jc w:val="left"/>
      </w:pPr>
      <w:r>
        <w:rPr>
          <w:rFonts w:ascii="Arial" w:hAnsi="Arial"/>
          <w:b/>
          <w:i w:val="0"/>
          <w:sz w:val="21"/>
        </w:rPr>
        <w:t>Supplementary Fig. 1</w:t>
      </w:r>
      <w:r>
        <w:rPr>
          <w:rFonts w:ascii="Arial" w:hAnsi="Arial"/>
          <w:b/>
          <w:i w:val="0"/>
          <w:sz w:val="21"/>
        </w:rPr>
        <w:t xml:space="preserve"> | Age and tumor volume distributions by seizure status.</w:t>
      </w:r>
      <w:r>
        <w:rPr>
          <w:rFonts w:ascii="Arial" w:hAnsi="Arial"/>
          <w:b w:val="0"/>
          <w:i w:val="0"/>
          <w:sz w:val="21"/>
        </w:rPr>
        <w:t xml:space="preserve"> A) Age at surgery in patients with and without seizures at presentation. B) Tumor volume at surgery in patients with and without seizures at presentation. Boxes indicate IQR with median line, whiskers show 1.5×IQR. Individual data points overlaid.</w:t>
      </w:r>
    </w:p>
    <w:p>
      <w:pPr>
        <w:jc w:val="center"/>
      </w:pPr>
      <w:r>
        <w:drawing>
          <wp:inline xmlns:a="http://schemas.openxmlformats.org/drawingml/2006/main" xmlns:pic="http://schemas.openxmlformats.org/drawingml/2006/picture">
            <wp:extent cx="4114800" cy="2721428"/>
            <wp:docPr id="1" name="Picture 1"/>
            <wp:cNvGraphicFramePr>
              <a:graphicFrameLocks noChangeAspect="1"/>
            </wp:cNvGraphicFramePr>
            <a:graphic>
              <a:graphicData uri="http://schemas.openxmlformats.org/drawingml/2006/picture">
                <pic:pic>
                  <pic:nvPicPr>
                    <pic:cNvPr id="0" name="image2.png"/>
                    <pic:cNvPicPr/>
                  </pic:nvPicPr>
                  <pic:blipFill>
                    <a:blip r:embed="rId9"/>
                    <a:stretch>
                      <a:fillRect/>
                    </a:stretch>
                  </pic:blipFill>
                  <pic:spPr>
                    <a:xfrm>
                      <a:off x="0" y="0"/>
                      <a:ext cx="4114800" cy="2721428"/>
                    </a:xfrm>
                    <a:prstGeom prst="rect"/>
                  </pic:spPr>
                </pic:pic>
              </a:graphicData>
            </a:graphic>
          </wp:inline>
        </w:drawing>
      </w:r>
    </w:p>
    <w:p/>
    <w:p>
      <w:r>
        <w:rPr>
          <w:rFonts w:ascii="Arial" w:hAnsi="Arial"/>
          <w:b/>
          <w:i w:val="0"/>
          <w:sz w:val="21"/>
        </w:rPr>
        <w:t>Supplementary Table 1.</w:t>
      </w:r>
      <w:r>
        <w:rPr>
          <w:rFonts w:ascii="Arial" w:hAnsi="Arial"/>
          <w:b/>
          <w:i w:val="0"/>
          <w:sz w:val="21"/>
        </w:rPr>
        <w:t xml:space="preserve"> Uni- and multivariable logistic regression for predictors of seizure at presentation.</w:t>
      </w:r>
    </w:p>
    <w:tbl>
      <w:tblPr>
        <w:tblStyle w:val="TableGrid"/>
        <w:tblW w:type="auto" w:w="0"/>
        <w:tblLook w:firstColumn="1" w:firstRow="1" w:lastColumn="0" w:lastRow="0" w:noHBand="0" w:noVBand="1" w:val="04A0"/>
      </w:tblPr>
      <w:tblGrid>
        <w:gridCol w:w="1872"/>
        <w:gridCol w:w="1872"/>
        <w:gridCol w:w="1872"/>
        <w:gridCol w:w="1872"/>
        <w:gridCol w:w="1872"/>
      </w:tblGrid>
      <w:tr>
        <w:tc>
          <w:tcPr>
            <w:tcW w:type="dxa" w:w="2880"/>
          </w:tcPr>
          <w:p>
            <w:r>
              <w:rPr>
                <w:rFonts w:ascii="Arial" w:hAnsi="Arial"/>
                <w:b/>
                <w:i w:val="0"/>
                <w:sz w:val="20"/>
              </w:rPr>
              <w:t>Variable</w:t>
            </w:r>
          </w:p>
        </w:tc>
        <w:tc>
          <w:tcPr>
            <w:tcW w:type="dxa" w:w="2160"/>
          </w:tcPr>
          <w:p>
            <w:r>
              <w:rPr>
                <w:rFonts w:ascii="Arial" w:hAnsi="Arial"/>
                <w:b/>
                <w:i w:val="0"/>
                <w:sz w:val="20"/>
              </w:rPr>
              <w:t>Univariable OR (95% CI)</w:t>
            </w:r>
          </w:p>
        </w:tc>
        <w:tc>
          <w:tcPr>
            <w:tcW w:type="dxa" w:w="1152"/>
          </w:tcPr>
          <w:p>
            <w:r>
              <w:rPr>
                <w:rFonts w:ascii="Arial" w:hAnsi="Arial"/>
                <w:b/>
                <w:i w:val="0"/>
                <w:sz w:val="20"/>
              </w:rPr>
              <w:t>p value</w:t>
            </w:r>
          </w:p>
        </w:tc>
        <w:tc>
          <w:tcPr>
            <w:tcW w:type="dxa" w:w="2160"/>
          </w:tcPr>
          <w:p>
            <w:r>
              <w:rPr>
                <w:rFonts w:ascii="Arial" w:hAnsi="Arial"/>
                <w:b/>
                <w:i w:val="0"/>
                <w:sz w:val="20"/>
              </w:rPr>
              <w:t>Multivariable OR (95% CI)</w:t>
            </w:r>
          </w:p>
        </w:tc>
        <w:tc>
          <w:tcPr>
            <w:tcW w:type="dxa" w:w="1152"/>
          </w:tcPr>
          <w:p>
            <w:r>
              <w:rPr>
                <w:rFonts w:ascii="Arial" w:hAnsi="Arial"/>
                <w:b/>
                <w:i w:val="0"/>
                <w:sz w:val="20"/>
              </w:rPr>
              <w:t>p value</w:t>
            </w:r>
          </w:p>
        </w:tc>
      </w:tr>
      <w:tr>
        <w:tc>
          <w:tcPr>
            <w:tcW w:type="dxa" w:w="2880"/>
          </w:tcPr>
          <w:p>
            <w:r>
              <w:rPr>
                <w:rFonts w:ascii="Arial" w:hAnsi="Arial"/>
                <w:b w:val="0"/>
                <w:i w:val="0"/>
                <w:sz w:val="20"/>
              </w:rPr>
              <w:t>Age &lt;60 years</w:t>
            </w:r>
          </w:p>
        </w:tc>
        <w:tc>
          <w:tcPr>
            <w:tcW w:type="dxa" w:w="2160"/>
          </w:tcPr>
          <w:p>
            <w:r>
              <w:rPr>
                <w:rFonts w:ascii="Arial" w:hAnsi="Arial"/>
                <w:b w:val="0"/>
                <w:i w:val="0"/>
                <w:sz w:val="20"/>
              </w:rPr>
              <w:t>2.20 (1.27-3.81)</w:t>
            </w:r>
          </w:p>
        </w:tc>
        <w:tc>
          <w:tcPr>
            <w:tcW w:type="dxa" w:w="1152"/>
          </w:tcPr>
          <w:p>
            <w:r>
              <w:rPr>
                <w:rFonts w:ascii="Arial" w:hAnsi="Arial"/>
                <w:b w:val="0"/>
                <w:i w:val="0"/>
                <w:sz w:val="20"/>
              </w:rPr>
              <w:t>0.005</w:t>
            </w:r>
          </w:p>
        </w:tc>
        <w:tc>
          <w:tcPr>
            <w:tcW w:type="dxa" w:w="2160"/>
          </w:tcPr>
          <w:p>
            <w:r>
              <w:rPr>
                <w:rFonts w:ascii="Arial" w:hAnsi="Arial"/>
                <w:b w:val="0"/>
                <w:i w:val="0"/>
                <w:sz w:val="20"/>
              </w:rPr>
              <w:t>2.65 (1.43-4.91)</w:t>
            </w:r>
          </w:p>
        </w:tc>
        <w:tc>
          <w:tcPr>
            <w:tcW w:type="dxa" w:w="1152"/>
          </w:tcPr>
          <w:p>
            <w:r>
              <w:rPr>
                <w:rFonts w:ascii="Arial" w:hAnsi="Arial"/>
                <w:b w:val="0"/>
                <w:i w:val="0"/>
                <w:sz w:val="20"/>
              </w:rPr>
              <w:t>0.002</w:t>
            </w:r>
          </w:p>
        </w:tc>
      </w:tr>
      <w:tr>
        <w:tc>
          <w:tcPr>
            <w:tcW w:type="dxa" w:w="2880"/>
          </w:tcPr>
          <w:p>
            <w:r>
              <w:rPr>
                <w:rFonts w:ascii="Arial" w:hAnsi="Arial"/>
                <w:b w:val="0"/>
                <w:i w:val="0"/>
                <w:sz w:val="20"/>
              </w:rPr>
              <w:t>Prior/concurrent ICB</w:t>
            </w:r>
          </w:p>
        </w:tc>
        <w:tc>
          <w:tcPr>
            <w:tcW w:type="dxa" w:w="2160"/>
          </w:tcPr>
          <w:p>
            <w:r>
              <w:rPr>
                <w:rFonts w:ascii="Arial" w:hAnsi="Arial"/>
                <w:b w:val="0"/>
                <w:i w:val="0"/>
                <w:sz w:val="20"/>
              </w:rPr>
              <w:t>1.91 (0.99-3.66)</w:t>
            </w:r>
          </w:p>
        </w:tc>
        <w:tc>
          <w:tcPr>
            <w:tcW w:type="dxa" w:w="1152"/>
          </w:tcPr>
          <w:p>
            <w:r>
              <w:rPr>
                <w:rFonts w:ascii="Arial" w:hAnsi="Arial"/>
                <w:b w:val="0"/>
                <w:i w:val="0"/>
                <w:sz w:val="20"/>
              </w:rPr>
              <w:t>0.053</w:t>
            </w:r>
          </w:p>
        </w:tc>
        <w:tc>
          <w:tcPr>
            <w:tcW w:type="dxa" w:w="2160"/>
          </w:tcPr>
          <w:p>
            <w:r>
              <w:rPr>
                <w:rFonts w:ascii="Arial" w:hAnsi="Arial"/>
                <w:b w:val="0"/>
                <w:i w:val="0"/>
                <w:sz w:val="20"/>
              </w:rPr>
              <w:t>2.59 (1.24-5.42)</w:t>
            </w:r>
          </w:p>
        </w:tc>
        <w:tc>
          <w:tcPr>
            <w:tcW w:type="dxa" w:w="1152"/>
          </w:tcPr>
          <w:p>
            <w:r>
              <w:rPr>
                <w:rFonts w:ascii="Arial" w:hAnsi="Arial"/>
                <w:b w:val="0"/>
                <w:i w:val="0"/>
                <w:sz w:val="20"/>
              </w:rPr>
              <w:t>0.012</w:t>
            </w:r>
          </w:p>
        </w:tc>
      </w:tr>
      <w:tr>
        <w:tc>
          <w:tcPr>
            <w:tcW w:type="dxa" w:w="2880"/>
          </w:tcPr>
          <w:p>
            <w:r>
              <w:rPr>
                <w:rFonts w:ascii="Arial" w:hAnsi="Arial"/>
                <w:b w:val="0"/>
                <w:i w:val="0"/>
                <w:sz w:val="20"/>
              </w:rPr>
              <w:t>ICP symptoms</w:t>
            </w:r>
          </w:p>
        </w:tc>
        <w:tc>
          <w:tcPr>
            <w:tcW w:type="dxa" w:w="2160"/>
          </w:tcPr>
          <w:p>
            <w:r>
              <w:rPr>
                <w:rFonts w:ascii="Arial" w:hAnsi="Arial"/>
                <w:b w:val="0"/>
                <w:i w:val="0"/>
                <w:sz w:val="20"/>
              </w:rPr>
              <w:t>0.49 (0.28-0.85)</w:t>
            </w:r>
          </w:p>
        </w:tc>
        <w:tc>
          <w:tcPr>
            <w:tcW w:type="dxa" w:w="1152"/>
          </w:tcPr>
          <w:p>
            <w:r>
              <w:rPr>
                <w:rFonts w:ascii="Arial" w:hAnsi="Arial"/>
                <w:b w:val="0"/>
                <w:i w:val="0"/>
                <w:sz w:val="20"/>
              </w:rPr>
              <w:t>0.011</w:t>
            </w:r>
          </w:p>
        </w:tc>
        <w:tc>
          <w:tcPr>
            <w:tcW w:type="dxa" w:w="2160"/>
          </w:tcPr>
          <w:p>
            <w:r>
              <w:rPr>
                <w:rFonts w:ascii="Arial" w:hAnsi="Arial"/>
                <w:b w:val="0"/>
                <w:i w:val="0"/>
                <w:sz w:val="20"/>
              </w:rPr>
              <w:t>0.43 (0.23-0.81)</w:t>
            </w:r>
          </w:p>
        </w:tc>
        <w:tc>
          <w:tcPr>
            <w:tcW w:type="dxa" w:w="1152"/>
          </w:tcPr>
          <w:p>
            <w:r>
              <w:rPr>
                <w:rFonts w:ascii="Arial" w:hAnsi="Arial"/>
                <w:b w:val="0"/>
                <w:i w:val="0"/>
                <w:sz w:val="20"/>
              </w:rPr>
              <w:t>0.009</w:t>
            </w:r>
          </w:p>
        </w:tc>
      </w:tr>
      <w:tr>
        <w:tc>
          <w:tcPr>
            <w:tcW w:type="dxa" w:w="2880"/>
          </w:tcPr>
          <w:p>
            <w:r>
              <w:rPr>
                <w:rFonts w:ascii="Arial" w:hAnsi="Arial"/>
                <w:b w:val="0"/>
                <w:i w:val="0"/>
                <w:sz w:val="20"/>
              </w:rPr>
              <w:t>Cortical location</w:t>
            </w:r>
          </w:p>
        </w:tc>
        <w:tc>
          <w:tcPr>
            <w:tcW w:type="dxa" w:w="2160"/>
          </w:tcPr>
          <w:p>
            <w:r>
              <w:rPr>
                <w:rFonts w:ascii="Arial" w:hAnsi="Arial"/>
                <w:b w:val="0"/>
                <w:i w:val="0"/>
                <w:sz w:val="20"/>
              </w:rPr>
              <w:t>2.68 (1.00-7.20)</w:t>
            </w:r>
          </w:p>
        </w:tc>
        <w:tc>
          <w:tcPr>
            <w:tcW w:type="dxa" w:w="1152"/>
          </w:tcPr>
          <w:p>
            <w:r>
              <w:rPr>
                <w:rFonts w:ascii="Arial" w:hAnsi="Arial"/>
                <w:b w:val="0"/>
                <w:i w:val="0"/>
                <w:sz w:val="20"/>
              </w:rPr>
              <w:t>0.050</w:t>
            </w:r>
          </w:p>
        </w:tc>
        <w:tc>
          <w:tcPr>
            <w:tcW w:type="dxa" w:w="2160"/>
          </w:tcPr>
          <w:p>
            <w:r>
              <w:rPr>
                <w:rFonts w:ascii="Arial" w:hAnsi="Arial"/>
                <w:b w:val="0"/>
                <w:i w:val="0"/>
                <w:sz w:val="20"/>
              </w:rPr>
              <w:t>2.19 (0.79-6.10)</w:t>
            </w:r>
          </w:p>
        </w:tc>
        <w:tc>
          <w:tcPr>
            <w:tcW w:type="dxa" w:w="1152"/>
          </w:tcPr>
          <w:p>
            <w:r>
              <w:rPr>
                <w:rFonts w:ascii="Arial" w:hAnsi="Arial"/>
                <w:b w:val="0"/>
                <w:i w:val="0"/>
                <w:sz w:val="20"/>
              </w:rPr>
              <w:t>0.133</w:t>
            </w:r>
          </w:p>
        </w:tc>
      </w:tr>
      <w:tr>
        <w:tc>
          <w:tcPr>
            <w:tcW w:type="dxa" w:w="2880"/>
          </w:tcPr>
          <w:p>
            <w:r>
              <w:rPr>
                <w:rFonts w:ascii="Arial" w:hAnsi="Arial"/>
                <w:b w:val="0"/>
                <w:i w:val="0"/>
                <w:sz w:val="20"/>
              </w:rPr>
              <w:t>Parietal lobe</w:t>
            </w:r>
          </w:p>
        </w:tc>
        <w:tc>
          <w:tcPr>
            <w:tcW w:type="dxa" w:w="2160"/>
          </w:tcPr>
          <w:p>
            <w:r>
              <w:rPr>
                <w:rFonts w:ascii="Arial" w:hAnsi="Arial"/>
                <w:b w:val="0"/>
                <w:i w:val="0"/>
                <w:sz w:val="20"/>
              </w:rPr>
              <w:t>2.40 (1.29-4.44)</w:t>
            </w:r>
          </w:p>
        </w:tc>
        <w:tc>
          <w:tcPr>
            <w:tcW w:type="dxa" w:w="1152"/>
          </w:tcPr>
          <w:p>
            <w:r>
              <w:rPr>
                <w:rFonts w:ascii="Arial" w:hAnsi="Arial"/>
                <w:b w:val="0"/>
                <w:i w:val="0"/>
                <w:sz w:val="20"/>
              </w:rPr>
              <w:t>0.005</w:t>
            </w:r>
          </w:p>
        </w:tc>
        <w:tc>
          <w:tcPr>
            <w:tcW w:type="dxa" w:w="2160"/>
          </w:tcPr>
          <w:p>
            <w:r>
              <w:rPr>
                <w:rFonts w:ascii="Arial" w:hAnsi="Arial"/>
                <w:b w:val="0"/>
                <w:i w:val="0"/>
                <w:sz w:val="20"/>
              </w:rPr>
              <w:t>---</w:t>
            </w:r>
          </w:p>
        </w:tc>
        <w:tc>
          <w:tcPr>
            <w:tcW w:type="dxa" w:w="1152"/>
          </w:tcPr>
          <w:p>
            <w:r>
              <w:rPr>
                <w:rFonts w:ascii="Arial" w:hAnsi="Arial"/>
                <w:b w:val="0"/>
                <w:i w:val="0"/>
                <w:sz w:val="20"/>
              </w:rPr>
              <w:t>---</w:t>
            </w:r>
          </w:p>
        </w:tc>
      </w:tr>
      <w:tr>
        <w:tc>
          <w:tcPr>
            <w:tcW w:type="dxa" w:w="2880"/>
          </w:tcPr>
          <w:p>
            <w:r>
              <w:rPr>
                <w:rFonts w:ascii="Arial" w:hAnsi="Arial"/>
                <w:b w:val="0"/>
                <w:i w:val="0"/>
                <w:sz w:val="20"/>
              </w:rPr>
              <w:t>Single brain metastasis</w:t>
            </w:r>
          </w:p>
        </w:tc>
        <w:tc>
          <w:tcPr>
            <w:tcW w:type="dxa" w:w="2160"/>
          </w:tcPr>
          <w:p>
            <w:r>
              <w:rPr>
                <w:rFonts w:ascii="Arial" w:hAnsi="Arial"/>
                <w:b w:val="0"/>
                <w:i w:val="0"/>
                <w:sz w:val="20"/>
              </w:rPr>
              <w:t>1.08 (0.57-2.03)</w:t>
            </w:r>
          </w:p>
        </w:tc>
        <w:tc>
          <w:tcPr>
            <w:tcW w:type="dxa" w:w="1152"/>
          </w:tcPr>
          <w:p>
            <w:r>
              <w:rPr>
                <w:rFonts w:ascii="Arial" w:hAnsi="Arial"/>
                <w:b w:val="0"/>
                <w:i w:val="0"/>
                <w:sz w:val="20"/>
              </w:rPr>
              <w:t>0.813</w:t>
            </w:r>
          </w:p>
        </w:tc>
        <w:tc>
          <w:tcPr>
            <w:tcW w:type="dxa" w:w="2160"/>
          </w:tcPr>
          <w:p>
            <w:r>
              <w:rPr>
                <w:rFonts w:ascii="Arial" w:hAnsi="Arial"/>
                <w:b w:val="0"/>
                <w:i w:val="0"/>
                <w:sz w:val="20"/>
              </w:rPr>
              <w:t>---</w:t>
            </w:r>
          </w:p>
        </w:tc>
        <w:tc>
          <w:tcPr>
            <w:tcW w:type="dxa" w:w="1152"/>
          </w:tcPr>
          <w:p>
            <w:r>
              <w:rPr>
                <w:rFonts w:ascii="Arial" w:hAnsi="Arial"/>
                <w:b w:val="0"/>
                <w:i w:val="0"/>
                <w:sz w:val="20"/>
              </w:rPr>
              <w:t>---</w:t>
            </w:r>
          </w:p>
        </w:tc>
      </w:tr>
      <w:tr>
        <w:tc>
          <w:tcPr>
            <w:tcW w:type="dxa" w:w="2880"/>
          </w:tcPr>
          <w:p>
            <w:r>
              <w:rPr>
                <w:rFonts w:ascii="Arial" w:hAnsi="Arial"/>
                <w:b w:val="0"/>
                <w:i w:val="0"/>
                <w:sz w:val="20"/>
              </w:rPr>
              <w:t>Tumor volume &gt;7 cm³</w:t>
            </w:r>
          </w:p>
        </w:tc>
        <w:tc>
          <w:tcPr>
            <w:tcW w:type="dxa" w:w="2160"/>
          </w:tcPr>
          <w:p>
            <w:r>
              <w:rPr>
                <w:rFonts w:ascii="Arial" w:hAnsi="Arial"/>
                <w:b w:val="0"/>
                <w:i w:val="0"/>
                <w:sz w:val="20"/>
              </w:rPr>
              <w:t>0.73 (0.36-1.46)</w:t>
            </w:r>
          </w:p>
        </w:tc>
        <w:tc>
          <w:tcPr>
            <w:tcW w:type="dxa" w:w="1152"/>
          </w:tcPr>
          <w:p>
            <w:r>
              <w:rPr>
                <w:rFonts w:ascii="Arial" w:hAnsi="Arial"/>
                <w:b w:val="0"/>
                <w:i w:val="0"/>
                <w:sz w:val="20"/>
              </w:rPr>
              <w:t>0.373</w:t>
            </w:r>
          </w:p>
        </w:tc>
        <w:tc>
          <w:tcPr>
            <w:tcW w:type="dxa" w:w="2160"/>
          </w:tcPr>
          <w:p>
            <w:r>
              <w:rPr>
                <w:rFonts w:ascii="Arial" w:hAnsi="Arial"/>
                <w:b w:val="0"/>
                <w:i w:val="0"/>
                <w:sz w:val="20"/>
              </w:rPr>
              <w:t>---</w:t>
            </w:r>
          </w:p>
        </w:tc>
        <w:tc>
          <w:tcPr>
            <w:tcW w:type="dxa" w:w="1152"/>
          </w:tcPr>
          <w:p>
            <w:r>
              <w:rPr>
                <w:rFonts w:ascii="Arial" w:hAnsi="Arial"/>
                <w:b w:val="0"/>
                <w:i w:val="0"/>
                <w:sz w:val="20"/>
              </w:rPr>
              <w:t>---</w:t>
            </w:r>
          </w:p>
        </w:tc>
      </w:tr>
    </w:tbl>
    <w:p/>
    <w:p>
      <w:r>
        <w:rPr>
          <w:rFonts w:ascii="Arial" w:hAnsi="Arial"/>
          <w:b w:val="0"/>
          <w:i w:val="0"/>
          <w:sz w:val="18"/>
        </w:rPr>
        <w:t>Multivariable model includes age &lt;60, ICB, ICP symptoms, and cortical location (N=244). Cortical location was included as a covariate but did not reach significance; parietal lobe, single BM, and tumor volume were tested in univariable analysis only. OR = odds ratio; CI = confidence interval.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