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BA07D">
      <w:pPr>
        <w:rPr>
          <w:rFonts w:hint="eastAsia"/>
          <w:b/>
          <w:bCs/>
        </w:rPr>
      </w:pPr>
      <w:r>
        <w:rPr>
          <w:rFonts w:hint="eastAsia"/>
          <w:b/>
          <w:bCs/>
        </w:rPr>
        <w:t>Data Availability Statement</w:t>
      </w:r>
    </w:p>
    <w:p w14:paraId="47B4013C">
      <w:pPr>
        <w:rPr>
          <w:rFonts w:hint="eastAsia"/>
        </w:rPr>
      </w:pPr>
    </w:p>
    <w:p w14:paraId="17C819B1">
      <w:pPr>
        <w:rPr>
          <w:rFonts w:hint="eastAsia"/>
        </w:rPr>
      </w:pPr>
      <w:r>
        <w:rPr>
          <w:rFonts w:hint="eastAsia"/>
        </w:rPr>
        <w:t>All primary sources cited in this paper—including the Analects (论语), Rites of Zhou (周礼), Book of Rites (礼记), and Xunzi (荀子)—are canonical classical texts that are publicly accessible through standard academic libraries and digital archives (e.g., Chinese Text Project, ctext.org).</w:t>
      </w:r>
    </w:p>
    <w:p w14:paraId="19A984E6">
      <w:pPr>
        <w:rPr>
          <w:rFonts w:hint="eastAsia"/>
        </w:rPr>
      </w:pPr>
    </w:p>
    <w:p w14:paraId="7EF94EEC">
      <w:r>
        <w:rPr>
          <w:rFonts w:hint="eastAsia"/>
        </w:rPr>
        <w:t xml:space="preserve">No </w:t>
      </w:r>
      <w:bookmarkStart w:id="0" w:name="_GoBack"/>
      <w:bookmarkEnd w:id="0"/>
      <w:r>
        <w:rPr>
          <w:rFonts w:hint="eastAsia"/>
        </w:rPr>
        <w:t>data was used or generated during this study.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9DA3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2026-06-25T06:11:38Z</dcterms:created>
  <dc:creator>nimen</dc:creator>
  <cp:lastModifiedBy>Emma</cp:lastModifiedBy>
  <dcterms:modified xsi:type="dcterms:W3CDTF">2026-06-25T06:14:34Z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eyJoZGlkIjoiZjg0N2E2YzZmNzJkYTMwZjdkODlmNmI1YjUxNzE4NzAiLCJ1c2VySWQiOiIyODE3MTcwOTYifQ==</vt:lpwstr>
  </property>
  <property fmtid="{D5CDD505-2E9C-101B-9397-08002B2CF9AE}" pid="4" name="ICV">
    <vt:lpwstr>F1E7F8485CC44CA9A5816273B6982B4F_12</vt:lpwstr>
  </property>
</Properties>
</file>