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ABBED8">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color w:val="000000"/>
          <w:sz w:val="24"/>
          <w:szCs w:val="24"/>
        </w:rPr>
      </w:pPr>
      <w:r>
        <w:rPr>
          <w:rFonts w:hint="default" w:ascii="Times New Roman" w:hAnsi="Times New Roman" w:cs="Times New Roman"/>
          <w:sz w:val="24"/>
          <w:szCs w:val="24"/>
        </w:rPr>
        <w:drawing>
          <wp:inline distT="0" distB="0" distL="0" distR="0">
            <wp:extent cx="5274310" cy="4904740"/>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4905350"/>
                    </a:xfrm>
                    <a:prstGeom prst="rect">
                      <a:avLst/>
                    </a:prstGeom>
                    <a:noFill/>
                    <a:ln>
                      <a:noFill/>
                    </a:ln>
                  </pic:spPr>
                </pic:pic>
              </a:graphicData>
            </a:graphic>
          </wp:inline>
        </w:drawing>
      </w:r>
    </w:p>
    <w:p w14:paraId="1746408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Figure S1. Functional connectivity of the prefrontal four-stream integration network in toddlers with ASD and TDC.</w:t>
      </w:r>
    </w:p>
    <w:p w14:paraId="7743BCC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This control model evaluates the functional integration across four prefrontal streams: motor (BA 8), emotional (BA 9), mnemonic (BA 10), and sensory (BA 11), along with associated structural targets. (A) Group comparison between ASD and TDC in the 18–24 month cohort. (B) Group comparison between ASD and TDC in the 25–48 month cohort. (C) Age-related changes in FC within the ASD group (25–48 months vs. 18–24 months). (D) Age-related changes in FC within the TDC group (25–48 months vs. 18–24 months). Matrices represent group-level differences in Fisher’s z-transformed Pearson correlation coefficients. The color bar indicates the strength of connectivity differences FC(z), where warm colors (</w:t>
      </w:r>
      <w:r>
        <w:rPr>
          <w:rFonts w:hint="eastAsia" w:ascii="Times New Roman" w:hAnsi="Times New Roman" w:cs="Times New Roman"/>
          <w:color w:val="000000"/>
          <w:sz w:val="24"/>
          <w:szCs w:val="24"/>
          <w:lang w:val="en-US" w:eastAsia="zh-CN"/>
        </w:rPr>
        <w:t>red</w:t>
      </w:r>
      <w:r>
        <w:rPr>
          <w:rFonts w:hint="default" w:ascii="Times New Roman" w:hAnsi="Times New Roman" w:cs="Times New Roman"/>
          <w:color w:val="000000"/>
          <w:sz w:val="24"/>
          <w:szCs w:val="24"/>
        </w:rPr>
        <w:t>) represent increased FC and cool colors (blue) represent decreased FC. Asterisks (*) denote connections that survived FDR correction (</w:t>
      </w:r>
      <w:r>
        <w:rPr>
          <w:rFonts w:hint="default" w:ascii="Times New Roman" w:hAnsi="Times New Roman" w:cs="Times New Roman"/>
          <w:i/>
          <w:iCs/>
          <w:color w:val="000000"/>
          <w:sz w:val="24"/>
          <w:szCs w:val="24"/>
        </w:rPr>
        <w:t xml:space="preserve">p </w:t>
      </w:r>
      <w:r>
        <w:rPr>
          <w:rFonts w:hint="default" w:ascii="Times New Roman" w:hAnsi="Times New Roman" w:cs="Times New Roman"/>
          <w:color w:val="000000"/>
          <w:sz w:val="24"/>
          <w:szCs w:val="24"/>
        </w:rPr>
        <w:t xml:space="preserve">&lt; </w:t>
      </w:r>
      <w:r>
        <w:rPr>
          <w:rFonts w:hint="eastAsia" w:ascii="Times New Roman" w:hAnsi="Times New Roman" w:cs="Times New Roman"/>
          <w:color w:val="000000"/>
          <w:sz w:val="24"/>
          <w:szCs w:val="24"/>
          <w:lang w:val="en-US" w:eastAsia="zh-CN"/>
        </w:rPr>
        <w:t>0</w:t>
      </w:r>
      <w:r>
        <w:rPr>
          <w:rFonts w:hint="default" w:ascii="Times New Roman" w:hAnsi="Times New Roman" w:cs="Times New Roman"/>
          <w:color w:val="000000"/>
          <w:sz w:val="24"/>
          <w:szCs w:val="24"/>
        </w:rPr>
        <w:t>.05). Significant connections are visualized on the 3D brain surfaces.</w:t>
      </w:r>
    </w:p>
    <w:p w14:paraId="37E31CF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rPr>
        <w:t>Abbreviations:</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AMYG, amygdala; BA6, Brodmann area 6 (supplementary motor area); BA8, Brodmann area 8 (dorsal superior frontal gyrus); BA11, Brodmann area 11 (medial orbitofrontal cortex and rectus gyrus); HIP, hippocampus; SFGmed, medial superior frontal gyrus (representing BA 9 and 10); TPO, temporal pole</w:t>
      </w:r>
      <w:r>
        <w:rPr>
          <w:rFonts w:hint="eastAsia" w:ascii="Times New Roman" w:hAnsi="Times New Roman" w:cs="Times New Roman"/>
          <w:color w:val="000000"/>
          <w:sz w:val="24"/>
          <w:szCs w:val="24"/>
          <w:lang w:val="en-US" w:eastAsia="zh-CN"/>
        </w:rPr>
        <w:t>.</w:t>
      </w:r>
    </w:p>
    <w:p w14:paraId="0E217711">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br w:type="page"/>
      </w:r>
    </w:p>
    <w:p w14:paraId="5E8E77B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274310" cy="50196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5020272"/>
                    </a:xfrm>
                    <a:prstGeom prst="rect">
                      <a:avLst/>
                    </a:prstGeom>
                    <a:noFill/>
                    <a:ln>
                      <a:noFill/>
                    </a:ln>
                  </pic:spPr>
                </pic:pic>
              </a:graphicData>
            </a:graphic>
          </wp:inline>
        </w:drawing>
      </w:r>
    </w:p>
    <w:p w14:paraId="7B3A73A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Figure S</w:t>
      </w:r>
      <w:r>
        <w:rPr>
          <w:rFonts w:hint="default" w:ascii="Times New Roman" w:hAnsi="Times New Roman" w:cs="Times New Roman"/>
          <w:b/>
          <w:bCs/>
          <w:color w:val="000000"/>
          <w:sz w:val="24"/>
          <w:szCs w:val="24"/>
          <w:lang w:val="en-US" w:eastAsia="zh-CN"/>
        </w:rPr>
        <w:t>2</w:t>
      </w:r>
      <w:r>
        <w:rPr>
          <w:rFonts w:hint="default" w:ascii="Times New Roman" w:hAnsi="Times New Roman" w:cs="Times New Roman"/>
          <w:b/>
          <w:bCs/>
          <w:color w:val="000000"/>
          <w:sz w:val="24"/>
          <w:szCs w:val="24"/>
        </w:rPr>
        <w:t>.</w:t>
      </w:r>
      <w:r>
        <w:rPr>
          <w:rFonts w:hint="eastAsia" w:ascii="Times New Roman" w:hAnsi="Times New Roman" w:cs="Times New Roman"/>
          <w:b/>
          <w:bCs/>
          <w:color w:val="000000"/>
          <w:sz w:val="24"/>
          <w:szCs w:val="24"/>
          <w:lang w:val="en-US" w:eastAsia="zh-CN"/>
        </w:rPr>
        <w:t xml:space="preserve"> </w:t>
      </w:r>
      <w:r>
        <w:rPr>
          <w:rFonts w:hint="default" w:ascii="Times New Roman" w:hAnsi="Times New Roman" w:cs="Times New Roman"/>
          <w:b/>
          <w:bCs/>
          <w:color w:val="000000"/>
          <w:sz w:val="24"/>
          <w:szCs w:val="24"/>
        </w:rPr>
        <w:t>Functional connectivity of higher-order cognitive networks in toddlers with ASD and TDC.</w:t>
      </w:r>
    </w:p>
    <w:p w14:paraId="4FCC7BC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Connectivity matrices and 3D visualizations for each cohort and age comparison. Statistical thresholds, color scales, and visualization parameters are identical to those described in Figure 2.</w:t>
      </w:r>
    </w:p>
    <w:p w14:paraId="42A35C4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Abbreviations: IPL, inferior parietal lobule; MFG, middle frontal gyrus; SFGdor, dorsal superior frontal gyrus; SPG, superior parietal gyrus.</w:t>
      </w:r>
      <w:r>
        <w:rPr>
          <w:rFonts w:hint="default" w:ascii="Times New Roman" w:hAnsi="Times New Roman" w:cs="Times New Roman"/>
          <w:sz w:val="24"/>
          <w:szCs w:val="24"/>
        </w:rPr>
        <w:br w:type="page"/>
      </w:r>
    </w:p>
    <w:p w14:paraId="2E05EAE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color w:val="000000"/>
          <w:sz w:val="24"/>
          <w:szCs w:val="24"/>
        </w:rPr>
      </w:pPr>
      <w:r>
        <w:rPr>
          <w:rFonts w:hint="default" w:ascii="Times New Roman" w:hAnsi="Times New Roman" w:cs="Times New Roman"/>
          <w:sz w:val="24"/>
          <w:szCs w:val="24"/>
        </w:rPr>
        <w:drawing>
          <wp:inline distT="0" distB="0" distL="0" distR="0">
            <wp:extent cx="5274310" cy="48406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4840889"/>
                    </a:xfrm>
                    <a:prstGeom prst="rect">
                      <a:avLst/>
                    </a:prstGeom>
                    <a:noFill/>
                    <a:ln>
                      <a:noFill/>
                    </a:ln>
                  </pic:spPr>
                </pic:pic>
              </a:graphicData>
            </a:graphic>
          </wp:inline>
        </w:drawing>
      </w:r>
    </w:p>
    <w:p w14:paraId="30E8591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Figure S</w:t>
      </w:r>
      <w:r>
        <w:rPr>
          <w:rFonts w:hint="default" w:ascii="Times New Roman" w:hAnsi="Times New Roman" w:cs="Times New Roman"/>
          <w:b/>
          <w:bCs/>
          <w:color w:val="000000"/>
          <w:sz w:val="24"/>
          <w:szCs w:val="24"/>
          <w:lang w:val="en-US" w:eastAsia="zh-CN"/>
        </w:rPr>
        <w:t>3.</w:t>
      </w:r>
      <w:r>
        <w:rPr>
          <w:rFonts w:hint="default" w:ascii="Times New Roman" w:hAnsi="Times New Roman" w:cs="Times New Roman"/>
          <w:b/>
          <w:bCs/>
          <w:color w:val="000000"/>
          <w:sz w:val="24"/>
          <w:szCs w:val="24"/>
        </w:rPr>
        <w:t xml:space="preserve"> FC between brain regions of </w:t>
      </w:r>
      <w:bookmarkStart w:id="0" w:name="OLE_LINK18"/>
      <w:bookmarkStart w:id="1" w:name="OLE_LINK17"/>
      <w:bookmarkStart w:id="2" w:name="OLE_LINK20"/>
      <w:bookmarkStart w:id="3" w:name="OLE_LINK19"/>
      <w:r>
        <w:rPr>
          <w:rFonts w:hint="default" w:ascii="Times New Roman" w:hAnsi="Times New Roman" w:cs="Times New Roman"/>
          <w:b/>
          <w:bCs/>
          <w:color w:val="000000"/>
          <w:sz w:val="24"/>
          <w:szCs w:val="24"/>
          <w:lang w:val="en-US" w:eastAsia="zh-CN"/>
        </w:rPr>
        <w:t>p</w:t>
      </w:r>
      <w:r>
        <w:rPr>
          <w:rFonts w:hint="default" w:ascii="Times New Roman" w:hAnsi="Times New Roman" w:cs="Times New Roman"/>
          <w:b/>
          <w:bCs/>
          <w:color w:val="000000"/>
          <w:sz w:val="24"/>
          <w:szCs w:val="24"/>
        </w:rPr>
        <w:t xml:space="preserve">rimary </w:t>
      </w:r>
      <w:r>
        <w:rPr>
          <w:rFonts w:hint="default" w:ascii="Times New Roman" w:hAnsi="Times New Roman" w:cs="Times New Roman"/>
          <w:b/>
          <w:bCs/>
          <w:color w:val="000000"/>
          <w:sz w:val="24"/>
          <w:szCs w:val="24"/>
          <w:lang w:val="en-US" w:eastAsia="zh-CN"/>
        </w:rPr>
        <w:t xml:space="preserve">sensorimotor </w:t>
      </w:r>
      <w:r>
        <w:rPr>
          <w:rFonts w:hint="default" w:ascii="Times New Roman" w:hAnsi="Times New Roman" w:cs="Times New Roman"/>
          <w:b/>
          <w:bCs/>
          <w:color w:val="000000"/>
          <w:sz w:val="24"/>
          <w:szCs w:val="24"/>
        </w:rPr>
        <w:t>networks</w:t>
      </w:r>
      <w:bookmarkEnd w:id="0"/>
      <w:bookmarkEnd w:id="1"/>
      <w:r>
        <w:rPr>
          <w:rFonts w:hint="eastAsia" w:ascii="Times New Roman" w:hAnsi="Times New Roman" w:cs="Times New Roman"/>
          <w:b/>
          <w:bCs/>
          <w:color w:val="000000"/>
          <w:sz w:val="24"/>
          <w:szCs w:val="24"/>
          <w:lang w:val="en-US" w:eastAsia="zh-CN"/>
        </w:rPr>
        <w:t xml:space="preserve"> </w:t>
      </w:r>
      <w:r>
        <w:rPr>
          <w:rFonts w:hint="default" w:ascii="Times New Roman" w:hAnsi="Times New Roman" w:cs="Times New Roman"/>
          <w:b/>
          <w:bCs/>
          <w:color w:val="000000"/>
          <w:sz w:val="24"/>
          <w:szCs w:val="24"/>
        </w:rPr>
        <w:t>in toddlers with ASD and TDC.</w:t>
      </w:r>
    </w:p>
    <w:bookmarkEnd w:id="2"/>
    <w:bookmarkEnd w:id="3"/>
    <w:p w14:paraId="49E4F5F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rPr>
        <w:t>This control model includes regions for low-level sensory and motor processing. (A–D) Group and age-related comparisons of functional connectivity. All visualization and statistical conventions (e.g., color bar and FDR correction) follow Figure 2.</w:t>
      </w:r>
    </w:p>
    <w:p w14:paraId="79E400C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rPr>
        <w:t>Abbreviations: CAL, calcarine cortex; CUN, cuneus; HES, Heschl’s gyrus; LIN, lingual gyrus; POST, postcentral gyrus; SMA, supplementary motor area; STG, superior temporal gyrus</w:t>
      </w:r>
    </w:p>
    <w:p w14:paraId="7E1D8C2A">
      <w:pPr>
        <w:keepNext w:val="0"/>
        <w:keepLines w:val="0"/>
        <w:pageBreakBefore w:val="0"/>
        <w:kinsoku/>
        <w:wordWrap/>
        <w:overflowPunct/>
        <w:topLinePunct w:val="0"/>
        <w:autoSpaceDE/>
        <w:autoSpaceDN/>
        <w:bidi w:val="0"/>
        <w:adjustRightInd/>
        <w:snapToGrid/>
        <w:spacing w:before="240" w:after="60" w:line="240" w:lineRule="auto"/>
        <w:textAlignment w:val="auto"/>
        <w:rPr>
          <w:rFonts w:hint="default" w:ascii="Times New Roman" w:hAnsi="Times New Roman" w:cs="Times New Roman"/>
          <w:b/>
          <w:bCs/>
          <w:color w:val="000000"/>
          <w:sz w:val="24"/>
          <w:szCs w:val="24"/>
        </w:rPr>
      </w:pPr>
    </w:p>
    <w:p w14:paraId="69AC9349">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kern w:val="0"/>
          <w:sz w:val="24"/>
          <w:szCs w:val="24"/>
        </w:rPr>
      </w:pPr>
      <w:r>
        <w:rPr>
          <w:rFonts w:hint="default" w:ascii="Times New Roman" w:hAnsi="Times New Roman" w:cs="Times New Roman"/>
          <w:sz w:val="24"/>
          <w:szCs w:val="24"/>
        </w:rPr>
        <w:drawing>
          <wp:inline distT="0" distB="0" distL="0" distR="0">
            <wp:extent cx="5274310" cy="507301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5073040"/>
                    </a:xfrm>
                    <a:prstGeom prst="rect">
                      <a:avLst/>
                    </a:prstGeom>
                    <a:noFill/>
                    <a:ln>
                      <a:noFill/>
                    </a:ln>
                  </pic:spPr>
                </pic:pic>
              </a:graphicData>
            </a:graphic>
          </wp:inline>
        </w:drawing>
      </w:r>
      <w:r>
        <w:rPr>
          <w:rFonts w:hint="default" w:ascii="Times New Roman" w:hAnsi="Times New Roman" w:cs="Times New Roman"/>
          <w:b/>
          <w:bCs/>
          <w:kern w:val="0"/>
          <w:sz w:val="24"/>
          <w:szCs w:val="24"/>
        </w:rPr>
        <w:t>Figure S4. Altered nodal topological properties of control networks in toddlers with ASD.</w:t>
      </w:r>
    </w:p>
    <w:p w14:paraId="0B2AAF67">
      <w:pPr>
        <w:keepNext w:val="0"/>
        <w:keepLines w:val="0"/>
        <w:pageBreakBefore w:val="0"/>
        <w:numPr>
          <w:ilvl w:val="0"/>
          <w:numId w:val="1"/>
        </w:numPr>
        <w:kinsoku/>
        <w:wordWrap/>
        <w:overflowPunct/>
        <w:topLinePunct w:val="0"/>
        <w:autoSpaceDE/>
        <w:autoSpaceDN/>
        <w:bidi w:val="0"/>
        <w:adjustRightInd/>
        <w:snapToGrid/>
        <w:spacing w:line="240" w:lineRule="auto"/>
        <w:ind w:left="120" w:leftChars="0" w:firstLine="0" w:firstLineChars="0"/>
        <w:jc w:val="left"/>
        <w:textAlignment w:val="auto"/>
        <w:rPr>
          <w:rFonts w:hint="default" w:ascii="Times New Roman" w:hAnsi="Times New Roman" w:cs="Times New Roman"/>
          <w:kern w:val="0"/>
          <w:sz w:val="24"/>
          <w:szCs w:val="24"/>
          <w:lang w:eastAsia="en-US"/>
        </w:rPr>
      </w:pPr>
      <w:r>
        <w:rPr>
          <w:rFonts w:hint="default" w:ascii="Times New Roman" w:hAnsi="Times New Roman" w:cs="Times New Roman"/>
          <w:kern w:val="0"/>
          <w:sz w:val="24"/>
          <w:szCs w:val="24"/>
        </w:rPr>
        <w:t>Nodal graph theory indices for higher-order cognitive networks. (B) Nodal graph theory indices for primary sensorimotor networks. Spheres represent significant nodal properties (including clustering coefficient, local efficiency, nodal efficiency, and degree centrality) that differed between ASD and TDC</w:t>
      </w:r>
      <w:r>
        <w:rPr>
          <w:rFonts w:hint="eastAsia" w:ascii="Times New Roman" w:hAnsi="Times New Roman" w:cs="Times New Roman"/>
          <w:kern w:val="0"/>
          <w:sz w:val="24"/>
          <w:szCs w:val="24"/>
          <w:lang w:val="en-US" w:eastAsia="zh-CN"/>
        </w:rPr>
        <w:t xml:space="preserve">. </w:t>
      </w:r>
      <w:r>
        <w:rPr>
          <w:rFonts w:hint="default" w:ascii="Times New Roman" w:hAnsi="Times New Roman" w:cs="Times New Roman"/>
          <w:kern w:val="0"/>
          <w:sz w:val="24"/>
          <w:szCs w:val="24"/>
        </w:rPr>
        <w:t>The</w:t>
      </w:r>
      <w:r>
        <w:rPr>
          <w:rFonts w:hint="default" w:ascii="Times New Roman" w:hAnsi="Times New Roman" w:cs="Times New Roman"/>
          <w:kern w:val="0"/>
          <w:sz w:val="24"/>
          <w:szCs w:val="24"/>
          <w:lang w:eastAsia="en-US"/>
        </w:rPr>
        <w:t xml:space="preserve"> red sphereindicate significantly higher topological values in the ASD group, while blue spheres indicate significantly lower values compared to TDC. All displayed nodal properties survived FDR correction at p &lt; </w:t>
      </w:r>
      <w:r>
        <w:rPr>
          <w:rFonts w:hint="eastAsia" w:ascii="Times New Roman" w:hAnsi="Times New Roman" w:cs="Times New Roman"/>
          <w:kern w:val="0"/>
          <w:sz w:val="24"/>
          <w:szCs w:val="24"/>
          <w:lang w:val="en-US" w:eastAsia="zh-CN"/>
        </w:rPr>
        <w:t>0</w:t>
      </w:r>
      <w:r>
        <w:rPr>
          <w:rFonts w:hint="default" w:ascii="Times New Roman" w:hAnsi="Times New Roman" w:cs="Times New Roman"/>
          <w:kern w:val="0"/>
          <w:sz w:val="24"/>
          <w:szCs w:val="24"/>
          <w:lang w:eastAsia="en-US"/>
        </w:rPr>
        <w:t>.05.</w:t>
      </w:r>
    </w:p>
    <w:p w14:paraId="451D9109">
      <w:pPr>
        <w:keepNext w:val="0"/>
        <w:keepLines w:val="0"/>
        <w:pageBreakBefore w:val="0"/>
        <w:numPr>
          <w:ilvl w:val="0"/>
          <w:numId w:val="0"/>
        </w:numPr>
        <w:kinsoku/>
        <w:wordWrap/>
        <w:overflowPunct/>
        <w:topLinePunct w:val="0"/>
        <w:autoSpaceDE/>
        <w:autoSpaceDN/>
        <w:bidi w:val="0"/>
        <w:adjustRightInd/>
        <w:snapToGrid/>
        <w:spacing w:line="240" w:lineRule="auto"/>
        <w:ind w:left="120" w:leftChars="0"/>
        <w:jc w:val="left"/>
        <w:textAlignment w:val="auto"/>
        <w:rPr>
          <w:rFonts w:hint="default" w:ascii="Times New Roman" w:hAnsi="Times New Roman" w:cs="Times New Roman"/>
          <w:kern w:val="0"/>
          <w:sz w:val="24"/>
          <w:szCs w:val="24"/>
          <w:lang w:eastAsia="en-US"/>
        </w:rPr>
      </w:pPr>
      <w:r>
        <w:rPr>
          <w:rFonts w:hint="default" w:ascii="Times New Roman" w:hAnsi="Times New Roman" w:cs="Times New Roman"/>
          <w:kern w:val="0"/>
          <w:sz w:val="24"/>
          <w:szCs w:val="24"/>
          <w:lang w:eastAsia="en-US"/>
        </w:rPr>
        <w:t>Abbreviations: IPL, inferior parietal lobule; SFGdor, dorsal superior frontal gyrus; SMA, supplementary motor area; SPG, superior parietal gyrus; L, left hemisphere; R, right hemisphere.</w:t>
      </w:r>
    </w:p>
    <w:p w14:paraId="32383718">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br w:type="page"/>
      </w:r>
      <w:r>
        <w:rPr>
          <w:rFonts w:hint="default" w:ascii="Times New Roman" w:hAnsi="Times New Roman" w:cs="Times New Roman"/>
          <w:b/>
          <w:bCs/>
          <w:color w:val="000000"/>
          <w:sz w:val="24"/>
          <w:szCs w:val="24"/>
        </w:rPr>
        <w:t xml:space="preserve"> </w:t>
      </w:r>
    </w:p>
    <w:p w14:paraId="47B2C81F">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Table S1. Abnormal functional connectivity of self-networks in ASD</w:t>
      </w:r>
    </w:p>
    <w:tbl>
      <w:tblPr>
        <w:tblStyle w:val="6"/>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86"/>
        <w:gridCol w:w="3250"/>
        <w:gridCol w:w="2450"/>
      </w:tblGrid>
      <w:tr w14:paraId="0D7A8FB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86" w:type="dxa"/>
            <w:tcBorders>
              <w:top w:val="single" w:color="auto" w:sz="12" w:space="0"/>
              <w:left w:val="nil"/>
              <w:bottom w:val="single" w:color="auto" w:sz="6" w:space="0"/>
              <w:right w:val="nil"/>
            </w:tcBorders>
            <w:shd w:val="clear" w:color="auto" w:fill="auto"/>
          </w:tcPr>
          <w:p w14:paraId="2444BF7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Brain regions</w:t>
            </w:r>
          </w:p>
        </w:tc>
        <w:tc>
          <w:tcPr>
            <w:tcW w:w="5700" w:type="dxa"/>
            <w:gridSpan w:val="2"/>
            <w:tcBorders>
              <w:top w:val="single" w:color="auto" w:sz="12" w:space="0"/>
              <w:bottom w:val="single" w:color="auto" w:sz="6" w:space="0"/>
              <w:right w:val="nil"/>
            </w:tcBorders>
            <w:shd w:val="clear" w:color="auto" w:fill="auto"/>
          </w:tcPr>
          <w:p w14:paraId="00C0696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Functional connectivity</w:t>
            </w:r>
          </w:p>
        </w:tc>
      </w:tr>
      <w:tr w14:paraId="2E0EBDB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86" w:type="dxa"/>
            <w:shd w:val="clear" w:color="auto" w:fill="auto"/>
          </w:tcPr>
          <w:p w14:paraId="2793EEE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18-24 Months</w:t>
            </w:r>
          </w:p>
        </w:tc>
        <w:tc>
          <w:tcPr>
            <w:tcW w:w="3250" w:type="dxa"/>
            <w:shd w:val="clear" w:color="auto" w:fill="auto"/>
          </w:tcPr>
          <w:p w14:paraId="19A49D2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b/>
                <w:sz w:val="24"/>
                <w:szCs w:val="24"/>
              </w:rPr>
              <w:t>ASD &gt; TDC</w:t>
            </w:r>
          </w:p>
        </w:tc>
        <w:tc>
          <w:tcPr>
            <w:tcW w:w="2450" w:type="dxa"/>
            <w:shd w:val="clear" w:color="auto" w:fill="auto"/>
          </w:tcPr>
          <w:p w14:paraId="790E337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b/>
                <w:sz w:val="24"/>
                <w:szCs w:val="24"/>
              </w:rPr>
              <w:t>ASD &lt; TDC</w:t>
            </w:r>
          </w:p>
        </w:tc>
      </w:tr>
      <w:tr w14:paraId="6BBF74D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86" w:type="dxa"/>
            <w:shd w:val="clear" w:color="auto" w:fill="auto"/>
          </w:tcPr>
          <w:p w14:paraId="0DEA077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Exteroceptive-self</w:t>
            </w:r>
          </w:p>
        </w:tc>
        <w:tc>
          <w:tcPr>
            <w:tcW w:w="3250" w:type="dxa"/>
            <w:shd w:val="clear" w:color="auto" w:fill="auto"/>
          </w:tcPr>
          <w:p w14:paraId="7F7E743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c>
          <w:tcPr>
            <w:tcW w:w="2450" w:type="dxa"/>
            <w:shd w:val="clear" w:color="auto" w:fill="auto"/>
          </w:tcPr>
          <w:p w14:paraId="1FD1AE3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r>
      <w:tr w14:paraId="4EB2FB2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86" w:type="dxa"/>
            <w:shd w:val="clear" w:color="auto" w:fill="auto"/>
          </w:tcPr>
          <w:p w14:paraId="41582F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L.TPJ</w:t>
            </w:r>
          </w:p>
        </w:tc>
        <w:tc>
          <w:tcPr>
            <w:tcW w:w="3250" w:type="dxa"/>
            <w:shd w:val="clear" w:color="auto" w:fill="auto"/>
          </w:tcPr>
          <w:p w14:paraId="1C8881B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L.mPFC</w:t>
            </w:r>
          </w:p>
        </w:tc>
        <w:tc>
          <w:tcPr>
            <w:tcW w:w="2450" w:type="dxa"/>
            <w:shd w:val="clear" w:color="auto" w:fill="auto"/>
          </w:tcPr>
          <w:p w14:paraId="51A7C70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w:t>
            </w:r>
          </w:p>
        </w:tc>
      </w:tr>
      <w:tr w14:paraId="757608B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86" w:type="dxa"/>
            <w:shd w:val="clear" w:color="auto" w:fill="auto"/>
          </w:tcPr>
          <w:p w14:paraId="0013A7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R.TPJ</w:t>
            </w:r>
          </w:p>
        </w:tc>
        <w:tc>
          <w:tcPr>
            <w:tcW w:w="3250" w:type="dxa"/>
            <w:shd w:val="clear" w:color="auto" w:fill="auto"/>
          </w:tcPr>
          <w:p w14:paraId="1794C5F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L.mPFC, R. L.mPFC, R.ACC,RPCC</w:t>
            </w:r>
          </w:p>
        </w:tc>
        <w:tc>
          <w:tcPr>
            <w:tcW w:w="2450" w:type="dxa"/>
            <w:shd w:val="clear" w:color="auto" w:fill="auto"/>
          </w:tcPr>
          <w:p w14:paraId="2DB9219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w:t>
            </w:r>
          </w:p>
        </w:tc>
      </w:tr>
      <w:tr w14:paraId="569DAEA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86" w:type="dxa"/>
            <w:shd w:val="clear" w:color="auto" w:fill="auto"/>
          </w:tcPr>
          <w:p w14:paraId="0899D99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25-48 Months</w:t>
            </w:r>
          </w:p>
        </w:tc>
        <w:tc>
          <w:tcPr>
            <w:tcW w:w="3250" w:type="dxa"/>
            <w:shd w:val="clear" w:color="auto" w:fill="auto"/>
          </w:tcPr>
          <w:p w14:paraId="6699BCF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c>
          <w:tcPr>
            <w:tcW w:w="2450" w:type="dxa"/>
            <w:shd w:val="clear" w:color="auto" w:fill="auto"/>
          </w:tcPr>
          <w:p w14:paraId="631BD81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r>
      <w:tr w14:paraId="585F2C7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86" w:type="dxa"/>
            <w:shd w:val="clear" w:color="auto" w:fill="auto"/>
          </w:tcPr>
          <w:p w14:paraId="55E211A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sz w:val="24"/>
                <w:szCs w:val="24"/>
              </w:rPr>
            </w:pPr>
            <w:r>
              <w:rPr>
                <w:rFonts w:hint="default" w:ascii="Times New Roman" w:hAnsi="Times New Roman" w:cs="Times New Roman"/>
                <w:sz w:val="24"/>
                <w:szCs w:val="24"/>
              </w:rPr>
              <w:t>Interoceptive-self</w:t>
            </w:r>
          </w:p>
        </w:tc>
        <w:tc>
          <w:tcPr>
            <w:tcW w:w="3250" w:type="dxa"/>
            <w:shd w:val="clear" w:color="auto" w:fill="auto"/>
          </w:tcPr>
          <w:p w14:paraId="5CD9201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c>
          <w:tcPr>
            <w:tcW w:w="2450" w:type="dxa"/>
            <w:shd w:val="clear" w:color="auto" w:fill="auto"/>
          </w:tcPr>
          <w:p w14:paraId="21C21F2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r>
      <w:tr w14:paraId="1929E60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86" w:type="dxa"/>
            <w:shd w:val="clear" w:color="auto" w:fill="auto"/>
          </w:tcPr>
          <w:p w14:paraId="63A851F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R.INS</w:t>
            </w:r>
          </w:p>
        </w:tc>
        <w:tc>
          <w:tcPr>
            <w:tcW w:w="3250" w:type="dxa"/>
            <w:shd w:val="clear" w:color="auto" w:fill="auto"/>
          </w:tcPr>
          <w:p w14:paraId="4EB2715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L.TPJ</w:t>
            </w:r>
          </w:p>
        </w:tc>
        <w:tc>
          <w:tcPr>
            <w:tcW w:w="2450" w:type="dxa"/>
            <w:shd w:val="clear" w:color="auto" w:fill="auto"/>
          </w:tcPr>
          <w:p w14:paraId="7C0A897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r>
      <w:tr w14:paraId="49BCE43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86" w:type="dxa"/>
            <w:shd w:val="clear" w:color="auto" w:fill="auto"/>
          </w:tcPr>
          <w:p w14:paraId="03C850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L.Thal</w:t>
            </w:r>
          </w:p>
        </w:tc>
        <w:tc>
          <w:tcPr>
            <w:tcW w:w="3250" w:type="dxa"/>
            <w:shd w:val="clear" w:color="auto" w:fill="auto"/>
          </w:tcPr>
          <w:p w14:paraId="1720B84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c>
          <w:tcPr>
            <w:tcW w:w="2450" w:type="dxa"/>
            <w:shd w:val="clear" w:color="auto" w:fill="auto"/>
          </w:tcPr>
          <w:p w14:paraId="0B1693C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L.PMC,R.PMC</w:t>
            </w:r>
          </w:p>
        </w:tc>
      </w:tr>
      <w:tr w14:paraId="584D694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86" w:type="dxa"/>
            <w:shd w:val="clear" w:color="auto" w:fill="auto"/>
          </w:tcPr>
          <w:p w14:paraId="2C623780">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Exteroceptive-self</w:t>
            </w:r>
          </w:p>
        </w:tc>
        <w:tc>
          <w:tcPr>
            <w:tcW w:w="3250" w:type="dxa"/>
            <w:shd w:val="clear" w:color="auto" w:fill="auto"/>
          </w:tcPr>
          <w:p w14:paraId="4A30625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c>
          <w:tcPr>
            <w:tcW w:w="2450" w:type="dxa"/>
            <w:shd w:val="clear" w:color="auto" w:fill="auto"/>
          </w:tcPr>
          <w:p w14:paraId="2FEFD61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r>
      <w:tr w14:paraId="5481D51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86" w:type="dxa"/>
            <w:shd w:val="clear" w:color="auto" w:fill="auto"/>
          </w:tcPr>
          <w:p w14:paraId="582E84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L.TPJ</w:t>
            </w:r>
          </w:p>
        </w:tc>
        <w:tc>
          <w:tcPr>
            <w:tcW w:w="3250" w:type="dxa"/>
            <w:shd w:val="clear" w:color="auto" w:fill="auto"/>
          </w:tcPr>
          <w:p w14:paraId="1467622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R.PMC,L.</w:t>
            </w:r>
            <w:bookmarkStart w:id="4" w:name="OLE_LINK21"/>
            <w:bookmarkStart w:id="5" w:name="OLE_LINK22"/>
            <w:r>
              <w:rPr>
                <w:rFonts w:hint="default" w:ascii="Times New Roman" w:hAnsi="Times New Roman" w:cs="Times New Roman"/>
                <w:sz w:val="24"/>
                <w:szCs w:val="24"/>
              </w:rPr>
              <w:t>R.ACC</w:t>
            </w:r>
            <w:bookmarkEnd w:id="4"/>
            <w:bookmarkEnd w:id="5"/>
          </w:p>
        </w:tc>
        <w:tc>
          <w:tcPr>
            <w:tcW w:w="2450" w:type="dxa"/>
            <w:shd w:val="clear" w:color="auto" w:fill="auto"/>
          </w:tcPr>
          <w:p w14:paraId="6E87483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w:t>
            </w:r>
          </w:p>
        </w:tc>
      </w:tr>
      <w:tr w14:paraId="6FB216D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86" w:type="dxa"/>
            <w:shd w:val="clear" w:color="auto" w:fill="auto"/>
          </w:tcPr>
          <w:p w14:paraId="4659D6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R.TPJ</w:t>
            </w:r>
          </w:p>
        </w:tc>
        <w:tc>
          <w:tcPr>
            <w:tcW w:w="3250" w:type="dxa"/>
            <w:shd w:val="clear" w:color="auto" w:fill="auto"/>
          </w:tcPr>
          <w:p w14:paraId="0CC50C3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L.mPFC, R. R.ACC</w:t>
            </w:r>
          </w:p>
        </w:tc>
        <w:tc>
          <w:tcPr>
            <w:tcW w:w="2450" w:type="dxa"/>
            <w:shd w:val="clear" w:color="auto" w:fill="auto"/>
          </w:tcPr>
          <w:p w14:paraId="3C6B74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w:t>
            </w:r>
          </w:p>
        </w:tc>
      </w:tr>
      <w:tr w14:paraId="2E3680F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86" w:type="dxa"/>
            <w:shd w:val="clear" w:color="auto" w:fill="auto"/>
          </w:tcPr>
          <w:p w14:paraId="260F5F1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Mental-self</w:t>
            </w:r>
          </w:p>
        </w:tc>
        <w:tc>
          <w:tcPr>
            <w:tcW w:w="3250" w:type="dxa"/>
            <w:shd w:val="clear" w:color="auto" w:fill="auto"/>
          </w:tcPr>
          <w:p w14:paraId="415E3B8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c>
          <w:tcPr>
            <w:tcW w:w="2450" w:type="dxa"/>
            <w:shd w:val="clear" w:color="auto" w:fill="auto"/>
          </w:tcPr>
          <w:p w14:paraId="74E6D7A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r>
      <w:tr w14:paraId="4E08897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86" w:type="dxa"/>
            <w:shd w:val="clear" w:color="auto" w:fill="auto"/>
          </w:tcPr>
          <w:p w14:paraId="47E940E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L.ACC</w:t>
            </w:r>
          </w:p>
        </w:tc>
        <w:tc>
          <w:tcPr>
            <w:tcW w:w="3250" w:type="dxa"/>
            <w:shd w:val="clear" w:color="auto" w:fill="auto"/>
          </w:tcPr>
          <w:p w14:paraId="19776DE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L.PCC,</w:t>
            </w:r>
          </w:p>
        </w:tc>
        <w:tc>
          <w:tcPr>
            <w:tcW w:w="2450" w:type="dxa"/>
            <w:shd w:val="clear" w:color="auto" w:fill="auto"/>
          </w:tcPr>
          <w:p w14:paraId="63197F4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w:t>
            </w:r>
          </w:p>
        </w:tc>
      </w:tr>
      <w:tr w14:paraId="43F36E2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86" w:type="dxa"/>
            <w:shd w:val="clear" w:color="auto" w:fill="auto"/>
          </w:tcPr>
          <w:p w14:paraId="45BE91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R.ACC</w:t>
            </w:r>
          </w:p>
        </w:tc>
        <w:tc>
          <w:tcPr>
            <w:tcW w:w="3250" w:type="dxa"/>
            <w:shd w:val="clear" w:color="auto" w:fill="auto"/>
          </w:tcPr>
          <w:p w14:paraId="3D29E97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L.R.PCC,</w:t>
            </w:r>
          </w:p>
        </w:tc>
        <w:tc>
          <w:tcPr>
            <w:tcW w:w="2450" w:type="dxa"/>
            <w:shd w:val="clear" w:color="auto" w:fill="auto"/>
          </w:tcPr>
          <w:p w14:paraId="7F627F9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w:t>
            </w:r>
          </w:p>
        </w:tc>
      </w:tr>
    </w:tbl>
    <w:p w14:paraId="3783C83F">
      <w:pPr>
        <w:keepNext w:val="0"/>
        <w:keepLines w:val="0"/>
        <w:pageBreakBefore w:val="0"/>
        <w:widowControl/>
        <w:kinsoku/>
        <w:wordWrap/>
        <w:overflowPunct/>
        <w:topLinePunct w:val="0"/>
        <w:autoSpaceDE/>
        <w:autoSpaceDN/>
        <w:bidi w:val="0"/>
        <w:adjustRightInd/>
        <w:snapToGrid/>
        <w:spacing w:before="240" w:after="60" w:line="240" w:lineRule="auto"/>
        <w:jc w:val="left"/>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Brain regions are the core brain regions of self-network, and the functional connectivity means abnormal FC between the brain regions of self-network.  L.means left hemisphere; R.means right hemispher; abbreviations of the brain regions: INS: insula; Thal: thalamus; TPJ: temporo parietal junction; mPFC: medial </w:t>
      </w:r>
      <w:r>
        <w:rPr>
          <w:rFonts w:hint="default" w:ascii="Times New Roman" w:hAnsi="Times New Roman" w:cs="Times New Roman" w:eastAsiaTheme="minorHAnsi"/>
          <w:color w:val="000000"/>
          <w:sz w:val="24"/>
          <w:szCs w:val="24"/>
        </w:rPr>
        <w:t>prefrontal cortex</w:t>
      </w:r>
      <w:r>
        <w:rPr>
          <w:rFonts w:hint="default" w:ascii="Times New Roman" w:hAnsi="Times New Roman" w:cs="Times New Roman"/>
          <w:color w:val="000000"/>
          <w:sz w:val="24"/>
          <w:szCs w:val="24"/>
        </w:rPr>
        <w:t xml:space="preserve">; ACC: anterior cingulate </w:t>
      </w:r>
      <w:r>
        <w:rPr>
          <w:rFonts w:hint="default" w:ascii="Times New Roman" w:hAnsi="Times New Roman" w:cs="Times New Roman" w:eastAsiaTheme="minorHAnsi"/>
          <w:color w:val="000000"/>
          <w:sz w:val="24"/>
          <w:szCs w:val="24"/>
        </w:rPr>
        <w:t>cortex</w:t>
      </w:r>
      <w:r>
        <w:rPr>
          <w:rFonts w:hint="default" w:ascii="Times New Roman" w:hAnsi="Times New Roman" w:cs="Times New Roman"/>
          <w:color w:val="000000"/>
          <w:sz w:val="24"/>
          <w:szCs w:val="24"/>
        </w:rPr>
        <w:t xml:space="preserve">; PMC: </w:t>
      </w:r>
      <w:r>
        <w:rPr>
          <w:rFonts w:hint="default" w:ascii="Times New Roman" w:hAnsi="Times New Roman" w:cs="Times New Roman" w:eastAsiaTheme="minorHAnsi"/>
          <w:color w:val="000000"/>
          <w:sz w:val="24"/>
          <w:szCs w:val="24"/>
        </w:rPr>
        <w:t>premotor cortex</w:t>
      </w:r>
      <w:r>
        <w:rPr>
          <w:rFonts w:hint="default" w:ascii="Times New Roman" w:hAnsi="Times New Roman" w:cs="Times New Roman"/>
          <w:color w:val="000000"/>
          <w:sz w:val="24"/>
          <w:szCs w:val="24"/>
        </w:rPr>
        <w:t xml:space="preserve">; PCC: posterior cingulate </w:t>
      </w:r>
      <w:r>
        <w:rPr>
          <w:rFonts w:hint="default" w:ascii="Times New Roman" w:hAnsi="Times New Roman" w:cs="Times New Roman" w:eastAsiaTheme="minorHAnsi"/>
          <w:color w:val="000000"/>
          <w:sz w:val="24"/>
          <w:szCs w:val="24"/>
        </w:rPr>
        <w:t>cortex</w:t>
      </w:r>
    </w:p>
    <w:p w14:paraId="7372210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br w:type="page"/>
      </w:r>
    </w:p>
    <w:p w14:paraId="5C9900A0">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Table S2. Functional connectivity of self-networks in age group comparison</w:t>
      </w:r>
    </w:p>
    <w:tbl>
      <w:tblPr>
        <w:tblStyle w:val="6"/>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99"/>
        <w:gridCol w:w="3050"/>
        <w:gridCol w:w="3040"/>
      </w:tblGrid>
      <w:tr w14:paraId="3A801AF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299" w:type="dxa"/>
            <w:tcBorders>
              <w:top w:val="single" w:color="auto" w:sz="12" w:space="0"/>
              <w:left w:val="nil"/>
              <w:bottom w:val="single" w:color="auto" w:sz="6" w:space="0"/>
              <w:right w:val="nil"/>
            </w:tcBorders>
            <w:shd w:val="clear" w:color="auto" w:fill="auto"/>
          </w:tcPr>
          <w:p w14:paraId="35ECDBF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Brain regions</w:t>
            </w:r>
          </w:p>
        </w:tc>
        <w:tc>
          <w:tcPr>
            <w:tcW w:w="6090" w:type="dxa"/>
            <w:gridSpan w:val="2"/>
            <w:tcBorders>
              <w:top w:val="single" w:color="auto" w:sz="12" w:space="0"/>
              <w:bottom w:val="single" w:color="auto" w:sz="6" w:space="0"/>
              <w:right w:val="nil"/>
            </w:tcBorders>
            <w:shd w:val="clear" w:color="auto" w:fill="auto"/>
          </w:tcPr>
          <w:p w14:paraId="0678C5B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Functional connectivity</w:t>
            </w:r>
          </w:p>
        </w:tc>
      </w:tr>
      <w:tr w14:paraId="00FFB15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299" w:type="dxa"/>
            <w:shd w:val="clear" w:color="auto" w:fill="auto"/>
          </w:tcPr>
          <w:p w14:paraId="112B54A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ASD</w:t>
            </w:r>
          </w:p>
          <w:p w14:paraId="2D7B1CB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Interoceptive-self</w:t>
            </w:r>
          </w:p>
        </w:tc>
        <w:tc>
          <w:tcPr>
            <w:tcW w:w="3050" w:type="dxa"/>
            <w:shd w:val="clear" w:color="auto" w:fill="auto"/>
          </w:tcPr>
          <w:p w14:paraId="29433E0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25-48 Months &gt; 18-24 Months </w:t>
            </w:r>
          </w:p>
        </w:tc>
        <w:tc>
          <w:tcPr>
            <w:tcW w:w="3040" w:type="dxa"/>
            <w:shd w:val="clear" w:color="auto" w:fill="auto"/>
          </w:tcPr>
          <w:p w14:paraId="280AF85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b/>
                <w:sz w:val="24"/>
                <w:szCs w:val="24"/>
              </w:rPr>
              <w:t>25-48 Months &lt; 18-24 Months</w:t>
            </w:r>
          </w:p>
        </w:tc>
      </w:tr>
      <w:tr w14:paraId="2D8AF6F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299" w:type="dxa"/>
            <w:shd w:val="clear" w:color="auto" w:fill="auto"/>
          </w:tcPr>
          <w:p w14:paraId="69CEDDF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L.Thal</w:t>
            </w:r>
          </w:p>
        </w:tc>
        <w:tc>
          <w:tcPr>
            <w:tcW w:w="3050" w:type="dxa"/>
            <w:shd w:val="clear" w:color="auto" w:fill="auto"/>
          </w:tcPr>
          <w:p w14:paraId="3FB2522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w:t>
            </w:r>
          </w:p>
        </w:tc>
        <w:tc>
          <w:tcPr>
            <w:tcW w:w="3040" w:type="dxa"/>
            <w:shd w:val="clear" w:color="auto" w:fill="auto"/>
          </w:tcPr>
          <w:p w14:paraId="1563C03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R.Thal</w:t>
            </w:r>
          </w:p>
        </w:tc>
      </w:tr>
      <w:tr w14:paraId="364B1F0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299" w:type="dxa"/>
            <w:shd w:val="clear" w:color="auto" w:fill="auto"/>
          </w:tcPr>
          <w:p w14:paraId="1D2A6B9A">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TDC</w:t>
            </w:r>
          </w:p>
          <w:p w14:paraId="2EB39556">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Interoceptive-self</w:t>
            </w:r>
          </w:p>
        </w:tc>
        <w:tc>
          <w:tcPr>
            <w:tcW w:w="3050" w:type="dxa"/>
            <w:shd w:val="clear" w:color="auto" w:fill="auto"/>
          </w:tcPr>
          <w:p w14:paraId="2884FA1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c>
          <w:tcPr>
            <w:tcW w:w="3040" w:type="dxa"/>
            <w:shd w:val="clear" w:color="auto" w:fill="auto"/>
          </w:tcPr>
          <w:p w14:paraId="4BDC2DD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r>
      <w:tr w14:paraId="2B463C1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299" w:type="dxa"/>
            <w:shd w:val="clear" w:color="auto" w:fill="auto"/>
          </w:tcPr>
          <w:p w14:paraId="7DCBC78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L.Insula</w:t>
            </w:r>
          </w:p>
        </w:tc>
        <w:tc>
          <w:tcPr>
            <w:tcW w:w="3050" w:type="dxa"/>
            <w:shd w:val="clear" w:color="auto" w:fill="auto"/>
          </w:tcPr>
          <w:p w14:paraId="0CC4615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w:t>
            </w:r>
          </w:p>
        </w:tc>
        <w:tc>
          <w:tcPr>
            <w:tcW w:w="3040" w:type="dxa"/>
            <w:shd w:val="clear" w:color="auto" w:fill="auto"/>
          </w:tcPr>
          <w:p w14:paraId="32C98D3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L.TPJ</w:t>
            </w:r>
          </w:p>
        </w:tc>
      </w:tr>
      <w:tr w14:paraId="79A27F5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299" w:type="dxa"/>
            <w:shd w:val="clear" w:color="auto" w:fill="auto"/>
          </w:tcPr>
          <w:p w14:paraId="5C3031C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Mental-self</w:t>
            </w:r>
          </w:p>
        </w:tc>
        <w:tc>
          <w:tcPr>
            <w:tcW w:w="3050" w:type="dxa"/>
            <w:shd w:val="clear" w:color="auto" w:fill="auto"/>
          </w:tcPr>
          <w:p w14:paraId="0D65BC7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c>
          <w:tcPr>
            <w:tcW w:w="3040" w:type="dxa"/>
            <w:shd w:val="clear" w:color="auto" w:fill="auto"/>
          </w:tcPr>
          <w:p w14:paraId="1D07B82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p>
        </w:tc>
      </w:tr>
      <w:tr w14:paraId="4F84E36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299" w:type="dxa"/>
            <w:shd w:val="clear" w:color="auto" w:fill="auto"/>
          </w:tcPr>
          <w:p w14:paraId="0A8ABF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R.ACC</w:t>
            </w:r>
          </w:p>
        </w:tc>
        <w:tc>
          <w:tcPr>
            <w:tcW w:w="3050" w:type="dxa"/>
            <w:shd w:val="clear" w:color="auto" w:fill="auto"/>
          </w:tcPr>
          <w:p w14:paraId="0CFD092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w:t>
            </w:r>
          </w:p>
        </w:tc>
        <w:tc>
          <w:tcPr>
            <w:tcW w:w="3040" w:type="dxa"/>
            <w:shd w:val="clear" w:color="auto" w:fill="auto"/>
          </w:tcPr>
          <w:p w14:paraId="3EC6610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L.PCC</w:t>
            </w:r>
          </w:p>
        </w:tc>
      </w:tr>
    </w:tbl>
    <w:p w14:paraId="10BE8D2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L.means left hemisphere; R.means right hemispher; abbreviations of the brain regions: Thla: thalamus; INS: Insula; TPJ: temporo-parietal junction; ACC: anterior cingulate </w:t>
      </w:r>
      <w:r>
        <w:rPr>
          <w:rFonts w:hint="default" w:ascii="Times New Roman" w:hAnsi="Times New Roman" w:cs="Times New Roman" w:eastAsiaTheme="minorHAnsi"/>
          <w:color w:val="000000"/>
          <w:sz w:val="24"/>
          <w:szCs w:val="24"/>
        </w:rPr>
        <w:t>cortex</w:t>
      </w:r>
      <w:r>
        <w:rPr>
          <w:rFonts w:hint="default" w:ascii="Times New Roman" w:hAnsi="Times New Roman" w:cs="Times New Roman"/>
          <w:color w:val="000000"/>
          <w:sz w:val="24"/>
          <w:szCs w:val="24"/>
        </w:rPr>
        <w:t>; PCC: posterior cingulate</w:t>
      </w:r>
      <w:r>
        <w:rPr>
          <w:rFonts w:hint="default" w:ascii="Times New Roman" w:hAnsi="Times New Roman" w:cs="Times New Roman" w:eastAsiaTheme="minorHAnsi"/>
          <w:color w:val="000000"/>
          <w:sz w:val="24"/>
          <w:szCs w:val="24"/>
        </w:rPr>
        <w:t xml:space="preserve"> cortex</w:t>
      </w:r>
      <w:bookmarkStart w:id="6" w:name="_GoBack"/>
      <w:bookmarkEnd w:id="6"/>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18B596"/>
    <w:multiLevelType w:val="singleLevel"/>
    <w:tmpl w:val="6618B596"/>
    <w:lvl w:ilvl="0" w:tentative="0">
      <w:start w:val="1"/>
      <w:numFmt w:val="upperLetter"/>
      <w:suff w:val="space"/>
      <w:lvlText w:val="(%1)"/>
      <w:lvlJc w:val="left"/>
      <w:pPr>
        <w:ind w:left="12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xNWY2ZjY4ZDM3OWJlYmJiNWFkNzRmMGExNzMxZjkifQ=="/>
  </w:docVars>
  <w:rsids>
    <w:rsidRoot w:val="59E807A2"/>
    <w:rsid w:val="00087FC3"/>
    <w:rsid w:val="000A4AE5"/>
    <w:rsid w:val="000B671B"/>
    <w:rsid w:val="001149B7"/>
    <w:rsid w:val="0013018D"/>
    <w:rsid w:val="0014249F"/>
    <w:rsid w:val="001558BD"/>
    <w:rsid w:val="001770EB"/>
    <w:rsid w:val="0018187E"/>
    <w:rsid w:val="001A2FCD"/>
    <w:rsid w:val="001F0D23"/>
    <w:rsid w:val="00257D1C"/>
    <w:rsid w:val="002D29EC"/>
    <w:rsid w:val="002E0A28"/>
    <w:rsid w:val="002E7FC1"/>
    <w:rsid w:val="002E7FF1"/>
    <w:rsid w:val="002F58A4"/>
    <w:rsid w:val="0032481C"/>
    <w:rsid w:val="00394ECF"/>
    <w:rsid w:val="00430EA7"/>
    <w:rsid w:val="00443A4C"/>
    <w:rsid w:val="0047138D"/>
    <w:rsid w:val="004A1BC5"/>
    <w:rsid w:val="004A2111"/>
    <w:rsid w:val="004B15D1"/>
    <w:rsid w:val="004F16BE"/>
    <w:rsid w:val="00533B64"/>
    <w:rsid w:val="005A0453"/>
    <w:rsid w:val="005A24F8"/>
    <w:rsid w:val="005E4BB2"/>
    <w:rsid w:val="00626018"/>
    <w:rsid w:val="00630DA6"/>
    <w:rsid w:val="00635616"/>
    <w:rsid w:val="006933C5"/>
    <w:rsid w:val="006B0EC2"/>
    <w:rsid w:val="006E2204"/>
    <w:rsid w:val="007D1314"/>
    <w:rsid w:val="007D2F3C"/>
    <w:rsid w:val="0081610F"/>
    <w:rsid w:val="0085228C"/>
    <w:rsid w:val="008E503B"/>
    <w:rsid w:val="00910115"/>
    <w:rsid w:val="009657A2"/>
    <w:rsid w:val="009900F2"/>
    <w:rsid w:val="00A33C77"/>
    <w:rsid w:val="00A67D60"/>
    <w:rsid w:val="00A766D4"/>
    <w:rsid w:val="00A91907"/>
    <w:rsid w:val="00AC3171"/>
    <w:rsid w:val="00AE3D4B"/>
    <w:rsid w:val="00CB75AF"/>
    <w:rsid w:val="00CF75B4"/>
    <w:rsid w:val="00D1119D"/>
    <w:rsid w:val="00D36469"/>
    <w:rsid w:val="00D64B84"/>
    <w:rsid w:val="00D85327"/>
    <w:rsid w:val="00DB4A5A"/>
    <w:rsid w:val="00DC650D"/>
    <w:rsid w:val="00DD47F5"/>
    <w:rsid w:val="00E32D0E"/>
    <w:rsid w:val="00E7173E"/>
    <w:rsid w:val="00E73804"/>
    <w:rsid w:val="00E74F8A"/>
    <w:rsid w:val="00E77D31"/>
    <w:rsid w:val="00F33E45"/>
    <w:rsid w:val="00F671B3"/>
    <w:rsid w:val="00F96F6F"/>
    <w:rsid w:val="00FF60A0"/>
    <w:rsid w:val="03D42E2E"/>
    <w:rsid w:val="03FD4132"/>
    <w:rsid w:val="04025BED"/>
    <w:rsid w:val="056A3A4A"/>
    <w:rsid w:val="06DD0A4A"/>
    <w:rsid w:val="06FC2DC7"/>
    <w:rsid w:val="0ADD2F10"/>
    <w:rsid w:val="0BA31A63"/>
    <w:rsid w:val="0BC856A5"/>
    <w:rsid w:val="0BF950D2"/>
    <w:rsid w:val="108556AB"/>
    <w:rsid w:val="11E23894"/>
    <w:rsid w:val="13223BB5"/>
    <w:rsid w:val="14AF5803"/>
    <w:rsid w:val="1635541A"/>
    <w:rsid w:val="16BF796D"/>
    <w:rsid w:val="1D230C56"/>
    <w:rsid w:val="1D506D2A"/>
    <w:rsid w:val="1F1243AE"/>
    <w:rsid w:val="226D64CF"/>
    <w:rsid w:val="231F3C6E"/>
    <w:rsid w:val="236475A7"/>
    <w:rsid w:val="28B2646E"/>
    <w:rsid w:val="293D309F"/>
    <w:rsid w:val="29D904A6"/>
    <w:rsid w:val="2CC43B2A"/>
    <w:rsid w:val="2E3600BD"/>
    <w:rsid w:val="2EC948D2"/>
    <w:rsid w:val="30134B5A"/>
    <w:rsid w:val="3234700A"/>
    <w:rsid w:val="33DE722D"/>
    <w:rsid w:val="33E844DB"/>
    <w:rsid w:val="36177079"/>
    <w:rsid w:val="393B4D50"/>
    <w:rsid w:val="3AA0523C"/>
    <w:rsid w:val="3B1C187E"/>
    <w:rsid w:val="3DE658A7"/>
    <w:rsid w:val="3E1D413D"/>
    <w:rsid w:val="3F9F1F66"/>
    <w:rsid w:val="3FAE75BD"/>
    <w:rsid w:val="42E12896"/>
    <w:rsid w:val="44D25C75"/>
    <w:rsid w:val="4A1C5F7A"/>
    <w:rsid w:val="4B9409EC"/>
    <w:rsid w:val="4E142372"/>
    <w:rsid w:val="4FE1043D"/>
    <w:rsid w:val="50211597"/>
    <w:rsid w:val="56B31315"/>
    <w:rsid w:val="59E807A2"/>
    <w:rsid w:val="5BE10DB9"/>
    <w:rsid w:val="5FB50DB5"/>
    <w:rsid w:val="628472D5"/>
    <w:rsid w:val="635B76A3"/>
    <w:rsid w:val="64D13C09"/>
    <w:rsid w:val="6B32518D"/>
    <w:rsid w:val="704C4F43"/>
    <w:rsid w:val="735C549D"/>
    <w:rsid w:val="73877E39"/>
    <w:rsid w:val="73AC73C0"/>
    <w:rsid w:val="781F64B8"/>
    <w:rsid w:val="7DA261A2"/>
    <w:rsid w:val="7FDC5C5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annotation reference"/>
    <w:basedOn w:val="7"/>
    <w:qFormat/>
    <w:uiPriority w:val="99"/>
    <w:rPr>
      <w:sz w:val="16"/>
      <w:szCs w:val="16"/>
    </w:rPr>
  </w:style>
  <w:style w:type="table" w:customStyle="1" w:styleId="9">
    <w:name w:val="我的三线表"/>
    <w:basedOn w:val="6"/>
    <w:autoRedefine/>
    <w:qFormat/>
    <w:uiPriority w:val="99"/>
    <w:tblPr>
      <w:tblBorders>
        <w:top w:val="single" w:color="auto" w:sz="12" w:space="0"/>
        <w:bottom w:val="single" w:color="auto" w:sz="12" w:space="0"/>
      </w:tblBorders>
    </w:tblPr>
    <w:tblStylePr w:type="firstRow">
      <w:pPr>
        <w:wordWrap/>
        <w:spacing w:line="360" w:lineRule="exact"/>
        <w:jc w:val="center"/>
      </w:pPr>
      <w:tcPr>
        <w:tcBorders>
          <w:top w:val="single" w:color="auto" w:sz="12" w:space="0"/>
          <w:left w:val="nil"/>
          <w:bottom w:val="single" w:color="auto" w:sz="6" w:space="0"/>
          <w:right w:val="nil"/>
          <w:insideH w:val="nil"/>
          <w:insideV w:val="nil"/>
          <w:tl2br w:val="nil"/>
          <w:tr2bl w:val="nil"/>
        </w:tcBorders>
      </w:tcPr>
    </w:tblStylePr>
  </w:style>
  <w:style w:type="character" w:customStyle="1" w:styleId="10">
    <w:name w:val="页眉 字符"/>
    <w:basedOn w:val="7"/>
    <w:link w:val="4"/>
    <w:qFormat/>
    <w:uiPriority w:val="0"/>
    <w:rPr>
      <w:rFonts w:ascii="Calibri" w:hAnsi="Calibri"/>
      <w:kern w:val="2"/>
      <w:sz w:val="18"/>
      <w:szCs w:val="18"/>
    </w:rPr>
  </w:style>
  <w:style w:type="character" w:customStyle="1" w:styleId="11">
    <w:name w:val="页脚 字符"/>
    <w:basedOn w:val="7"/>
    <w:link w:val="3"/>
    <w:qFormat/>
    <w:uiPriority w:val="0"/>
    <w:rPr>
      <w:rFonts w:ascii="Calibri" w:hAnsi="Calibri"/>
      <w:kern w:val="2"/>
      <w:sz w:val="18"/>
      <w:szCs w:val="18"/>
    </w:rPr>
  </w:style>
  <w:style w:type="paragraph"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605</Words>
  <Characters>3779</Characters>
  <Lines>30</Lines>
  <Paragraphs>8</Paragraphs>
  <TotalTime>10</TotalTime>
  <ScaleCrop>false</ScaleCrop>
  <LinksUpToDate>false</LinksUpToDate>
  <CharactersWithSpaces>4321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2023-11-21T17:54:00Z</dcterms:created>
  <dc:creator>周力伟</dc:creator>
  <cp:lastModifiedBy>周力伟</cp:lastModifiedBy>
  <dcterms:modified xsi:type="dcterms:W3CDTF">2026-03-09T10:35:26Z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C8838C251ABC4128834BD62F572F6BF1_13</vt:lpwstr>
  </property>
  <property fmtid="{D5CDD505-2E9C-101B-9397-08002B2CF9AE}" pid="4" name="KSOTemplateDocerSaveRecord">
    <vt:lpwstr>eyJoZGlkIjoiYjllMDMwNmJjNTVmODVlZWZkZGZhOWNiOWY5NjRmOTYiLCJ1c2VySWQiOiIyNDE0OTU0MjUifQ==</vt:lpwstr>
  </property>
</Properties>
</file>