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7F5E" w14:textId="56DCD581"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sz w:val="24"/>
        </w:rPr>
        <w:t>Supplementary Information</w:t>
      </w:r>
    </w:p>
    <w:p w14:paraId="5618FC5C" w14:textId="77777777" w:rsidR="00F7012C" w:rsidRDefault="00F7012C" w:rsidP="00F7012C">
      <w:pPr>
        <w:snapToGrid w:val="0"/>
        <w:spacing w:line="480" w:lineRule="auto"/>
        <w:ind w:right="210"/>
        <w:contextualSpacing/>
        <w:rPr>
          <w:rFonts w:ascii="Times New Roman" w:eastAsia="Times New Roman" w:hAnsi="Times New Roman" w:cs="Times New Roman"/>
          <w:b/>
          <w:sz w:val="24"/>
        </w:rPr>
      </w:pPr>
    </w:p>
    <w:p w14:paraId="17962CA4" w14:textId="77777777" w:rsidR="00F7012C" w:rsidRPr="00A32CA7" w:rsidRDefault="004D5AA3" w:rsidP="00F7012C">
      <w:pPr>
        <w:snapToGrid w:val="0"/>
        <w:spacing w:line="480" w:lineRule="auto"/>
        <w:ind w:right="210"/>
        <w:contextualSpacing/>
        <w:rPr>
          <w:rFonts w:ascii="Times New Roman" w:eastAsia="Times New Roman" w:hAnsi="Times New Roman" w:cs="Times New Roman"/>
          <w:b/>
          <w:i/>
          <w:sz w:val="24"/>
        </w:rPr>
      </w:pPr>
      <w:r w:rsidRPr="00A32CA7">
        <w:rPr>
          <w:rFonts w:ascii="Times New Roman" w:eastAsia="Times New Roman" w:hAnsi="Times New Roman" w:cs="Times New Roman"/>
          <w:b/>
          <w:i/>
          <w:sz w:val="24"/>
        </w:rPr>
        <w:t>International Journal of Clinical Oncology</w:t>
      </w:r>
    </w:p>
    <w:p w14:paraId="773B5389" w14:textId="77777777" w:rsidR="00F7012C" w:rsidRDefault="00F7012C" w:rsidP="00F7012C">
      <w:pPr>
        <w:snapToGrid w:val="0"/>
        <w:spacing w:line="480" w:lineRule="auto"/>
        <w:ind w:right="210"/>
        <w:contextualSpacing/>
        <w:rPr>
          <w:rFonts w:ascii="Times New Roman" w:eastAsia="Times New Roman" w:hAnsi="Times New Roman" w:cs="Times New Roman"/>
          <w:b/>
          <w:sz w:val="24"/>
        </w:rPr>
      </w:pPr>
    </w:p>
    <w:p w14:paraId="3A00A54F" w14:textId="70F7A115" w:rsidR="00F7012C" w:rsidRDefault="004D5AA3" w:rsidP="00F7012C">
      <w:pPr>
        <w:snapToGrid w:val="0"/>
        <w:spacing w:line="480" w:lineRule="auto"/>
        <w:ind w:right="210"/>
        <w:contextualSpacing/>
        <w:rPr>
          <w:rFonts w:ascii="Times New Roman" w:eastAsia="Times New Roman" w:hAnsi="Times New Roman" w:cs="Times New Roman"/>
          <w:b/>
          <w:sz w:val="24"/>
        </w:rPr>
      </w:pPr>
      <w:r>
        <w:rPr>
          <w:rFonts w:ascii="Times New Roman" w:eastAsia="Times New Roman" w:hAnsi="Times New Roman" w:cs="Times New Roman"/>
          <w:b/>
          <w:sz w:val="24"/>
        </w:rPr>
        <w:t xml:space="preserve">Clinical performance evaluation of a highly sensitive Safe-SeqS plasma circulating-tumor DNA assay for </w:t>
      </w:r>
      <w:r w:rsidR="003911C9">
        <w:rPr>
          <w:rFonts w:ascii="Times New Roman" w:eastAsia="Times New Roman" w:hAnsi="Times New Roman" w:cs="Times New Roman"/>
          <w:b/>
          <w:sz w:val="24"/>
        </w:rPr>
        <w:t xml:space="preserve">the detection of </w:t>
      </w:r>
      <w:r>
        <w:rPr>
          <w:rFonts w:ascii="Times New Roman" w:eastAsia="Times New Roman" w:hAnsi="Times New Roman" w:cs="Times New Roman"/>
          <w:b/>
          <w:i/>
          <w:sz w:val="24"/>
        </w:rPr>
        <w:t>RAS</w:t>
      </w:r>
      <w:r>
        <w:rPr>
          <w:rFonts w:ascii="Times New Roman" w:eastAsia="Times New Roman" w:hAnsi="Times New Roman" w:cs="Times New Roman"/>
          <w:b/>
          <w:sz w:val="24"/>
        </w:rPr>
        <w:t xml:space="preserve"> and </w:t>
      </w:r>
      <w:r>
        <w:rPr>
          <w:rFonts w:ascii="Times New Roman" w:eastAsia="Times New Roman" w:hAnsi="Times New Roman" w:cs="Times New Roman"/>
          <w:b/>
          <w:i/>
          <w:sz w:val="24"/>
        </w:rPr>
        <w:t>BRAF</w:t>
      </w:r>
      <w:r>
        <w:rPr>
          <w:rFonts w:ascii="Times New Roman" w:eastAsia="Times New Roman" w:hAnsi="Times New Roman" w:cs="Times New Roman"/>
          <w:b/>
          <w:sz w:val="24"/>
        </w:rPr>
        <w:t xml:space="preserve"> V600E mutation</w:t>
      </w:r>
      <w:r w:rsidR="003911C9">
        <w:rPr>
          <w:rFonts w:ascii="Times New Roman" w:eastAsia="Times New Roman" w:hAnsi="Times New Roman" w:cs="Times New Roman"/>
          <w:b/>
          <w:sz w:val="24"/>
        </w:rPr>
        <w:t>s</w:t>
      </w:r>
      <w:r>
        <w:rPr>
          <w:rFonts w:ascii="Times New Roman" w:eastAsia="Times New Roman" w:hAnsi="Times New Roman" w:cs="Times New Roman"/>
          <w:b/>
          <w:sz w:val="24"/>
        </w:rPr>
        <w:t xml:space="preserve"> in metastatic colorectal cancer</w:t>
      </w:r>
    </w:p>
    <w:p w14:paraId="45D288F6" w14:textId="77777777" w:rsidR="00F7012C" w:rsidRDefault="00F7012C" w:rsidP="00F7012C">
      <w:pPr>
        <w:snapToGrid w:val="0"/>
        <w:spacing w:line="480" w:lineRule="auto"/>
        <w:contextualSpacing/>
        <w:rPr>
          <w:rFonts w:ascii="Times New Roman" w:eastAsia="Times New Roman" w:hAnsi="Times New Roman" w:cs="Times New Roman"/>
          <w:sz w:val="24"/>
        </w:rPr>
      </w:pPr>
    </w:p>
    <w:p w14:paraId="38DD2739" w14:textId="77777777" w:rsidR="00F7012C" w:rsidRDefault="004D5AA3" w:rsidP="00F7012C">
      <w:pPr>
        <w:snapToGrid w:val="0"/>
        <w:spacing w:line="480" w:lineRule="auto"/>
        <w:contextualSpacing/>
        <w:rPr>
          <w:rFonts w:ascii="Times New Roman" w:eastAsia="Times New Roman" w:hAnsi="Times New Roman" w:cs="Times New Roman"/>
          <w:sz w:val="24"/>
          <w:vertAlign w:val="superscript"/>
        </w:rPr>
      </w:pPr>
      <w:r>
        <w:rPr>
          <w:rFonts w:ascii="Times New Roman" w:eastAsia="Times New Roman" w:hAnsi="Times New Roman" w:cs="Times New Roman"/>
          <w:sz w:val="24"/>
        </w:rPr>
        <w:t>Yu Miyashita, Yoshinori Kagawa, Jun Watanabe, Yusuke Suwa, Takeshi Kato, Hiroko Hasegawa, Yoshito Komatsu, Satoshi Yuki, Masako Asayama, Tomohiro Nishina, Akira Inoue, Eiji Oki, Hiroya Taniguchi, Takashi Ohta, Daisuke Kotani, Hiromichi Nakajima, Keisuke Azuma, Kouji Yamamoto, Hideaki Bando, and Takayuki Yoshino</w:t>
      </w:r>
    </w:p>
    <w:p w14:paraId="17369817" w14:textId="77777777" w:rsidR="00F7012C" w:rsidRDefault="00F7012C" w:rsidP="00F7012C">
      <w:pPr>
        <w:snapToGrid w:val="0"/>
        <w:spacing w:line="480" w:lineRule="auto"/>
        <w:contextualSpacing/>
        <w:rPr>
          <w:rFonts w:ascii="Times New Roman" w:eastAsia="Times New Roman" w:hAnsi="Times New Roman" w:cs="Times New Roman"/>
          <w:sz w:val="24"/>
          <w:vertAlign w:val="superscript"/>
        </w:rPr>
      </w:pPr>
    </w:p>
    <w:p w14:paraId="247570CA" w14:textId="77777777" w:rsidR="00F7012C" w:rsidRPr="00F7012C" w:rsidRDefault="004D5AA3" w:rsidP="00F7012C">
      <w:pPr>
        <w:snapToGrid w:val="0"/>
        <w:spacing w:line="480" w:lineRule="auto"/>
        <w:contextualSpacing/>
        <w:rPr>
          <w:rFonts w:ascii="Times New Roman" w:eastAsia="Times New Roman" w:hAnsi="Times New Roman" w:cs="Times New Roman"/>
          <w:sz w:val="24"/>
        </w:rPr>
      </w:pPr>
      <w:r w:rsidRPr="00F7012C">
        <w:rPr>
          <w:rFonts w:ascii="Times New Roman" w:eastAsia="Times New Roman" w:hAnsi="Times New Roman" w:cs="Times New Roman"/>
          <w:sz w:val="24"/>
        </w:rPr>
        <w:t>Corresponding author: Hideaki Bando, MD, PhD</w:t>
      </w:r>
    </w:p>
    <w:p w14:paraId="4874C555" w14:textId="77777777" w:rsidR="00F7012C" w:rsidRPr="00F7012C" w:rsidRDefault="004D5AA3" w:rsidP="00F7012C">
      <w:pPr>
        <w:snapToGrid w:val="0"/>
        <w:spacing w:line="480" w:lineRule="auto"/>
        <w:contextualSpacing/>
        <w:rPr>
          <w:rFonts w:ascii="Times New Roman" w:eastAsia="Times New Roman" w:hAnsi="Times New Roman" w:cs="Times New Roman"/>
          <w:sz w:val="24"/>
        </w:rPr>
      </w:pPr>
      <w:r w:rsidRPr="00F7012C">
        <w:rPr>
          <w:rFonts w:ascii="Times New Roman" w:eastAsia="Times New Roman" w:hAnsi="Times New Roman" w:cs="Times New Roman"/>
          <w:sz w:val="24"/>
        </w:rPr>
        <w:t>Department of Gastroenterology and Gastrointestinal Oncology, National Cancer Center Hospital East</w:t>
      </w:r>
    </w:p>
    <w:p w14:paraId="42C32073" w14:textId="77777777" w:rsidR="00F7012C" w:rsidRPr="00F7012C" w:rsidRDefault="004D5AA3" w:rsidP="00F7012C">
      <w:pPr>
        <w:snapToGrid w:val="0"/>
        <w:spacing w:line="480" w:lineRule="auto"/>
        <w:contextualSpacing/>
        <w:rPr>
          <w:rFonts w:ascii="Times New Roman" w:eastAsia="Times New Roman" w:hAnsi="Times New Roman" w:cs="Times New Roman"/>
          <w:sz w:val="24"/>
        </w:rPr>
      </w:pPr>
      <w:r w:rsidRPr="00F7012C">
        <w:rPr>
          <w:rFonts w:ascii="Times New Roman" w:eastAsia="Times New Roman" w:hAnsi="Times New Roman" w:cs="Times New Roman"/>
          <w:sz w:val="24"/>
        </w:rPr>
        <w:t>Kashiwanoha 6-5-1, Chiba, Japan</w:t>
      </w:r>
    </w:p>
    <w:p w14:paraId="52C0BC0F" w14:textId="77777777" w:rsidR="00F7012C" w:rsidRPr="00F7012C" w:rsidRDefault="004D5AA3" w:rsidP="00F7012C">
      <w:pPr>
        <w:snapToGrid w:val="0"/>
        <w:spacing w:line="480" w:lineRule="auto"/>
        <w:contextualSpacing/>
        <w:rPr>
          <w:rFonts w:ascii="Times New Roman" w:eastAsia="Times New Roman" w:hAnsi="Times New Roman" w:cs="Times New Roman"/>
          <w:sz w:val="24"/>
        </w:rPr>
      </w:pPr>
      <w:r w:rsidRPr="00F7012C">
        <w:rPr>
          <w:rFonts w:ascii="Times New Roman" w:eastAsia="Times New Roman" w:hAnsi="Times New Roman" w:cs="Times New Roman"/>
          <w:sz w:val="24"/>
        </w:rPr>
        <w:t>hbando@east.ncc.go.jp</w:t>
      </w:r>
    </w:p>
    <w:p w14:paraId="46FB74F3" w14:textId="09547320" w:rsidR="00593F26" w:rsidRDefault="004D5AA3">
      <w:pPr>
        <w:widowControl/>
        <w:jc w:val="left"/>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37C25E87" w14:textId="77777777"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Figure S1. Correlation of PlasmaSeq assay with </w:t>
      </w:r>
      <w:bookmarkStart w:id="0" w:name="_Hlk218699356"/>
      <w:r>
        <w:rPr>
          <w:rFonts w:ascii="Times New Roman" w:eastAsia="Times New Roman" w:hAnsi="Times New Roman" w:cs="Times New Roman"/>
          <w:b/>
          <w:sz w:val="24"/>
        </w:rPr>
        <w:t>plasma-based testing</w:t>
      </w:r>
      <w:bookmarkEnd w:id="0"/>
      <w:r>
        <w:rPr>
          <w:rFonts w:ascii="Times New Roman" w:eastAsia="Times New Roman" w:hAnsi="Times New Roman" w:cs="Times New Roman"/>
          <w:b/>
          <w:sz w:val="24"/>
        </w:rPr>
        <w:t xml:space="preserve"> (BEAMing) of </w:t>
      </w:r>
      <w:r>
        <w:rPr>
          <w:rFonts w:ascii="Times New Roman" w:eastAsia="Times New Roman" w:hAnsi="Times New Roman" w:cs="Times New Roman"/>
          <w:b/>
          <w:i/>
          <w:sz w:val="24"/>
        </w:rPr>
        <w:t>RAS</w:t>
      </w:r>
      <w:r>
        <w:rPr>
          <w:rFonts w:ascii="Times New Roman" w:eastAsia="Times New Roman" w:hAnsi="Times New Roman" w:cs="Times New Roman"/>
          <w:b/>
          <w:sz w:val="24"/>
        </w:rPr>
        <w:t xml:space="preserve"> mutation</w:t>
      </w:r>
    </w:p>
    <w:p w14:paraId="36B12920" w14:textId="77777777"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noProof/>
          <w:sz w:val="24"/>
          <w:lang w:eastAsia="en-US"/>
        </w:rPr>
        <w:drawing>
          <wp:inline distT="0" distB="0" distL="0" distR="0" wp14:anchorId="45E74299" wp14:editId="53F2CEAF">
            <wp:extent cx="4433237" cy="3590579"/>
            <wp:effectExtent l="0" t="0" r="5715" b="0"/>
            <wp:docPr id="1" name="グラフ 1">
              <a:extLst xmlns:a="http://schemas.openxmlformats.org/drawingml/2006/main">
                <a:ext uri="{FF2B5EF4-FFF2-40B4-BE49-F238E27FC236}">
                  <a16:creationId xmlns:a16="http://schemas.microsoft.com/office/drawing/2014/main" id="{090D863E-BB36-1FA3-A3B7-B05DBB978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583806C" w14:textId="77777777" w:rsidR="00F7012C" w:rsidRDefault="004D5AA3" w:rsidP="00F7012C">
      <w:pPr>
        <w:widowControl/>
        <w:jc w:val="left"/>
        <w:rPr>
          <w:rFonts w:ascii="Times New Roman" w:eastAsia="Times New Roman" w:hAnsi="Times New Roman" w:cs="Times New Roman"/>
          <w:b/>
          <w:sz w:val="24"/>
        </w:rPr>
      </w:pPr>
      <w:r>
        <w:rPr>
          <w:rFonts w:ascii="Times New Roman" w:eastAsia="Times New Roman" w:hAnsi="Times New Roman" w:cs="Times New Roman"/>
        </w:rPr>
        <w:br w:type="page"/>
      </w:r>
    </w:p>
    <w:p w14:paraId="60E29A3B" w14:textId="77777777"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Table S1. Discordant cases of </w:t>
      </w:r>
      <w:r>
        <w:rPr>
          <w:rFonts w:ascii="Times New Roman" w:eastAsia="Times New Roman" w:hAnsi="Times New Roman" w:cs="Times New Roman"/>
          <w:b/>
          <w:i/>
          <w:sz w:val="24"/>
        </w:rPr>
        <w:t>RAS</w:t>
      </w:r>
      <w:r>
        <w:rPr>
          <w:rFonts w:ascii="Times New Roman" w:eastAsia="Times New Roman" w:hAnsi="Times New Roman" w:cs="Times New Roman"/>
          <w:b/>
          <w:sz w:val="24"/>
        </w:rPr>
        <w:t xml:space="preserve"> mutational status</w:t>
      </w:r>
    </w:p>
    <w:tbl>
      <w:tblPr>
        <w:tblW w:w="8559" w:type="dxa"/>
        <w:tblLook w:val="0000" w:firstRow="0" w:lastRow="0" w:firstColumn="0" w:lastColumn="0" w:noHBand="0" w:noVBand="0"/>
      </w:tblPr>
      <w:tblGrid>
        <w:gridCol w:w="1098"/>
        <w:gridCol w:w="887"/>
        <w:gridCol w:w="1638"/>
        <w:gridCol w:w="1166"/>
        <w:gridCol w:w="1216"/>
        <w:gridCol w:w="1494"/>
        <w:gridCol w:w="1060"/>
      </w:tblGrid>
      <w:tr w:rsidR="004545DC" w14:paraId="09B25CD3" w14:textId="77777777" w:rsidTr="00B15E88">
        <w:trPr>
          <w:trHeight w:val="458"/>
        </w:trPr>
        <w:tc>
          <w:tcPr>
            <w:tcW w:w="1098" w:type="dxa"/>
            <w:vMerge w:val="restart"/>
            <w:tcBorders>
              <w:top w:val="single" w:sz="8" w:space="0" w:color="auto"/>
              <w:bottom w:val="single" w:sz="8" w:space="0" w:color="auto"/>
            </w:tcBorders>
            <w:vAlign w:val="center"/>
          </w:tcPr>
          <w:p w14:paraId="7043B1F5"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Sample No.</w:t>
            </w:r>
          </w:p>
        </w:tc>
        <w:tc>
          <w:tcPr>
            <w:tcW w:w="3691" w:type="dxa"/>
            <w:gridSpan w:val="3"/>
            <w:tcBorders>
              <w:top w:val="single" w:sz="8" w:space="0" w:color="auto"/>
            </w:tcBorders>
            <w:vAlign w:val="center"/>
          </w:tcPr>
          <w:p w14:paraId="700EECC0"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Plasma-based testing</w:t>
            </w:r>
          </w:p>
          <w:p w14:paraId="079D7F8F"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(BEAMing)</w:t>
            </w:r>
          </w:p>
        </w:tc>
        <w:tc>
          <w:tcPr>
            <w:tcW w:w="3770" w:type="dxa"/>
            <w:gridSpan w:val="3"/>
            <w:tcBorders>
              <w:top w:val="single" w:sz="8" w:space="0" w:color="auto"/>
            </w:tcBorders>
            <w:vAlign w:val="center"/>
          </w:tcPr>
          <w:p w14:paraId="40334387"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PlasmaSeq assay</w:t>
            </w:r>
          </w:p>
        </w:tc>
      </w:tr>
      <w:tr w:rsidR="004545DC" w14:paraId="5789B790" w14:textId="77777777" w:rsidTr="00B15E88">
        <w:trPr>
          <w:trHeight w:val="700"/>
        </w:trPr>
        <w:tc>
          <w:tcPr>
            <w:tcW w:w="1098" w:type="dxa"/>
            <w:vMerge/>
            <w:tcBorders>
              <w:top w:val="nil"/>
              <w:bottom w:val="single" w:sz="8" w:space="0" w:color="auto"/>
            </w:tcBorders>
          </w:tcPr>
          <w:p w14:paraId="1A9FC8C5" w14:textId="77777777" w:rsidR="00F7012C" w:rsidRDefault="00F7012C" w:rsidP="00B15E88"/>
        </w:tc>
        <w:tc>
          <w:tcPr>
            <w:tcW w:w="887" w:type="dxa"/>
            <w:tcBorders>
              <w:bottom w:val="single" w:sz="8" w:space="0" w:color="auto"/>
            </w:tcBorders>
            <w:vAlign w:val="center"/>
          </w:tcPr>
          <w:p w14:paraId="7EE5F74B"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Result</w:t>
            </w:r>
          </w:p>
        </w:tc>
        <w:tc>
          <w:tcPr>
            <w:tcW w:w="1638" w:type="dxa"/>
            <w:tcBorders>
              <w:bottom w:val="single" w:sz="8" w:space="0" w:color="auto"/>
            </w:tcBorders>
            <w:vAlign w:val="center"/>
          </w:tcPr>
          <w:p w14:paraId="574CEE42"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Codon</w:t>
            </w:r>
          </w:p>
        </w:tc>
        <w:tc>
          <w:tcPr>
            <w:tcW w:w="1166" w:type="dxa"/>
            <w:tcBorders>
              <w:bottom w:val="single" w:sz="8" w:space="0" w:color="auto"/>
            </w:tcBorders>
            <w:vAlign w:val="center"/>
          </w:tcPr>
          <w:p w14:paraId="3D5D371D"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MAF</w:t>
            </w:r>
          </w:p>
        </w:tc>
        <w:tc>
          <w:tcPr>
            <w:tcW w:w="1216" w:type="dxa"/>
            <w:tcBorders>
              <w:bottom w:val="single" w:sz="8" w:space="0" w:color="auto"/>
            </w:tcBorders>
            <w:vAlign w:val="center"/>
          </w:tcPr>
          <w:p w14:paraId="3C1824E8"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Result</w:t>
            </w:r>
          </w:p>
        </w:tc>
        <w:tc>
          <w:tcPr>
            <w:tcW w:w="1494" w:type="dxa"/>
            <w:tcBorders>
              <w:bottom w:val="single" w:sz="8" w:space="0" w:color="auto"/>
            </w:tcBorders>
            <w:vAlign w:val="center"/>
          </w:tcPr>
          <w:p w14:paraId="054CBC2A"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AAchange</w:t>
            </w:r>
          </w:p>
        </w:tc>
        <w:tc>
          <w:tcPr>
            <w:tcW w:w="1060" w:type="dxa"/>
            <w:tcBorders>
              <w:bottom w:val="single" w:sz="8" w:space="0" w:color="auto"/>
            </w:tcBorders>
            <w:vAlign w:val="center"/>
          </w:tcPr>
          <w:p w14:paraId="6BDB4F9A" w14:textId="77777777" w:rsidR="00F7012C" w:rsidRDefault="004D5AA3" w:rsidP="00B15E88">
            <w:pPr>
              <w:snapToGrid w:val="0"/>
              <w:contextualSpacing/>
              <w:jc w:val="center"/>
              <w:rPr>
                <w:rFonts w:ascii="Times New Roman" w:eastAsia="Times New Roman" w:hAnsi="Times New Roman" w:cs="Times New Roman"/>
                <w:b/>
                <w:sz w:val="20"/>
              </w:rPr>
            </w:pPr>
            <w:r>
              <w:rPr>
                <w:rFonts w:ascii="Times New Roman" w:eastAsia="Times New Roman" w:hAnsi="Times New Roman" w:cs="Times New Roman"/>
                <w:b/>
                <w:sz w:val="20"/>
              </w:rPr>
              <w:t>MAF</w:t>
            </w:r>
          </w:p>
        </w:tc>
      </w:tr>
      <w:tr w:rsidR="004545DC" w14:paraId="0608388D" w14:textId="77777777" w:rsidTr="00B15E88">
        <w:trPr>
          <w:trHeight w:val="399"/>
        </w:trPr>
        <w:tc>
          <w:tcPr>
            <w:tcW w:w="1098" w:type="dxa"/>
            <w:tcBorders>
              <w:top w:val="single" w:sz="8" w:space="0" w:color="auto"/>
              <w:bottom w:val="single" w:sz="4" w:space="0" w:color="auto"/>
            </w:tcBorders>
            <w:shd w:val="clear" w:color="auto" w:fill="F2F2F2"/>
            <w:vAlign w:val="center"/>
          </w:tcPr>
          <w:p w14:paraId="5953E97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FP-1</w:t>
            </w:r>
          </w:p>
        </w:tc>
        <w:tc>
          <w:tcPr>
            <w:tcW w:w="887" w:type="dxa"/>
            <w:tcBorders>
              <w:top w:val="single" w:sz="8" w:space="0" w:color="auto"/>
              <w:bottom w:val="single" w:sz="4" w:space="0" w:color="auto"/>
            </w:tcBorders>
            <w:shd w:val="clear" w:color="auto" w:fill="F2F2F2"/>
            <w:vAlign w:val="center"/>
          </w:tcPr>
          <w:p w14:paraId="032FCE5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638" w:type="dxa"/>
            <w:tcBorders>
              <w:top w:val="single" w:sz="8" w:space="0" w:color="auto"/>
              <w:bottom w:val="single" w:sz="4" w:space="0" w:color="auto"/>
            </w:tcBorders>
            <w:shd w:val="clear" w:color="auto" w:fill="F2F2F2"/>
            <w:vAlign w:val="center"/>
          </w:tcPr>
          <w:p w14:paraId="5C0B0F0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166" w:type="dxa"/>
            <w:tcBorders>
              <w:top w:val="single" w:sz="8" w:space="0" w:color="auto"/>
              <w:bottom w:val="single" w:sz="4" w:space="0" w:color="auto"/>
            </w:tcBorders>
            <w:shd w:val="clear" w:color="auto" w:fill="F2F2F2"/>
            <w:vAlign w:val="center"/>
          </w:tcPr>
          <w:p w14:paraId="2F4D822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1216" w:type="dxa"/>
            <w:tcBorders>
              <w:top w:val="single" w:sz="8" w:space="0" w:color="auto"/>
              <w:bottom w:val="single" w:sz="4" w:space="0" w:color="auto"/>
            </w:tcBorders>
            <w:shd w:val="clear" w:color="auto" w:fill="F2F2F2"/>
            <w:vAlign w:val="center"/>
          </w:tcPr>
          <w:p w14:paraId="4B87CD0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494" w:type="dxa"/>
            <w:tcBorders>
              <w:top w:val="single" w:sz="8" w:space="0" w:color="auto"/>
              <w:bottom w:val="single" w:sz="4" w:space="0" w:color="auto"/>
            </w:tcBorders>
            <w:shd w:val="clear" w:color="auto" w:fill="F2F2F2"/>
            <w:vAlign w:val="center"/>
          </w:tcPr>
          <w:p w14:paraId="33D0F609"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A146T</w:t>
            </w:r>
          </w:p>
        </w:tc>
        <w:tc>
          <w:tcPr>
            <w:tcW w:w="1060" w:type="dxa"/>
            <w:tcBorders>
              <w:top w:val="single" w:sz="8" w:space="0" w:color="auto"/>
              <w:bottom w:val="single" w:sz="4" w:space="0" w:color="auto"/>
            </w:tcBorders>
            <w:shd w:val="clear" w:color="auto" w:fill="F2F2F2"/>
            <w:vAlign w:val="center"/>
          </w:tcPr>
          <w:p w14:paraId="727B7A1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0.08%</w:t>
            </w:r>
          </w:p>
        </w:tc>
      </w:tr>
      <w:tr w:rsidR="004545DC" w14:paraId="0A4A4653" w14:textId="77777777" w:rsidTr="00B15E88">
        <w:trPr>
          <w:trHeight w:val="399"/>
        </w:trPr>
        <w:tc>
          <w:tcPr>
            <w:tcW w:w="1098" w:type="dxa"/>
            <w:tcBorders>
              <w:top w:val="single" w:sz="4" w:space="0" w:color="auto"/>
              <w:bottom w:val="single" w:sz="4" w:space="0" w:color="auto"/>
            </w:tcBorders>
            <w:vAlign w:val="center"/>
          </w:tcPr>
          <w:p w14:paraId="046E2B81"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FP-2</w:t>
            </w:r>
          </w:p>
        </w:tc>
        <w:tc>
          <w:tcPr>
            <w:tcW w:w="887" w:type="dxa"/>
            <w:tcBorders>
              <w:top w:val="single" w:sz="4" w:space="0" w:color="auto"/>
              <w:bottom w:val="single" w:sz="4" w:space="0" w:color="auto"/>
            </w:tcBorders>
            <w:vAlign w:val="center"/>
          </w:tcPr>
          <w:p w14:paraId="1187A2C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638" w:type="dxa"/>
            <w:tcBorders>
              <w:top w:val="single" w:sz="4" w:space="0" w:color="auto"/>
              <w:bottom w:val="single" w:sz="4" w:space="0" w:color="auto"/>
            </w:tcBorders>
            <w:vAlign w:val="center"/>
          </w:tcPr>
          <w:p w14:paraId="1B7C2E2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166" w:type="dxa"/>
            <w:tcBorders>
              <w:top w:val="single" w:sz="4" w:space="0" w:color="auto"/>
              <w:bottom w:val="single" w:sz="4" w:space="0" w:color="auto"/>
            </w:tcBorders>
            <w:vAlign w:val="center"/>
          </w:tcPr>
          <w:p w14:paraId="0603EFD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1216" w:type="dxa"/>
            <w:tcBorders>
              <w:top w:val="single" w:sz="4" w:space="0" w:color="auto"/>
              <w:bottom w:val="single" w:sz="4" w:space="0" w:color="auto"/>
            </w:tcBorders>
            <w:vAlign w:val="center"/>
          </w:tcPr>
          <w:p w14:paraId="60155BE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494" w:type="dxa"/>
            <w:tcBorders>
              <w:top w:val="single" w:sz="4" w:space="0" w:color="auto"/>
              <w:bottom w:val="single" w:sz="4" w:space="0" w:color="auto"/>
            </w:tcBorders>
            <w:vAlign w:val="center"/>
          </w:tcPr>
          <w:p w14:paraId="2E749C38"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A146T</w:t>
            </w:r>
          </w:p>
        </w:tc>
        <w:tc>
          <w:tcPr>
            <w:tcW w:w="1060" w:type="dxa"/>
            <w:tcBorders>
              <w:top w:val="single" w:sz="4" w:space="0" w:color="auto"/>
              <w:bottom w:val="single" w:sz="4" w:space="0" w:color="auto"/>
            </w:tcBorders>
            <w:vAlign w:val="center"/>
          </w:tcPr>
          <w:p w14:paraId="4A99D341"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0.09%</w:t>
            </w:r>
          </w:p>
        </w:tc>
      </w:tr>
      <w:tr w:rsidR="004545DC" w14:paraId="4BDC4327" w14:textId="77777777" w:rsidTr="00B15E88">
        <w:trPr>
          <w:trHeight w:val="399"/>
        </w:trPr>
        <w:tc>
          <w:tcPr>
            <w:tcW w:w="1098" w:type="dxa"/>
            <w:tcBorders>
              <w:top w:val="single" w:sz="4" w:space="0" w:color="auto"/>
              <w:bottom w:val="single" w:sz="4" w:space="0" w:color="auto"/>
            </w:tcBorders>
            <w:shd w:val="clear" w:color="auto" w:fill="F2F2F2"/>
            <w:vAlign w:val="center"/>
          </w:tcPr>
          <w:p w14:paraId="5E788C3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FP-3</w:t>
            </w:r>
          </w:p>
        </w:tc>
        <w:tc>
          <w:tcPr>
            <w:tcW w:w="887" w:type="dxa"/>
            <w:tcBorders>
              <w:top w:val="single" w:sz="4" w:space="0" w:color="auto"/>
              <w:bottom w:val="single" w:sz="4" w:space="0" w:color="auto"/>
            </w:tcBorders>
            <w:shd w:val="clear" w:color="auto" w:fill="F2F2F2"/>
            <w:vAlign w:val="center"/>
          </w:tcPr>
          <w:p w14:paraId="51A8A879"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638" w:type="dxa"/>
            <w:tcBorders>
              <w:top w:val="single" w:sz="4" w:space="0" w:color="auto"/>
              <w:bottom w:val="single" w:sz="4" w:space="0" w:color="auto"/>
            </w:tcBorders>
            <w:shd w:val="clear" w:color="auto" w:fill="F2F2F2"/>
            <w:vAlign w:val="center"/>
          </w:tcPr>
          <w:p w14:paraId="4E53F928"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166" w:type="dxa"/>
            <w:tcBorders>
              <w:top w:val="single" w:sz="4" w:space="0" w:color="auto"/>
              <w:bottom w:val="single" w:sz="4" w:space="0" w:color="auto"/>
            </w:tcBorders>
            <w:shd w:val="clear" w:color="auto" w:fill="F2F2F2"/>
            <w:vAlign w:val="center"/>
          </w:tcPr>
          <w:p w14:paraId="068A4D2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1216" w:type="dxa"/>
            <w:tcBorders>
              <w:top w:val="single" w:sz="4" w:space="0" w:color="auto"/>
              <w:bottom w:val="single" w:sz="4" w:space="0" w:color="auto"/>
            </w:tcBorders>
            <w:shd w:val="clear" w:color="auto" w:fill="F2F2F2"/>
            <w:vAlign w:val="center"/>
          </w:tcPr>
          <w:p w14:paraId="02BE679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494" w:type="dxa"/>
            <w:tcBorders>
              <w:top w:val="single" w:sz="4" w:space="0" w:color="auto"/>
              <w:bottom w:val="single" w:sz="4" w:space="0" w:color="auto"/>
            </w:tcBorders>
            <w:shd w:val="clear" w:color="auto" w:fill="F2F2F2"/>
            <w:vAlign w:val="center"/>
          </w:tcPr>
          <w:p w14:paraId="5D9831C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A59G</w:t>
            </w:r>
          </w:p>
        </w:tc>
        <w:tc>
          <w:tcPr>
            <w:tcW w:w="1060" w:type="dxa"/>
            <w:tcBorders>
              <w:top w:val="single" w:sz="4" w:space="0" w:color="auto"/>
              <w:bottom w:val="single" w:sz="4" w:space="0" w:color="auto"/>
            </w:tcBorders>
            <w:shd w:val="clear" w:color="auto" w:fill="F2F2F2"/>
            <w:vAlign w:val="center"/>
          </w:tcPr>
          <w:p w14:paraId="32BB05D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0.10%</w:t>
            </w:r>
          </w:p>
        </w:tc>
      </w:tr>
      <w:tr w:rsidR="004545DC" w14:paraId="10E34309" w14:textId="77777777" w:rsidTr="00B15E88">
        <w:trPr>
          <w:trHeight w:val="798"/>
        </w:trPr>
        <w:tc>
          <w:tcPr>
            <w:tcW w:w="1098" w:type="dxa"/>
            <w:tcBorders>
              <w:top w:val="single" w:sz="4" w:space="0" w:color="auto"/>
              <w:bottom w:val="single" w:sz="4" w:space="0" w:color="auto"/>
            </w:tcBorders>
            <w:vAlign w:val="center"/>
          </w:tcPr>
          <w:p w14:paraId="5C090988"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FN-1</w:t>
            </w:r>
          </w:p>
        </w:tc>
        <w:tc>
          <w:tcPr>
            <w:tcW w:w="887" w:type="dxa"/>
            <w:tcBorders>
              <w:top w:val="single" w:sz="4" w:space="0" w:color="auto"/>
              <w:bottom w:val="single" w:sz="4" w:space="0" w:color="auto"/>
            </w:tcBorders>
            <w:vAlign w:val="center"/>
          </w:tcPr>
          <w:p w14:paraId="61BF827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vAlign w:val="center"/>
          </w:tcPr>
          <w:p w14:paraId="0AFDFEA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Codon 61</w:t>
            </w:r>
          </w:p>
        </w:tc>
        <w:tc>
          <w:tcPr>
            <w:tcW w:w="1166" w:type="dxa"/>
            <w:tcBorders>
              <w:top w:val="single" w:sz="4" w:space="0" w:color="auto"/>
              <w:bottom w:val="single" w:sz="4" w:space="0" w:color="auto"/>
            </w:tcBorders>
            <w:vAlign w:val="center"/>
          </w:tcPr>
          <w:p w14:paraId="4D202A0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0.08%</w:t>
            </w:r>
          </w:p>
        </w:tc>
        <w:tc>
          <w:tcPr>
            <w:tcW w:w="1216" w:type="dxa"/>
            <w:tcBorders>
              <w:top w:val="single" w:sz="4" w:space="0" w:color="auto"/>
              <w:bottom w:val="single" w:sz="4" w:space="0" w:color="auto"/>
            </w:tcBorders>
            <w:vAlign w:val="center"/>
          </w:tcPr>
          <w:p w14:paraId="65FA5AE9"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vAlign w:val="center"/>
          </w:tcPr>
          <w:p w14:paraId="507E983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vAlign w:val="center"/>
          </w:tcPr>
          <w:p w14:paraId="23A1CA8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1AFCFB74" w14:textId="77777777" w:rsidTr="00B15E88">
        <w:trPr>
          <w:trHeight w:val="399"/>
        </w:trPr>
        <w:tc>
          <w:tcPr>
            <w:tcW w:w="1098" w:type="dxa"/>
            <w:tcBorders>
              <w:top w:val="single" w:sz="4" w:space="0" w:color="auto"/>
              <w:bottom w:val="single" w:sz="4" w:space="0" w:color="auto"/>
            </w:tcBorders>
            <w:shd w:val="clear" w:color="auto" w:fill="F2F2F2"/>
            <w:vAlign w:val="center"/>
          </w:tcPr>
          <w:p w14:paraId="798F674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FN-2</w:t>
            </w:r>
          </w:p>
        </w:tc>
        <w:tc>
          <w:tcPr>
            <w:tcW w:w="887" w:type="dxa"/>
            <w:tcBorders>
              <w:top w:val="single" w:sz="4" w:space="0" w:color="auto"/>
              <w:bottom w:val="single" w:sz="4" w:space="0" w:color="auto"/>
            </w:tcBorders>
            <w:shd w:val="clear" w:color="auto" w:fill="F2F2F2"/>
            <w:vAlign w:val="center"/>
          </w:tcPr>
          <w:p w14:paraId="0D7981FC"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shd w:val="clear" w:color="auto" w:fill="F2F2F2"/>
            <w:vAlign w:val="center"/>
          </w:tcPr>
          <w:p w14:paraId="097C51C7"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Codon 61</w:t>
            </w:r>
          </w:p>
        </w:tc>
        <w:tc>
          <w:tcPr>
            <w:tcW w:w="1166" w:type="dxa"/>
            <w:tcBorders>
              <w:top w:val="single" w:sz="4" w:space="0" w:color="auto"/>
              <w:bottom w:val="single" w:sz="4" w:space="0" w:color="auto"/>
            </w:tcBorders>
            <w:shd w:val="clear" w:color="auto" w:fill="F2F2F2"/>
            <w:vAlign w:val="center"/>
          </w:tcPr>
          <w:p w14:paraId="0159FFBC"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0.02%</w:t>
            </w:r>
          </w:p>
        </w:tc>
        <w:tc>
          <w:tcPr>
            <w:tcW w:w="1216" w:type="dxa"/>
            <w:tcBorders>
              <w:top w:val="single" w:sz="4" w:space="0" w:color="auto"/>
              <w:bottom w:val="single" w:sz="4" w:space="0" w:color="auto"/>
            </w:tcBorders>
            <w:shd w:val="clear" w:color="auto" w:fill="F2F2F2"/>
            <w:vAlign w:val="center"/>
          </w:tcPr>
          <w:p w14:paraId="74B48AD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shd w:val="clear" w:color="auto" w:fill="F2F2F2"/>
            <w:vAlign w:val="center"/>
          </w:tcPr>
          <w:p w14:paraId="4D4029A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shd w:val="clear" w:color="auto" w:fill="F2F2F2"/>
            <w:vAlign w:val="center"/>
          </w:tcPr>
          <w:p w14:paraId="318A2011"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7ABEC555" w14:textId="77777777" w:rsidTr="00B15E88">
        <w:trPr>
          <w:trHeight w:val="399"/>
        </w:trPr>
        <w:tc>
          <w:tcPr>
            <w:tcW w:w="1098" w:type="dxa"/>
            <w:tcBorders>
              <w:top w:val="single" w:sz="4" w:space="0" w:color="auto"/>
              <w:bottom w:val="single" w:sz="4" w:space="0" w:color="auto"/>
            </w:tcBorders>
            <w:vAlign w:val="center"/>
          </w:tcPr>
          <w:p w14:paraId="76474B5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FN-3</w:t>
            </w:r>
          </w:p>
        </w:tc>
        <w:tc>
          <w:tcPr>
            <w:tcW w:w="887" w:type="dxa"/>
            <w:tcBorders>
              <w:top w:val="single" w:sz="4" w:space="0" w:color="auto"/>
              <w:bottom w:val="single" w:sz="4" w:space="0" w:color="auto"/>
            </w:tcBorders>
            <w:vAlign w:val="center"/>
          </w:tcPr>
          <w:p w14:paraId="2822E76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vAlign w:val="center"/>
          </w:tcPr>
          <w:p w14:paraId="5E154D1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Codon 61</w:t>
            </w:r>
          </w:p>
        </w:tc>
        <w:tc>
          <w:tcPr>
            <w:tcW w:w="1166" w:type="dxa"/>
            <w:tcBorders>
              <w:top w:val="single" w:sz="4" w:space="0" w:color="auto"/>
              <w:bottom w:val="single" w:sz="4" w:space="0" w:color="auto"/>
            </w:tcBorders>
            <w:vAlign w:val="center"/>
          </w:tcPr>
          <w:p w14:paraId="723B34E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0.05%</w:t>
            </w:r>
          </w:p>
        </w:tc>
        <w:tc>
          <w:tcPr>
            <w:tcW w:w="1216" w:type="dxa"/>
            <w:tcBorders>
              <w:top w:val="single" w:sz="4" w:space="0" w:color="auto"/>
              <w:bottom w:val="single" w:sz="4" w:space="0" w:color="auto"/>
            </w:tcBorders>
            <w:vAlign w:val="center"/>
          </w:tcPr>
          <w:p w14:paraId="646A9CE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vAlign w:val="center"/>
          </w:tcPr>
          <w:p w14:paraId="691208E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vAlign w:val="center"/>
          </w:tcPr>
          <w:p w14:paraId="73ED8972"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17CCBF07" w14:textId="77777777" w:rsidTr="00B15E88">
        <w:trPr>
          <w:trHeight w:val="399"/>
        </w:trPr>
        <w:tc>
          <w:tcPr>
            <w:tcW w:w="1098" w:type="dxa"/>
            <w:tcBorders>
              <w:top w:val="single" w:sz="4" w:space="0" w:color="auto"/>
              <w:bottom w:val="single" w:sz="4" w:space="0" w:color="auto"/>
            </w:tcBorders>
            <w:shd w:val="clear" w:color="auto" w:fill="F2F2F2"/>
            <w:vAlign w:val="center"/>
          </w:tcPr>
          <w:p w14:paraId="03A555E1"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FN-4</w:t>
            </w:r>
          </w:p>
        </w:tc>
        <w:tc>
          <w:tcPr>
            <w:tcW w:w="887" w:type="dxa"/>
            <w:tcBorders>
              <w:top w:val="single" w:sz="4" w:space="0" w:color="auto"/>
              <w:bottom w:val="single" w:sz="4" w:space="0" w:color="auto"/>
            </w:tcBorders>
            <w:shd w:val="clear" w:color="auto" w:fill="F2F2F2"/>
            <w:vAlign w:val="center"/>
          </w:tcPr>
          <w:p w14:paraId="78DC3FEC"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shd w:val="clear" w:color="auto" w:fill="F2F2F2"/>
            <w:vAlign w:val="center"/>
          </w:tcPr>
          <w:p w14:paraId="348D40D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Codon 61</w:t>
            </w:r>
          </w:p>
        </w:tc>
        <w:tc>
          <w:tcPr>
            <w:tcW w:w="1166" w:type="dxa"/>
            <w:tcBorders>
              <w:top w:val="single" w:sz="4" w:space="0" w:color="auto"/>
              <w:bottom w:val="single" w:sz="4" w:space="0" w:color="auto"/>
            </w:tcBorders>
            <w:shd w:val="clear" w:color="auto" w:fill="F2F2F2"/>
            <w:vAlign w:val="center"/>
          </w:tcPr>
          <w:p w14:paraId="29FE292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0.05%</w:t>
            </w:r>
          </w:p>
        </w:tc>
        <w:tc>
          <w:tcPr>
            <w:tcW w:w="1216" w:type="dxa"/>
            <w:tcBorders>
              <w:top w:val="single" w:sz="4" w:space="0" w:color="auto"/>
              <w:bottom w:val="single" w:sz="4" w:space="0" w:color="auto"/>
            </w:tcBorders>
            <w:shd w:val="clear" w:color="auto" w:fill="F2F2F2"/>
            <w:vAlign w:val="center"/>
          </w:tcPr>
          <w:p w14:paraId="167D0F2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shd w:val="clear" w:color="auto" w:fill="F2F2F2"/>
            <w:vAlign w:val="center"/>
          </w:tcPr>
          <w:p w14:paraId="56BB83D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shd w:val="clear" w:color="auto" w:fill="F2F2F2"/>
            <w:vAlign w:val="center"/>
          </w:tcPr>
          <w:p w14:paraId="72BEABA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21B4355C" w14:textId="77777777" w:rsidTr="00B15E88">
        <w:trPr>
          <w:trHeight w:val="399"/>
        </w:trPr>
        <w:tc>
          <w:tcPr>
            <w:tcW w:w="1098" w:type="dxa"/>
            <w:vMerge w:val="restart"/>
            <w:tcBorders>
              <w:top w:val="single" w:sz="4" w:space="0" w:color="auto"/>
              <w:bottom w:val="single" w:sz="4" w:space="0" w:color="auto"/>
            </w:tcBorders>
            <w:vAlign w:val="center"/>
          </w:tcPr>
          <w:p w14:paraId="24C9256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FN-5</w:t>
            </w:r>
          </w:p>
        </w:tc>
        <w:tc>
          <w:tcPr>
            <w:tcW w:w="887" w:type="dxa"/>
            <w:vMerge w:val="restart"/>
            <w:tcBorders>
              <w:top w:val="single" w:sz="4" w:space="0" w:color="auto"/>
              <w:bottom w:val="single" w:sz="4" w:space="0" w:color="auto"/>
            </w:tcBorders>
            <w:vAlign w:val="center"/>
          </w:tcPr>
          <w:p w14:paraId="53AD4459"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tcBorders>
            <w:vAlign w:val="center"/>
          </w:tcPr>
          <w:p w14:paraId="3923F94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Codon 12</w:t>
            </w:r>
          </w:p>
        </w:tc>
        <w:tc>
          <w:tcPr>
            <w:tcW w:w="1166" w:type="dxa"/>
            <w:tcBorders>
              <w:top w:val="single" w:sz="4" w:space="0" w:color="auto"/>
            </w:tcBorders>
            <w:vAlign w:val="center"/>
          </w:tcPr>
          <w:p w14:paraId="341FD930"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0.02%</w:t>
            </w:r>
          </w:p>
        </w:tc>
        <w:tc>
          <w:tcPr>
            <w:tcW w:w="1216" w:type="dxa"/>
            <w:vMerge w:val="restart"/>
            <w:tcBorders>
              <w:top w:val="single" w:sz="4" w:space="0" w:color="auto"/>
              <w:bottom w:val="single" w:sz="4" w:space="0" w:color="auto"/>
            </w:tcBorders>
            <w:vAlign w:val="center"/>
          </w:tcPr>
          <w:p w14:paraId="44DBD49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vMerge w:val="restart"/>
            <w:tcBorders>
              <w:top w:val="single" w:sz="4" w:space="0" w:color="auto"/>
              <w:bottom w:val="single" w:sz="4" w:space="0" w:color="auto"/>
            </w:tcBorders>
            <w:vAlign w:val="center"/>
          </w:tcPr>
          <w:p w14:paraId="407769A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vMerge w:val="restart"/>
            <w:tcBorders>
              <w:top w:val="single" w:sz="4" w:space="0" w:color="auto"/>
              <w:bottom w:val="single" w:sz="4" w:space="0" w:color="auto"/>
            </w:tcBorders>
            <w:vAlign w:val="center"/>
          </w:tcPr>
          <w:p w14:paraId="401C88A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31E03C5C" w14:textId="77777777" w:rsidTr="00B15E88">
        <w:trPr>
          <w:trHeight w:val="399"/>
        </w:trPr>
        <w:tc>
          <w:tcPr>
            <w:tcW w:w="1098" w:type="dxa"/>
            <w:vMerge/>
            <w:tcBorders>
              <w:top w:val="nil"/>
              <w:bottom w:val="single" w:sz="4" w:space="0" w:color="auto"/>
            </w:tcBorders>
          </w:tcPr>
          <w:p w14:paraId="196FBC1A" w14:textId="77777777" w:rsidR="00F7012C" w:rsidRDefault="00F7012C" w:rsidP="00B15E88"/>
        </w:tc>
        <w:tc>
          <w:tcPr>
            <w:tcW w:w="887" w:type="dxa"/>
            <w:vMerge/>
            <w:tcBorders>
              <w:top w:val="nil"/>
              <w:bottom w:val="single" w:sz="4" w:space="0" w:color="auto"/>
            </w:tcBorders>
          </w:tcPr>
          <w:p w14:paraId="6E8FF554" w14:textId="77777777" w:rsidR="00F7012C" w:rsidRDefault="00F7012C" w:rsidP="00B15E88"/>
        </w:tc>
        <w:tc>
          <w:tcPr>
            <w:tcW w:w="1638" w:type="dxa"/>
            <w:tcBorders>
              <w:bottom w:val="single" w:sz="4" w:space="0" w:color="auto"/>
            </w:tcBorders>
            <w:vAlign w:val="center"/>
          </w:tcPr>
          <w:p w14:paraId="23C38716"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Codon 61</w:t>
            </w:r>
          </w:p>
        </w:tc>
        <w:tc>
          <w:tcPr>
            <w:tcW w:w="1166" w:type="dxa"/>
            <w:tcBorders>
              <w:bottom w:val="single" w:sz="4" w:space="0" w:color="auto"/>
            </w:tcBorders>
            <w:vAlign w:val="center"/>
          </w:tcPr>
          <w:p w14:paraId="1F221C4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0.02%</w:t>
            </w:r>
          </w:p>
        </w:tc>
        <w:tc>
          <w:tcPr>
            <w:tcW w:w="1216" w:type="dxa"/>
            <w:vMerge/>
            <w:tcBorders>
              <w:top w:val="nil"/>
              <w:bottom w:val="single" w:sz="4" w:space="0" w:color="auto"/>
            </w:tcBorders>
          </w:tcPr>
          <w:p w14:paraId="7AA4907C" w14:textId="77777777" w:rsidR="00F7012C" w:rsidRDefault="00F7012C" w:rsidP="00B15E88"/>
        </w:tc>
        <w:tc>
          <w:tcPr>
            <w:tcW w:w="1494" w:type="dxa"/>
            <w:vMerge/>
            <w:tcBorders>
              <w:top w:val="nil"/>
              <w:bottom w:val="single" w:sz="4" w:space="0" w:color="auto"/>
            </w:tcBorders>
          </w:tcPr>
          <w:p w14:paraId="1647CF13" w14:textId="77777777" w:rsidR="00F7012C" w:rsidRDefault="00F7012C" w:rsidP="00B15E88"/>
        </w:tc>
        <w:tc>
          <w:tcPr>
            <w:tcW w:w="1060" w:type="dxa"/>
            <w:vMerge/>
            <w:tcBorders>
              <w:top w:val="nil"/>
              <w:bottom w:val="single" w:sz="4" w:space="0" w:color="auto"/>
            </w:tcBorders>
          </w:tcPr>
          <w:p w14:paraId="5BDFC047" w14:textId="77777777" w:rsidR="00F7012C" w:rsidRDefault="00F7012C" w:rsidP="00B15E88"/>
        </w:tc>
      </w:tr>
      <w:tr w:rsidR="004545DC" w14:paraId="601E1AF8" w14:textId="77777777" w:rsidTr="00B15E88">
        <w:trPr>
          <w:trHeight w:val="399"/>
        </w:trPr>
        <w:tc>
          <w:tcPr>
            <w:tcW w:w="1098" w:type="dxa"/>
            <w:tcBorders>
              <w:top w:val="single" w:sz="4" w:space="0" w:color="auto"/>
              <w:bottom w:val="single" w:sz="4" w:space="0" w:color="auto"/>
            </w:tcBorders>
            <w:shd w:val="clear" w:color="auto" w:fill="F2F2F2"/>
            <w:vAlign w:val="center"/>
          </w:tcPr>
          <w:p w14:paraId="027863B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FN-6</w:t>
            </w:r>
          </w:p>
        </w:tc>
        <w:tc>
          <w:tcPr>
            <w:tcW w:w="887" w:type="dxa"/>
            <w:tcBorders>
              <w:top w:val="single" w:sz="4" w:space="0" w:color="auto"/>
              <w:bottom w:val="single" w:sz="4" w:space="0" w:color="auto"/>
            </w:tcBorders>
            <w:shd w:val="clear" w:color="auto" w:fill="F2F2F2"/>
            <w:vAlign w:val="center"/>
          </w:tcPr>
          <w:p w14:paraId="5F9682ED"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shd w:val="clear" w:color="auto" w:fill="F2F2F2"/>
            <w:vAlign w:val="center"/>
          </w:tcPr>
          <w:p w14:paraId="2C29AC52"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Codon 61</w:t>
            </w:r>
          </w:p>
        </w:tc>
        <w:tc>
          <w:tcPr>
            <w:tcW w:w="1166" w:type="dxa"/>
            <w:tcBorders>
              <w:top w:val="single" w:sz="4" w:space="0" w:color="auto"/>
              <w:bottom w:val="single" w:sz="4" w:space="0" w:color="auto"/>
            </w:tcBorders>
            <w:shd w:val="clear" w:color="auto" w:fill="F2F2F2"/>
            <w:vAlign w:val="center"/>
          </w:tcPr>
          <w:p w14:paraId="55C497A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0.03%</w:t>
            </w:r>
          </w:p>
        </w:tc>
        <w:tc>
          <w:tcPr>
            <w:tcW w:w="1216" w:type="dxa"/>
            <w:tcBorders>
              <w:top w:val="single" w:sz="4" w:space="0" w:color="auto"/>
              <w:bottom w:val="single" w:sz="4" w:space="0" w:color="auto"/>
            </w:tcBorders>
            <w:shd w:val="clear" w:color="auto" w:fill="F2F2F2"/>
            <w:vAlign w:val="center"/>
          </w:tcPr>
          <w:p w14:paraId="71FC02D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shd w:val="clear" w:color="auto" w:fill="F2F2F2"/>
            <w:vAlign w:val="center"/>
          </w:tcPr>
          <w:p w14:paraId="6C06E6DF"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shd w:val="clear" w:color="auto" w:fill="F2F2F2"/>
            <w:vAlign w:val="center"/>
          </w:tcPr>
          <w:p w14:paraId="5FD3EC5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6990DD5A" w14:textId="77777777" w:rsidTr="00B15E88">
        <w:trPr>
          <w:trHeight w:val="399"/>
        </w:trPr>
        <w:tc>
          <w:tcPr>
            <w:tcW w:w="1098" w:type="dxa"/>
            <w:tcBorders>
              <w:top w:val="single" w:sz="4" w:space="0" w:color="auto"/>
              <w:bottom w:val="single" w:sz="4" w:space="0" w:color="auto"/>
            </w:tcBorders>
            <w:vAlign w:val="center"/>
          </w:tcPr>
          <w:p w14:paraId="7DFD8EB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FN-7</w:t>
            </w:r>
          </w:p>
        </w:tc>
        <w:tc>
          <w:tcPr>
            <w:tcW w:w="887" w:type="dxa"/>
            <w:tcBorders>
              <w:top w:val="single" w:sz="4" w:space="0" w:color="auto"/>
              <w:bottom w:val="single" w:sz="4" w:space="0" w:color="auto"/>
            </w:tcBorders>
            <w:vAlign w:val="center"/>
          </w:tcPr>
          <w:p w14:paraId="035998B1"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4" w:space="0" w:color="auto"/>
            </w:tcBorders>
            <w:vAlign w:val="center"/>
          </w:tcPr>
          <w:p w14:paraId="1F43826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KRAS</w:t>
            </w:r>
            <w:r>
              <w:rPr>
                <w:rFonts w:ascii="Times New Roman" w:eastAsia="Times New Roman" w:hAnsi="Times New Roman" w:cs="Times New Roman"/>
                <w:sz w:val="20"/>
              </w:rPr>
              <w:t xml:space="preserve"> Codon 12</w:t>
            </w:r>
          </w:p>
        </w:tc>
        <w:tc>
          <w:tcPr>
            <w:tcW w:w="1166" w:type="dxa"/>
            <w:tcBorders>
              <w:top w:val="single" w:sz="4" w:space="0" w:color="auto"/>
              <w:bottom w:val="single" w:sz="4" w:space="0" w:color="auto"/>
            </w:tcBorders>
            <w:vAlign w:val="center"/>
          </w:tcPr>
          <w:p w14:paraId="7BEED440"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0.01%</w:t>
            </w:r>
          </w:p>
        </w:tc>
        <w:tc>
          <w:tcPr>
            <w:tcW w:w="1216" w:type="dxa"/>
            <w:tcBorders>
              <w:top w:val="single" w:sz="4" w:space="0" w:color="auto"/>
              <w:bottom w:val="single" w:sz="4" w:space="0" w:color="auto"/>
            </w:tcBorders>
            <w:vAlign w:val="center"/>
          </w:tcPr>
          <w:p w14:paraId="1451A0D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4" w:space="0" w:color="auto"/>
            </w:tcBorders>
            <w:vAlign w:val="center"/>
          </w:tcPr>
          <w:p w14:paraId="1A94799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4" w:space="0" w:color="auto"/>
            </w:tcBorders>
            <w:vAlign w:val="center"/>
          </w:tcPr>
          <w:p w14:paraId="4D08E6F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r w:rsidR="004545DC" w14:paraId="40AB21DF" w14:textId="77777777" w:rsidTr="00B15E88">
        <w:trPr>
          <w:trHeight w:val="399"/>
        </w:trPr>
        <w:tc>
          <w:tcPr>
            <w:tcW w:w="1098" w:type="dxa"/>
            <w:tcBorders>
              <w:top w:val="single" w:sz="4" w:space="0" w:color="auto"/>
              <w:bottom w:val="single" w:sz="8" w:space="0" w:color="auto"/>
            </w:tcBorders>
            <w:shd w:val="clear" w:color="auto" w:fill="F2F2F2"/>
            <w:vAlign w:val="center"/>
          </w:tcPr>
          <w:p w14:paraId="7588C72B"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FN-8</w:t>
            </w:r>
          </w:p>
        </w:tc>
        <w:tc>
          <w:tcPr>
            <w:tcW w:w="887" w:type="dxa"/>
            <w:tcBorders>
              <w:top w:val="single" w:sz="4" w:space="0" w:color="auto"/>
              <w:bottom w:val="single" w:sz="8" w:space="0" w:color="auto"/>
            </w:tcBorders>
            <w:shd w:val="clear" w:color="auto" w:fill="F2F2F2"/>
            <w:vAlign w:val="center"/>
          </w:tcPr>
          <w:p w14:paraId="1B4DB808"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MT</w:t>
            </w:r>
          </w:p>
        </w:tc>
        <w:tc>
          <w:tcPr>
            <w:tcW w:w="1638" w:type="dxa"/>
            <w:tcBorders>
              <w:top w:val="single" w:sz="4" w:space="0" w:color="auto"/>
              <w:bottom w:val="single" w:sz="8" w:space="0" w:color="auto"/>
            </w:tcBorders>
            <w:shd w:val="clear" w:color="auto" w:fill="F2F2F2"/>
            <w:vAlign w:val="center"/>
          </w:tcPr>
          <w:p w14:paraId="0F99C4AE"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i/>
                <w:sz w:val="20"/>
              </w:rPr>
              <w:t>NRAS</w:t>
            </w:r>
            <w:r>
              <w:rPr>
                <w:rFonts w:ascii="Times New Roman" w:eastAsia="Times New Roman" w:hAnsi="Times New Roman" w:cs="Times New Roman"/>
                <w:sz w:val="20"/>
              </w:rPr>
              <w:t xml:space="preserve"> Codon 61</w:t>
            </w:r>
          </w:p>
        </w:tc>
        <w:tc>
          <w:tcPr>
            <w:tcW w:w="1166" w:type="dxa"/>
            <w:tcBorders>
              <w:top w:val="single" w:sz="4" w:space="0" w:color="auto"/>
              <w:bottom w:val="single" w:sz="8" w:space="0" w:color="auto"/>
            </w:tcBorders>
            <w:shd w:val="clear" w:color="auto" w:fill="F2F2F2"/>
            <w:vAlign w:val="center"/>
          </w:tcPr>
          <w:p w14:paraId="191AFC6A"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0.01%</w:t>
            </w:r>
          </w:p>
        </w:tc>
        <w:tc>
          <w:tcPr>
            <w:tcW w:w="1216" w:type="dxa"/>
            <w:tcBorders>
              <w:top w:val="single" w:sz="4" w:space="0" w:color="auto"/>
              <w:bottom w:val="single" w:sz="8" w:space="0" w:color="auto"/>
            </w:tcBorders>
            <w:shd w:val="clear" w:color="auto" w:fill="F2F2F2"/>
            <w:vAlign w:val="center"/>
          </w:tcPr>
          <w:p w14:paraId="3B5220A3"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494" w:type="dxa"/>
            <w:tcBorders>
              <w:top w:val="single" w:sz="4" w:space="0" w:color="auto"/>
              <w:bottom w:val="single" w:sz="8" w:space="0" w:color="auto"/>
            </w:tcBorders>
            <w:shd w:val="clear" w:color="auto" w:fill="F2F2F2"/>
            <w:vAlign w:val="center"/>
          </w:tcPr>
          <w:p w14:paraId="58BAD48C"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WT</w:t>
            </w:r>
          </w:p>
        </w:tc>
        <w:tc>
          <w:tcPr>
            <w:tcW w:w="1060" w:type="dxa"/>
            <w:tcBorders>
              <w:top w:val="single" w:sz="4" w:space="0" w:color="auto"/>
              <w:bottom w:val="single" w:sz="8" w:space="0" w:color="auto"/>
            </w:tcBorders>
            <w:shd w:val="clear" w:color="auto" w:fill="F2F2F2"/>
            <w:vAlign w:val="center"/>
          </w:tcPr>
          <w:p w14:paraId="1278D5B4" w14:textId="77777777" w:rsidR="00F7012C" w:rsidRDefault="004D5AA3" w:rsidP="00B15E88">
            <w:pPr>
              <w:snapToGrid w:val="0"/>
              <w:contextualSpacing/>
              <w:jc w:val="center"/>
              <w:rPr>
                <w:rFonts w:ascii="Times New Roman" w:eastAsia="Times New Roman" w:hAnsi="Times New Roman" w:cs="Times New Roman"/>
                <w:sz w:val="20"/>
              </w:rPr>
            </w:pPr>
            <w:r>
              <w:rPr>
                <w:rFonts w:ascii="Times New Roman" w:eastAsia="Times New Roman" w:hAnsi="Times New Roman" w:cs="Times New Roman"/>
                <w:sz w:val="20"/>
              </w:rPr>
              <w:t>N/A</w:t>
            </w:r>
          </w:p>
        </w:tc>
      </w:tr>
    </w:tbl>
    <w:p w14:paraId="003F4CCB" w14:textId="77777777" w:rsidR="00F7012C" w:rsidRDefault="004D5AA3" w:rsidP="00F7012C">
      <w:pPr>
        <w:snapToGrid w:val="0"/>
        <w:spacing w:line="480" w:lineRule="auto"/>
        <w:contextualSpacing/>
        <w:rPr>
          <w:rFonts w:ascii="Times New Roman" w:eastAsia="Times New Roman" w:hAnsi="Times New Roman" w:cs="Times New Roman"/>
          <w:b/>
          <w:sz w:val="20"/>
        </w:rPr>
      </w:pPr>
      <w:r>
        <w:rPr>
          <w:rFonts w:ascii="Times New Roman" w:eastAsia="Times New Roman" w:hAnsi="Times New Roman" w:cs="Times New Roman"/>
        </w:rPr>
        <w:t>MT: mutant; WT: wild-type; MAF: mutant allele frequency.</w:t>
      </w:r>
    </w:p>
    <w:p w14:paraId="1771C6FD" w14:textId="77777777" w:rsidR="00F7012C" w:rsidRDefault="00F7012C" w:rsidP="00F7012C">
      <w:pPr>
        <w:widowControl/>
        <w:jc w:val="left"/>
        <w:rPr>
          <w:rFonts w:ascii="Times New Roman" w:eastAsia="Times New Roman" w:hAnsi="Times New Roman" w:cs="Times New Roman"/>
          <w:b/>
          <w:sz w:val="20"/>
        </w:rPr>
        <w:sectPr w:rsidR="00F7012C">
          <w:pgSz w:w="11906" w:h="16838"/>
          <w:pgMar w:top="1985" w:right="1701" w:bottom="1701" w:left="1701" w:header="851" w:footer="992" w:gutter="0"/>
          <w:lnNumType w:countBy="1" w:restart="continuous"/>
          <w:cols w:space="425"/>
          <w:docGrid w:type="lines" w:linePitch="360"/>
        </w:sectPr>
      </w:pPr>
    </w:p>
    <w:p w14:paraId="02EB9715" w14:textId="77777777"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Table S2. Discordant cases of </w:t>
      </w:r>
      <w:r>
        <w:rPr>
          <w:rFonts w:ascii="Times New Roman" w:eastAsia="Times New Roman" w:hAnsi="Times New Roman" w:cs="Times New Roman"/>
          <w:b/>
          <w:i/>
          <w:sz w:val="24"/>
        </w:rPr>
        <w:t>BRAF</w:t>
      </w:r>
      <w:r>
        <w:rPr>
          <w:rFonts w:ascii="Times New Roman" w:eastAsia="Times New Roman" w:hAnsi="Times New Roman" w:cs="Times New Roman"/>
          <w:b/>
          <w:sz w:val="24"/>
        </w:rPr>
        <w:t xml:space="preserve"> V600E mutational status</w:t>
      </w:r>
    </w:p>
    <w:tbl>
      <w:tblPr>
        <w:tblW w:w="13325" w:type="dxa"/>
        <w:tblLook w:val="0000" w:firstRow="0" w:lastRow="0" w:firstColumn="0" w:lastColumn="0" w:noHBand="0" w:noVBand="0"/>
      </w:tblPr>
      <w:tblGrid>
        <w:gridCol w:w="917"/>
        <w:gridCol w:w="2041"/>
        <w:gridCol w:w="2041"/>
        <w:gridCol w:w="1293"/>
        <w:gridCol w:w="1930"/>
        <w:gridCol w:w="2551"/>
        <w:gridCol w:w="2552"/>
      </w:tblGrid>
      <w:tr w:rsidR="004545DC" w14:paraId="25E4F06D" w14:textId="77777777" w:rsidTr="00B15E88">
        <w:trPr>
          <w:trHeight w:val="596"/>
        </w:trPr>
        <w:tc>
          <w:tcPr>
            <w:tcW w:w="917" w:type="dxa"/>
            <w:vMerge w:val="restart"/>
            <w:tcBorders>
              <w:top w:val="single" w:sz="8" w:space="0" w:color="auto"/>
              <w:bottom w:val="single" w:sz="8" w:space="0" w:color="auto"/>
            </w:tcBorders>
            <w:vAlign w:val="center"/>
          </w:tcPr>
          <w:p w14:paraId="230FA0D5"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Patient No.</w:t>
            </w:r>
          </w:p>
        </w:tc>
        <w:tc>
          <w:tcPr>
            <w:tcW w:w="2041" w:type="dxa"/>
            <w:tcBorders>
              <w:top w:val="single" w:sz="8" w:space="0" w:color="auto"/>
            </w:tcBorders>
            <w:vAlign w:val="center"/>
          </w:tcPr>
          <w:p w14:paraId="2999CAC1"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Tissue-based testing</w:t>
            </w:r>
          </w:p>
        </w:tc>
        <w:tc>
          <w:tcPr>
            <w:tcW w:w="2041" w:type="dxa"/>
            <w:tcBorders>
              <w:top w:val="single" w:sz="8" w:space="0" w:color="auto"/>
            </w:tcBorders>
            <w:vAlign w:val="center"/>
          </w:tcPr>
          <w:p w14:paraId="0C0413B0"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PlasmaSeq assay</w:t>
            </w:r>
          </w:p>
        </w:tc>
        <w:tc>
          <w:tcPr>
            <w:tcW w:w="3223" w:type="dxa"/>
            <w:gridSpan w:val="2"/>
            <w:tcBorders>
              <w:top w:val="single" w:sz="8" w:space="0" w:color="auto"/>
            </w:tcBorders>
            <w:vAlign w:val="center"/>
          </w:tcPr>
          <w:p w14:paraId="1374004C"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Plasma NGS assay</w:t>
            </w:r>
          </w:p>
        </w:tc>
        <w:tc>
          <w:tcPr>
            <w:tcW w:w="2551" w:type="dxa"/>
            <w:vMerge w:val="restart"/>
            <w:tcBorders>
              <w:top w:val="single" w:sz="8" w:space="0" w:color="auto"/>
              <w:bottom w:val="single" w:sz="8" w:space="0" w:color="auto"/>
            </w:tcBorders>
            <w:vAlign w:val="center"/>
          </w:tcPr>
          <w:p w14:paraId="643C2C07"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Metastatic site</w:t>
            </w:r>
          </w:p>
          <w:p w14:paraId="7371E484"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(Longest diameter</w:t>
            </w:r>
          </w:p>
          <w:p w14:paraId="7358878C"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 number of lesions)</w:t>
            </w:r>
          </w:p>
        </w:tc>
        <w:tc>
          <w:tcPr>
            <w:tcW w:w="2552" w:type="dxa"/>
            <w:vMerge w:val="restart"/>
            <w:tcBorders>
              <w:top w:val="single" w:sz="8" w:space="0" w:color="auto"/>
              <w:bottom w:val="single" w:sz="8" w:space="0" w:color="auto"/>
            </w:tcBorders>
            <w:vAlign w:val="center"/>
          </w:tcPr>
          <w:p w14:paraId="2654FFC5"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Sample collection interval from archived tissue to plasma (months)</w:t>
            </w:r>
          </w:p>
        </w:tc>
      </w:tr>
      <w:tr w:rsidR="004545DC" w14:paraId="1AC68F5C" w14:textId="77777777" w:rsidTr="00B15E88">
        <w:trPr>
          <w:trHeight w:val="596"/>
        </w:trPr>
        <w:tc>
          <w:tcPr>
            <w:tcW w:w="917" w:type="dxa"/>
            <w:vMerge/>
            <w:tcBorders>
              <w:top w:val="nil"/>
              <w:bottom w:val="single" w:sz="8" w:space="0" w:color="auto"/>
            </w:tcBorders>
          </w:tcPr>
          <w:p w14:paraId="5AE8407D" w14:textId="77777777" w:rsidR="00F7012C" w:rsidRDefault="00F7012C" w:rsidP="00B15E88"/>
        </w:tc>
        <w:tc>
          <w:tcPr>
            <w:tcW w:w="2041" w:type="dxa"/>
            <w:tcBorders>
              <w:bottom w:val="single" w:sz="8" w:space="0" w:color="auto"/>
            </w:tcBorders>
            <w:vAlign w:val="center"/>
          </w:tcPr>
          <w:p w14:paraId="1AFEF2C6"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i/>
              </w:rPr>
              <w:t>BRAF</w:t>
            </w:r>
            <w:r>
              <w:rPr>
                <w:rFonts w:ascii="Times New Roman" w:eastAsia="Times New Roman" w:hAnsi="Times New Roman" w:cs="Times New Roman"/>
                <w:b/>
                <w:vertAlign w:val="superscript"/>
              </w:rPr>
              <w:t>V600E</w:t>
            </w:r>
          </w:p>
        </w:tc>
        <w:tc>
          <w:tcPr>
            <w:tcW w:w="2041" w:type="dxa"/>
            <w:tcBorders>
              <w:bottom w:val="single" w:sz="8" w:space="0" w:color="auto"/>
            </w:tcBorders>
            <w:vAlign w:val="center"/>
          </w:tcPr>
          <w:p w14:paraId="41B456F8"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i/>
              </w:rPr>
              <w:t>BRAF</w:t>
            </w:r>
            <w:r>
              <w:rPr>
                <w:rFonts w:ascii="Times New Roman" w:eastAsia="Times New Roman" w:hAnsi="Times New Roman" w:cs="Times New Roman"/>
                <w:b/>
                <w:vertAlign w:val="superscript"/>
              </w:rPr>
              <w:t xml:space="preserve">V600E </w:t>
            </w:r>
            <w:r>
              <w:rPr>
                <w:rFonts w:ascii="Times New Roman" w:eastAsia="Times New Roman" w:hAnsi="Times New Roman" w:cs="Times New Roman"/>
                <w:b/>
              </w:rPr>
              <w:t>(MAF)</w:t>
            </w:r>
          </w:p>
        </w:tc>
        <w:tc>
          <w:tcPr>
            <w:tcW w:w="1293" w:type="dxa"/>
            <w:tcBorders>
              <w:bottom w:val="single" w:sz="8" w:space="0" w:color="auto"/>
            </w:tcBorders>
            <w:vAlign w:val="center"/>
          </w:tcPr>
          <w:p w14:paraId="3E79350C"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i/>
              </w:rPr>
              <w:t>BRAF</w:t>
            </w:r>
            <w:r>
              <w:rPr>
                <w:rFonts w:ascii="Times New Roman" w:eastAsia="Times New Roman" w:hAnsi="Times New Roman" w:cs="Times New Roman"/>
                <w:b/>
                <w:vertAlign w:val="superscript"/>
              </w:rPr>
              <w:t xml:space="preserve">V600E </w:t>
            </w:r>
            <w:r>
              <w:rPr>
                <w:rFonts w:ascii="Times New Roman" w:eastAsia="Times New Roman" w:hAnsi="Times New Roman" w:cs="Times New Roman"/>
                <w:b/>
              </w:rPr>
              <w:t>(MAF)</w:t>
            </w:r>
          </w:p>
        </w:tc>
        <w:tc>
          <w:tcPr>
            <w:tcW w:w="1930" w:type="dxa"/>
            <w:tcBorders>
              <w:bottom w:val="single" w:sz="8" w:space="0" w:color="auto"/>
            </w:tcBorders>
            <w:vAlign w:val="center"/>
          </w:tcPr>
          <w:p w14:paraId="4AF4D5BD"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Other Genes</w:t>
            </w:r>
          </w:p>
          <w:p w14:paraId="2DB89F55" w14:textId="77777777" w:rsidR="00F7012C" w:rsidRDefault="004D5AA3" w:rsidP="00B15E88">
            <w:pPr>
              <w:snapToGrid w:val="0"/>
              <w:contextualSpacing/>
              <w:jc w:val="center"/>
              <w:rPr>
                <w:rFonts w:ascii="Times New Roman" w:eastAsia="Times New Roman" w:hAnsi="Times New Roman" w:cs="Times New Roman"/>
                <w:b/>
              </w:rPr>
            </w:pPr>
            <w:r>
              <w:rPr>
                <w:rFonts w:ascii="Times New Roman" w:eastAsia="Times New Roman" w:hAnsi="Times New Roman" w:cs="Times New Roman"/>
                <w:b/>
              </w:rPr>
              <w:t>(MAF)</w:t>
            </w:r>
          </w:p>
        </w:tc>
        <w:tc>
          <w:tcPr>
            <w:tcW w:w="2551" w:type="dxa"/>
            <w:vMerge/>
            <w:tcBorders>
              <w:top w:val="nil"/>
              <w:bottom w:val="single" w:sz="8" w:space="0" w:color="auto"/>
            </w:tcBorders>
          </w:tcPr>
          <w:p w14:paraId="1EC55A65" w14:textId="77777777" w:rsidR="00F7012C" w:rsidRDefault="00F7012C" w:rsidP="00B15E88"/>
        </w:tc>
        <w:tc>
          <w:tcPr>
            <w:tcW w:w="2552" w:type="dxa"/>
            <w:vMerge/>
            <w:tcBorders>
              <w:top w:val="nil"/>
              <w:bottom w:val="single" w:sz="8" w:space="0" w:color="auto"/>
            </w:tcBorders>
          </w:tcPr>
          <w:p w14:paraId="1429985B" w14:textId="77777777" w:rsidR="00F7012C" w:rsidRDefault="00F7012C" w:rsidP="00B15E88"/>
        </w:tc>
      </w:tr>
      <w:tr w:rsidR="004545DC" w14:paraId="7DCCE05B" w14:textId="77777777" w:rsidTr="00B15E88">
        <w:trPr>
          <w:trHeight w:val="298"/>
        </w:trPr>
        <w:tc>
          <w:tcPr>
            <w:tcW w:w="917" w:type="dxa"/>
            <w:tcBorders>
              <w:top w:val="single" w:sz="8" w:space="0" w:color="auto"/>
              <w:bottom w:val="single" w:sz="4" w:space="0" w:color="auto"/>
            </w:tcBorders>
            <w:shd w:val="clear" w:color="auto" w:fill="F2F2F2"/>
            <w:vAlign w:val="center"/>
          </w:tcPr>
          <w:p w14:paraId="4E768E05"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FN-1</w:t>
            </w:r>
          </w:p>
        </w:tc>
        <w:tc>
          <w:tcPr>
            <w:tcW w:w="2041" w:type="dxa"/>
            <w:tcBorders>
              <w:top w:val="single" w:sz="8" w:space="0" w:color="auto"/>
              <w:bottom w:val="single" w:sz="4" w:space="0" w:color="auto"/>
            </w:tcBorders>
            <w:shd w:val="clear" w:color="auto" w:fill="F2F2F2"/>
            <w:vAlign w:val="center"/>
          </w:tcPr>
          <w:p w14:paraId="3533283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8" w:space="0" w:color="auto"/>
              <w:bottom w:val="single" w:sz="4" w:space="0" w:color="auto"/>
            </w:tcBorders>
            <w:shd w:val="clear" w:color="auto" w:fill="F2F2F2"/>
            <w:vAlign w:val="center"/>
          </w:tcPr>
          <w:p w14:paraId="069B7E83"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8" w:space="0" w:color="auto"/>
              <w:bottom w:val="single" w:sz="4" w:space="0" w:color="auto"/>
            </w:tcBorders>
            <w:shd w:val="clear" w:color="auto" w:fill="F2F2F2"/>
            <w:vAlign w:val="center"/>
          </w:tcPr>
          <w:p w14:paraId="16510C9B"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8" w:space="0" w:color="auto"/>
              <w:bottom w:val="single" w:sz="4" w:space="0" w:color="auto"/>
            </w:tcBorders>
            <w:shd w:val="clear" w:color="auto" w:fill="F2F2F2"/>
            <w:vAlign w:val="center"/>
          </w:tcPr>
          <w:p w14:paraId="3E5D65CF"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551" w:type="dxa"/>
            <w:tcBorders>
              <w:top w:val="single" w:sz="8" w:space="0" w:color="auto"/>
              <w:bottom w:val="single" w:sz="4" w:space="0" w:color="auto"/>
            </w:tcBorders>
            <w:shd w:val="clear" w:color="auto" w:fill="F2F2F2"/>
            <w:vAlign w:val="center"/>
          </w:tcPr>
          <w:p w14:paraId="20178553"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(15.6 mm, 5)</w:t>
            </w:r>
          </w:p>
        </w:tc>
        <w:tc>
          <w:tcPr>
            <w:tcW w:w="2552" w:type="dxa"/>
            <w:tcBorders>
              <w:top w:val="single" w:sz="8" w:space="0" w:color="auto"/>
              <w:bottom w:val="single" w:sz="4" w:space="0" w:color="auto"/>
            </w:tcBorders>
            <w:shd w:val="clear" w:color="auto" w:fill="F2F2F2"/>
            <w:vAlign w:val="center"/>
          </w:tcPr>
          <w:p w14:paraId="416293C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3.6</w:t>
            </w:r>
          </w:p>
        </w:tc>
      </w:tr>
      <w:tr w:rsidR="004545DC" w14:paraId="01EC98DF" w14:textId="77777777" w:rsidTr="00B15E88">
        <w:trPr>
          <w:trHeight w:val="298"/>
        </w:trPr>
        <w:tc>
          <w:tcPr>
            <w:tcW w:w="917" w:type="dxa"/>
            <w:tcBorders>
              <w:top w:val="single" w:sz="4" w:space="0" w:color="auto"/>
              <w:bottom w:val="single" w:sz="4" w:space="0" w:color="auto"/>
            </w:tcBorders>
            <w:vAlign w:val="center"/>
          </w:tcPr>
          <w:p w14:paraId="37C80EC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FN-2</w:t>
            </w:r>
          </w:p>
        </w:tc>
        <w:tc>
          <w:tcPr>
            <w:tcW w:w="2041" w:type="dxa"/>
            <w:tcBorders>
              <w:top w:val="single" w:sz="4" w:space="0" w:color="auto"/>
              <w:bottom w:val="single" w:sz="4" w:space="0" w:color="auto"/>
            </w:tcBorders>
            <w:vAlign w:val="center"/>
          </w:tcPr>
          <w:p w14:paraId="10EC9F2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vAlign w:val="center"/>
          </w:tcPr>
          <w:p w14:paraId="60A32683"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4" w:space="0" w:color="auto"/>
              <w:bottom w:val="single" w:sz="4" w:space="0" w:color="auto"/>
            </w:tcBorders>
            <w:vAlign w:val="center"/>
          </w:tcPr>
          <w:p w14:paraId="6E094D06"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4" w:space="0" w:color="auto"/>
              <w:bottom w:val="single" w:sz="4" w:space="0" w:color="auto"/>
            </w:tcBorders>
            <w:vAlign w:val="center"/>
          </w:tcPr>
          <w:p w14:paraId="75DCCC6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551" w:type="dxa"/>
            <w:tcBorders>
              <w:top w:val="single" w:sz="4" w:space="0" w:color="auto"/>
              <w:bottom w:val="single" w:sz="4" w:space="0" w:color="auto"/>
            </w:tcBorders>
            <w:vAlign w:val="center"/>
          </w:tcPr>
          <w:p w14:paraId="329B4525"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(16 mm, 1)</w:t>
            </w:r>
          </w:p>
        </w:tc>
        <w:tc>
          <w:tcPr>
            <w:tcW w:w="2552" w:type="dxa"/>
            <w:tcBorders>
              <w:top w:val="single" w:sz="4" w:space="0" w:color="auto"/>
              <w:bottom w:val="single" w:sz="4" w:space="0" w:color="auto"/>
            </w:tcBorders>
            <w:vAlign w:val="center"/>
          </w:tcPr>
          <w:p w14:paraId="09B8644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4.2</w:t>
            </w:r>
          </w:p>
        </w:tc>
      </w:tr>
      <w:tr w:rsidR="004545DC" w14:paraId="284D95E1" w14:textId="77777777" w:rsidTr="00B15E88">
        <w:trPr>
          <w:trHeight w:val="596"/>
        </w:trPr>
        <w:tc>
          <w:tcPr>
            <w:tcW w:w="917" w:type="dxa"/>
            <w:tcBorders>
              <w:top w:val="single" w:sz="4" w:space="0" w:color="auto"/>
              <w:bottom w:val="single" w:sz="4" w:space="0" w:color="auto"/>
            </w:tcBorders>
            <w:shd w:val="clear" w:color="auto" w:fill="F2F2F2"/>
            <w:vAlign w:val="center"/>
          </w:tcPr>
          <w:p w14:paraId="6CB14DA5"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FN-3</w:t>
            </w:r>
          </w:p>
        </w:tc>
        <w:tc>
          <w:tcPr>
            <w:tcW w:w="2041" w:type="dxa"/>
            <w:tcBorders>
              <w:top w:val="single" w:sz="4" w:space="0" w:color="auto"/>
              <w:bottom w:val="single" w:sz="4" w:space="0" w:color="auto"/>
            </w:tcBorders>
            <w:shd w:val="clear" w:color="auto" w:fill="F2F2F2"/>
            <w:vAlign w:val="center"/>
          </w:tcPr>
          <w:p w14:paraId="68FC9A58"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shd w:val="clear" w:color="auto" w:fill="F2F2F2"/>
            <w:vAlign w:val="center"/>
          </w:tcPr>
          <w:p w14:paraId="3DBA060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3223" w:type="dxa"/>
            <w:gridSpan w:val="2"/>
            <w:tcBorders>
              <w:top w:val="single" w:sz="4" w:space="0" w:color="auto"/>
              <w:bottom w:val="single" w:sz="4" w:space="0" w:color="auto"/>
            </w:tcBorders>
            <w:shd w:val="clear" w:color="auto" w:fill="F2F2F2"/>
            <w:vAlign w:val="center"/>
          </w:tcPr>
          <w:p w14:paraId="2484F44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N/A*</w:t>
            </w:r>
          </w:p>
        </w:tc>
        <w:tc>
          <w:tcPr>
            <w:tcW w:w="2551" w:type="dxa"/>
            <w:tcBorders>
              <w:top w:val="single" w:sz="4" w:space="0" w:color="auto"/>
              <w:bottom w:val="single" w:sz="4" w:space="0" w:color="auto"/>
            </w:tcBorders>
            <w:shd w:val="clear" w:color="auto" w:fill="F2F2F2"/>
            <w:vAlign w:val="center"/>
          </w:tcPr>
          <w:p w14:paraId="1B9C568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(17 mm, ≥ 1), Lung (8 mm, 4)</w:t>
            </w:r>
          </w:p>
        </w:tc>
        <w:tc>
          <w:tcPr>
            <w:tcW w:w="2552" w:type="dxa"/>
            <w:tcBorders>
              <w:top w:val="single" w:sz="4" w:space="0" w:color="auto"/>
              <w:bottom w:val="single" w:sz="4" w:space="0" w:color="auto"/>
            </w:tcBorders>
            <w:shd w:val="clear" w:color="auto" w:fill="F2F2F2"/>
            <w:vAlign w:val="center"/>
          </w:tcPr>
          <w:p w14:paraId="57B07A38"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13.6</w:t>
            </w:r>
          </w:p>
        </w:tc>
      </w:tr>
      <w:tr w:rsidR="004545DC" w14:paraId="4565529E" w14:textId="77777777" w:rsidTr="00B15E88">
        <w:trPr>
          <w:trHeight w:val="596"/>
        </w:trPr>
        <w:tc>
          <w:tcPr>
            <w:tcW w:w="917" w:type="dxa"/>
            <w:tcBorders>
              <w:top w:val="single" w:sz="4" w:space="0" w:color="auto"/>
              <w:bottom w:val="single" w:sz="4" w:space="0" w:color="auto"/>
            </w:tcBorders>
            <w:vAlign w:val="center"/>
          </w:tcPr>
          <w:p w14:paraId="437BA2EB"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FN-4</w:t>
            </w:r>
          </w:p>
        </w:tc>
        <w:tc>
          <w:tcPr>
            <w:tcW w:w="2041" w:type="dxa"/>
            <w:tcBorders>
              <w:top w:val="single" w:sz="4" w:space="0" w:color="auto"/>
              <w:bottom w:val="single" w:sz="4" w:space="0" w:color="auto"/>
            </w:tcBorders>
            <w:vAlign w:val="center"/>
          </w:tcPr>
          <w:p w14:paraId="7925E477"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vAlign w:val="center"/>
          </w:tcPr>
          <w:p w14:paraId="3DBA93EE"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4" w:space="0" w:color="auto"/>
              <w:bottom w:val="single" w:sz="4" w:space="0" w:color="auto"/>
            </w:tcBorders>
            <w:vAlign w:val="center"/>
          </w:tcPr>
          <w:p w14:paraId="39C9DE1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4" w:space="0" w:color="auto"/>
              <w:bottom w:val="single" w:sz="4" w:space="0" w:color="auto"/>
            </w:tcBorders>
            <w:vAlign w:val="center"/>
          </w:tcPr>
          <w:p w14:paraId="105AD16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551" w:type="dxa"/>
            <w:tcBorders>
              <w:top w:val="single" w:sz="4" w:space="0" w:color="auto"/>
              <w:bottom w:val="single" w:sz="4" w:space="0" w:color="auto"/>
            </w:tcBorders>
            <w:vAlign w:val="center"/>
          </w:tcPr>
          <w:p w14:paraId="0720589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(21 mm, 1), Lung (8 mm, 1)</w:t>
            </w:r>
          </w:p>
        </w:tc>
        <w:tc>
          <w:tcPr>
            <w:tcW w:w="2552" w:type="dxa"/>
            <w:tcBorders>
              <w:top w:val="single" w:sz="4" w:space="0" w:color="auto"/>
              <w:bottom w:val="single" w:sz="4" w:space="0" w:color="auto"/>
            </w:tcBorders>
            <w:vAlign w:val="center"/>
          </w:tcPr>
          <w:p w14:paraId="7EF2D86A"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18.8</w:t>
            </w:r>
          </w:p>
        </w:tc>
      </w:tr>
      <w:tr w:rsidR="004545DC" w14:paraId="2E771BA5" w14:textId="77777777" w:rsidTr="00B15E88">
        <w:trPr>
          <w:trHeight w:val="596"/>
        </w:trPr>
        <w:tc>
          <w:tcPr>
            <w:tcW w:w="917" w:type="dxa"/>
            <w:tcBorders>
              <w:top w:val="single" w:sz="4" w:space="0" w:color="auto"/>
              <w:bottom w:val="single" w:sz="4" w:space="0" w:color="auto"/>
            </w:tcBorders>
            <w:shd w:val="clear" w:color="auto" w:fill="F2F2F2"/>
            <w:vAlign w:val="center"/>
          </w:tcPr>
          <w:p w14:paraId="5B1F57D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FN-5</w:t>
            </w:r>
          </w:p>
        </w:tc>
        <w:tc>
          <w:tcPr>
            <w:tcW w:w="2041" w:type="dxa"/>
            <w:tcBorders>
              <w:top w:val="single" w:sz="4" w:space="0" w:color="auto"/>
              <w:bottom w:val="single" w:sz="4" w:space="0" w:color="auto"/>
            </w:tcBorders>
            <w:shd w:val="clear" w:color="auto" w:fill="F2F2F2"/>
            <w:vAlign w:val="center"/>
          </w:tcPr>
          <w:p w14:paraId="5C795773"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shd w:val="clear" w:color="auto" w:fill="F2F2F2"/>
            <w:vAlign w:val="center"/>
          </w:tcPr>
          <w:p w14:paraId="361CC526"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3223" w:type="dxa"/>
            <w:gridSpan w:val="2"/>
            <w:tcBorders>
              <w:top w:val="single" w:sz="4" w:space="0" w:color="auto"/>
              <w:bottom w:val="single" w:sz="4" w:space="0" w:color="auto"/>
            </w:tcBorders>
            <w:shd w:val="clear" w:color="auto" w:fill="F2F2F2"/>
            <w:vAlign w:val="center"/>
          </w:tcPr>
          <w:p w14:paraId="08C40BA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N/A**</w:t>
            </w:r>
          </w:p>
        </w:tc>
        <w:tc>
          <w:tcPr>
            <w:tcW w:w="2551" w:type="dxa"/>
            <w:tcBorders>
              <w:top w:val="single" w:sz="4" w:space="0" w:color="auto"/>
              <w:bottom w:val="single" w:sz="4" w:space="0" w:color="auto"/>
            </w:tcBorders>
            <w:shd w:val="clear" w:color="auto" w:fill="F2F2F2"/>
            <w:vAlign w:val="center"/>
          </w:tcPr>
          <w:p w14:paraId="63FF34F8"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(10 mm, 4),</w:t>
            </w:r>
          </w:p>
          <w:p w14:paraId="509FF63E"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Lymph nodes (14 mm, 1)</w:t>
            </w:r>
          </w:p>
        </w:tc>
        <w:tc>
          <w:tcPr>
            <w:tcW w:w="2552" w:type="dxa"/>
            <w:tcBorders>
              <w:top w:val="single" w:sz="4" w:space="0" w:color="auto"/>
              <w:bottom w:val="single" w:sz="4" w:space="0" w:color="auto"/>
            </w:tcBorders>
            <w:shd w:val="clear" w:color="auto" w:fill="F2F2F2"/>
            <w:vAlign w:val="center"/>
          </w:tcPr>
          <w:p w14:paraId="23B694C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16.8</w:t>
            </w:r>
          </w:p>
        </w:tc>
      </w:tr>
      <w:tr w:rsidR="004545DC" w14:paraId="3BF665D7" w14:textId="77777777" w:rsidTr="00B15E88">
        <w:trPr>
          <w:trHeight w:val="895"/>
        </w:trPr>
        <w:tc>
          <w:tcPr>
            <w:tcW w:w="917" w:type="dxa"/>
            <w:tcBorders>
              <w:top w:val="single" w:sz="4" w:space="0" w:color="auto"/>
              <w:bottom w:val="single" w:sz="4" w:space="0" w:color="auto"/>
            </w:tcBorders>
            <w:vAlign w:val="center"/>
          </w:tcPr>
          <w:p w14:paraId="2A6C520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FN-6</w:t>
            </w:r>
          </w:p>
        </w:tc>
        <w:tc>
          <w:tcPr>
            <w:tcW w:w="2041" w:type="dxa"/>
            <w:tcBorders>
              <w:top w:val="single" w:sz="4" w:space="0" w:color="auto"/>
              <w:bottom w:val="single" w:sz="4" w:space="0" w:color="auto"/>
            </w:tcBorders>
            <w:vAlign w:val="center"/>
          </w:tcPr>
          <w:p w14:paraId="1892814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vAlign w:val="center"/>
          </w:tcPr>
          <w:p w14:paraId="47771C65"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4" w:space="0" w:color="auto"/>
              <w:bottom w:val="single" w:sz="4" w:space="0" w:color="auto"/>
            </w:tcBorders>
            <w:vAlign w:val="center"/>
          </w:tcPr>
          <w:p w14:paraId="3F893C16"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4" w:space="0" w:color="auto"/>
              <w:bottom w:val="single" w:sz="4" w:space="0" w:color="auto"/>
            </w:tcBorders>
            <w:vAlign w:val="center"/>
          </w:tcPr>
          <w:p w14:paraId="0ED2F95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551" w:type="dxa"/>
            <w:tcBorders>
              <w:top w:val="single" w:sz="4" w:space="0" w:color="auto"/>
              <w:bottom w:val="single" w:sz="4" w:space="0" w:color="auto"/>
            </w:tcBorders>
            <w:vAlign w:val="center"/>
          </w:tcPr>
          <w:p w14:paraId="4EB3BD1E"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Lung (23 mm, 2),</w:t>
            </w:r>
          </w:p>
          <w:p w14:paraId="606B0B2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Brain (13 mm, 1),</w:t>
            </w:r>
          </w:p>
          <w:p w14:paraId="0598B10A"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Meninges (15 mm, 1)</w:t>
            </w:r>
          </w:p>
        </w:tc>
        <w:tc>
          <w:tcPr>
            <w:tcW w:w="2552" w:type="dxa"/>
            <w:tcBorders>
              <w:top w:val="single" w:sz="4" w:space="0" w:color="auto"/>
              <w:bottom w:val="single" w:sz="4" w:space="0" w:color="auto"/>
            </w:tcBorders>
            <w:vAlign w:val="center"/>
          </w:tcPr>
          <w:p w14:paraId="4DCC917E"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N/A</w:t>
            </w:r>
          </w:p>
        </w:tc>
      </w:tr>
      <w:tr w:rsidR="004545DC" w14:paraId="7E4713BE" w14:textId="77777777" w:rsidTr="00B15E88">
        <w:trPr>
          <w:trHeight w:val="596"/>
        </w:trPr>
        <w:tc>
          <w:tcPr>
            <w:tcW w:w="917" w:type="dxa"/>
            <w:tcBorders>
              <w:top w:val="single" w:sz="4" w:space="0" w:color="auto"/>
              <w:bottom w:val="single" w:sz="4" w:space="0" w:color="auto"/>
            </w:tcBorders>
            <w:shd w:val="clear" w:color="auto" w:fill="F2F2F2"/>
            <w:vAlign w:val="center"/>
          </w:tcPr>
          <w:p w14:paraId="76ADC57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FN-7</w:t>
            </w:r>
          </w:p>
        </w:tc>
        <w:tc>
          <w:tcPr>
            <w:tcW w:w="2041" w:type="dxa"/>
            <w:tcBorders>
              <w:top w:val="single" w:sz="4" w:space="0" w:color="auto"/>
              <w:bottom w:val="single" w:sz="4" w:space="0" w:color="auto"/>
            </w:tcBorders>
            <w:shd w:val="clear" w:color="auto" w:fill="F2F2F2"/>
            <w:vAlign w:val="center"/>
          </w:tcPr>
          <w:p w14:paraId="037E4B31"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shd w:val="clear" w:color="auto" w:fill="F2F2F2"/>
            <w:vAlign w:val="center"/>
          </w:tcPr>
          <w:p w14:paraId="1F17572B"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4" w:space="0" w:color="auto"/>
              <w:bottom w:val="single" w:sz="4" w:space="0" w:color="auto"/>
            </w:tcBorders>
            <w:shd w:val="clear" w:color="auto" w:fill="F2F2F2"/>
            <w:vAlign w:val="center"/>
          </w:tcPr>
          <w:p w14:paraId="5D77C138"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4" w:space="0" w:color="auto"/>
              <w:bottom w:val="single" w:sz="4" w:space="0" w:color="auto"/>
            </w:tcBorders>
            <w:shd w:val="clear" w:color="auto" w:fill="F2F2F2"/>
            <w:vAlign w:val="center"/>
          </w:tcPr>
          <w:p w14:paraId="563C6ED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551" w:type="dxa"/>
            <w:tcBorders>
              <w:top w:val="single" w:sz="4" w:space="0" w:color="auto"/>
              <w:bottom w:val="single" w:sz="4" w:space="0" w:color="auto"/>
            </w:tcBorders>
            <w:shd w:val="clear" w:color="auto" w:fill="F2F2F2"/>
            <w:vAlign w:val="center"/>
          </w:tcPr>
          <w:p w14:paraId="677409D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(30 mm, 2),</w:t>
            </w:r>
          </w:p>
          <w:p w14:paraId="69AB3721"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Lymph nodes (20 mm, 1)</w:t>
            </w:r>
          </w:p>
        </w:tc>
        <w:tc>
          <w:tcPr>
            <w:tcW w:w="2552" w:type="dxa"/>
            <w:tcBorders>
              <w:top w:val="single" w:sz="4" w:space="0" w:color="auto"/>
              <w:bottom w:val="single" w:sz="4" w:space="0" w:color="auto"/>
            </w:tcBorders>
            <w:shd w:val="clear" w:color="auto" w:fill="F2F2F2"/>
            <w:vAlign w:val="center"/>
          </w:tcPr>
          <w:p w14:paraId="686ED0A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46.9</w:t>
            </w:r>
          </w:p>
        </w:tc>
      </w:tr>
      <w:tr w:rsidR="004545DC" w14:paraId="1961FCC7" w14:textId="77777777" w:rsidTr="00B15E88">
        <w:trPr>
          <w:trHeight w:val="596"/>
        </w:trPr>
        <w:tc>
          <w:tcPr>
            <w:tcW w:w="917" w:type="dxa"/>
            <w:tcBorders>
              <w:top w:val="single" w:sz="4" w:space="0" w:color="auto"/>
              <w:bottom w:val="single" w:sz="4" w:space="0" w:color="auto"/>
            </w:tcBorders>
            <w:vAlign w:val="center"/>
          </w:tcPr>
          <w:p w14:paraId="07CD5D02"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FN-8</w:t>
            </w:r>
          </w:p>
        </w:tc>
        <w:tc>
          <w:tcPr>
            <w:tcW w:w="2041" w:type="dxa"/>
            <w:tcBorders>
              <w:top w:val="single" w:sz="4" w:space="0" w:color="auto"/>
              <w:bottom w:val="single" w:sz="4" w:space="0" w:color="auto"/>
            </w:tcBorders>
            <w:vAlign w:val="center"/>
          </w:tcPr>
          <w:p w14:paraId="6C75C84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tc>
        <w:tc>
          <w:tcPr>
            <w:tcW w:w="2041" w:type="dxa"/>
            <w:tcBorders>
              <w:top w:val="single" w:sz="4" w:space="0" w:color="auto"/>
              <w:bottom w:val="single" w:sz="4" w:space="0" w:color="auto"/>
            </w:tcBorders>
            <w:vAlign w:val="center"/>
          </w:tcPr>
          <w:p w14:paraId="7D92231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293" w:type="dxa"/>
            <w:tcBorders>
              <w:top w:val="single" w:sz="4" w:space="0" w:color="auto"/>
              <w:bottom w:val="single" w:sz="4" w:space="0" w:color="auto"/>
            </w:tcBorders>
            <w:vAlign w:val="center"/>
          </w:tcPr>
          <w:p w14:paraId="6A59F42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1930" w:type="dxa"/>
            <w:tcBorders>
              <w:top w:val="single" w:sz="4" w:space="0" w:color="auto"/>
              <w:bottom w:val="single" w:sz="4" w:space="0" w:color="auto"/>
            </w:tcBorders>
            <w:vAlign w:val="center"/>
          </w:tcPr>
          <w:p w14:paraId="17F8C70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i/>
              </w:rPr>
              <w:t>APC</w:t>
            </w:r>
          </w:p>
          <w:p w14:paraId="3DF7196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(1.14%)</w:t>
            </w:r>
          </w:p>
        </w:tc>
        <w:tc>
          <w:tcPr>
            <w:tcW w:w="2551" w:type="dxa"/>
            <w:tcBorders>
              <w:top w:val="single" w:sz="4" w:space="0" w:color="auto"/>
              <w:bottom w:val="single" w:sz="4" w:space="0" w:color="auto"/>
            </w:tcBorders>
            <w:vAlign w:val="center"/>
          </w:tcPr>
          <w:p w14:paraId="4B955190"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Peritoneum (42.6 mm, 1), Lung (17.9 mm, 22)</w:t>
            </w:r>
          </w:p>
        </w:tc>
        <w:tc>
          <w:tcPr>
            <w:tcW w:w="2552" w:type="dxa"/>
            <w:tcBorders>
              <w:top w:val="single" w:sz="4" w:space="0" w:color="auto"/>
              <w:bottom w:val="single" w:sz="4" w:space="0" w:color="auto"/>
            </w:tcBorders>
            <w:vAlign w:val="center"/>
          </w:tcPr>
          <w:p w14:paraId="3A66EB6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71.4</w:t>
            </w:r>
          </w:p>
        </w:tc>
      </w:tr>
      <w:tr w:rsidR="004545DC" w14:paraId="464759D7" w14:textId="77777777" w:rsidTr="00B15E88">
        <w:trPr>
          <w:trHeight w:val="596"/>
        </w:trPr>
        <w:tc>
          <w:tcPr>
            <w:tcW w:w="917" w:type="dxa"/>
            <w:tcBorders>
              <w:top w:val="single" w:sz="4" w:space="0" w:color="auto"/>
              <w:bottom w:val="single" w:sz="8" w:space="0" w:color="auto"/>
            </w:tcBorders>
            <w:shd w:val="clear" w:color="auto" w:fill="F2F2F2"/>
            <w:vAlign w:val="center"/>
          </w:tcPr>
          <w:p w14:paraId="5F2B2BC4"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FP-1</w:t>
            </w:r>
          </w:p>
        </w:tc>
        <w:tc>
          <w:tcPr>
            <w:tcW w:w="2041" w:type="dxa"/>
            <w:tcBorders>
              <w:top w:val="single" w:sz="4" w:space="0" w:color="auto"/>
              <w:bottom w:val="single" w:sz="8" w:space="0" w:color="auto"/>
            </w:tcBorders>
            <w:shd w:val="clear" w:color="auto" w:fill="F2F2F2"/>
            <w:vAlign w:val="center"/>
          </w:tcPr>
          <w:p w14:paraId="163AF75D"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WT</w:t>
            </w:r>
          </w:p>
        </w:tc>
        <w:tc>
          <w:tcPr>
            <w:tcW w:w="2041" w:type="dxa"/>
            <w:tcBorders>
              <w:top w:val="single" w:sz="4" w:space="0" w:color="auto"/>
              <w:bottom w:val="single" w:sz="8" w:space="0" w:color="auto"/>
            </w:tcBorders>
            <w:shd w:val="clear" w:color="auto" w:fill="F2F2F2"/>
            <w:vAlign w:val="center"/>
          </w:tcPr>
          <w:p w14:paraId="6F30799B"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p w14:paraId="31B632CF"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(21.6%)</w:t>
            </w:r>
          </w:p>
        </w:tc>
        <w:tc>
          <w:tcPr>
            <w:tcW w:w="1293" w:type="dxa"/>
            <w:tcBorders>
              <w:top w:val="single" w:sz="4" w:space="0" w:color="auto"/>
              <w:bottom w:val="single" w:sz="8" w:space="0" w:color="auto"/>
            </w:tcBorders>
            <w:shd w:val="clear" w:color="auto" w:fill="F2F2F2"/>
            <w:vAlign w:val="center"/>
          </w:tcPr>
          <w:p w14:paraId="35C800A6"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MT</w:t>
            </w:r>
          </w:p>
          <w:p w14:paraId="54CDA4CA"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(24.7%)</w:t>
            </w:r>
          </w:p>
        </w:tc>
        <w:tc>
          <w:tcPr>
            <w:tcW w:w="1930" w:type="dxa"/>
            <w:tcBorders>
              <w:top w:val="single" w:sz="4" w:space="0" w:color="auto"/>
              <w:bottom w:val="single" w:sz="8" w:space="0" w:color="auto"/>
            </w:tcBorders>
            <w:shd w:val="clear" w:color="auto" w:fill="F2F2F2"/>
            <w:vAlign w:val="center"/>
          </w:tcPr>
          <w:p w14:paraId="7037B3F8"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i/>
              </w:rPr>
              <w:t>CTNNB1</w:t>
            </w:r>
          </w:p>
          <w:p w14:paraId="24002216"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(1.10%）</w:t>
            </w:r>
          </w:p>
        </w:tc>
        <w:tc>
          <w:tcPr>
            <w:tcW w:w="2551" w:type="dxa"/>
            <w:tcBorders>
              <w:top w:val="single" w:sz="4" w:space="0" w:color="auto"/>
              <w:bottom w:val="single" w:sz="8" w:space="0" w:color="auto"/>
            </w:tcBorders>
            <w:shd w:val="clear" w:color="auto" w:fill="F2F2F2"/>
            <w:vAlign w:val="center"/>
          </w:tcPr>
          <w:p w14:paraId="34287C89"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Liver (19.1 mm, 3),</w:t>
            </w:r>
          </w:p>
          <w:p w14:paraId="103E65BF"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Lymph nodes (25.2 mm, 1)</w:t>
            </w:r>
          </w:p>
        </w:tc>
        <w:tc>
          <w:tcPr>
            <w:tcW w:w="2552" w:type="dxa"/>
            <w:tcBorders>
              <w:top w:val="single" w:sz="4" w:space="0" w:color="auto"/>
              <w:bottom w:val="single" w:sz="8" w:space="0" w:color="auto"/>
            </w:tcBorders>
            <w:shd w:val="clear" w:color="auto" w:fill="F2F2F2"/>
            <w:vAlign w:val="center"/>
          </w:tcPr>
          <w:p w14:paraId="44D1F8EC" w14:textId="77777777" w:rsidR="00F7012C" w:rsidRDefault="004D5AA3" w:rsidP="00B15E88">
            <w:pPr>
              <w:snapToGrid w:val="0"/>
              <w:contextualSpacing/>
              <w:jc w:val="center"/>
              <w:rPr>
                <w:rFonts w:ascii="Times New Roman" w:eastAsia="Times New Roman" w:hAnsi="Times New Roman" w:cs="Times New Roman"/>
              </w:rPr>
            </w:pPr>
            <w:r>
              <w:rPr>
                <w:rFonts w:ascii="Times New Roman" w:eastAsia="Times New Roman" w:hAnsi="Times New Roman" w:cs="Times New Roman"/>
              </w:rPr>
              <w:t>18.2</w:t>
            </w:r>
          </w:p>
        </w:tc>
      </w:tr>
    </w:tbl>
    <w:p w14:paraId="3A4E5A5B" w14:textId="77777777" w:rsidR="00F7012C" w:rsidRDefault="004D5AA3" w:rsidP="00F7012C">
      <w:pPr>
        <w:snapToGrid w:val="0"/>
        <w:spacing w:line="480" w:lineRule="auto"/>
        <w:contextualSpacing/>
        <w:rPr>
          <w:rFonts w:ascii="Times New Roman" w:eastAsia="Times New Roman" w:hAnsi="Times New Roman" w:cs="Times New Roman"/>
        </w:rPr>
      </w:pPr>
      <w:r>
        <w:rPr>
          <w:rFonts w:ascii="Times New Roman" w:eastAsia="Times New Roman" w:hAnsi="Times New Roman" w:cs="Times New Roman"/>
          <w:b/>
          <w:sz w:val="24"/>
        </w:rPr>
        <w:t xml:space="preserve">* </w:t>
      </w:r>
      <w:r>
        <w:rPr>
          <w:rFonts w:ascii="Times New Roman" w:eastAsia="Times New Roman" w:hAnsi="Times New Roman" w:cs="Times New Roman"/>
        </w:rPr>
        <w:t>Insufficient residual plasma.</w:t>
      </w:r>
    </w:p>
    <w:p w14:paraId="6AED394F" w14:textId="66EBA00F" w:rsidR="00F7012C" w:rsidRDefault="004D5AA3" w:rsidP="00F7012C">
      <w:pPr>
        <w:snapToGrid w:val="0"/>
        <w:spacing w:line="480" w:lineRule="auto"/>
        <w:contextualSpacing/>
        <w:rPr>
          <w:rFonts w:ascii="Times New Roman" w:eastAsia="Times New Roman" w:hAnsi="Times New Roman" w:cs="Times New Roman"/>
        </w:rPr>
      </w:pPr>
      <w:r>
        <w:rPr>
          <w:rFonts w:ascii="Times New Roman" w:eastAsia="Times New Roman" w:hAnsi="Times New Roman" w:cs="Times New Roman"/>
        </w:rPr>
        <w:t xml:space="preserve">** Unable to evaluate </w:t>
      </w:r>
      <w:r w:rsidR="00593F26">
        <w:rPr>
          <w:rFonts w:ascii="Times New Roman" w:eastAsia="Times New Roman" w:hAnsi="Times New Roman" w:cs="Times New Roman"/>
        </w:rPr>
        <w:t xml:space="preserve">owing </w:t>
      </w:r>
      <w:r>
        <w:rPr>
          <w:rFonts w:ascii="Times New Roman" w:eastAsia="Times New Roman" w:hAnsi="Times New Roman" w:cs="Times New Roman"/>
        </w:rPr>
        <w:t>to insufficient depth</w:t>
      </w:r>
    </w:p>
    <w:p w14:paraId="3AA33F63" w14:textId="39854B23" w:rsidR="00F7012C" w:rsidRDefault="004D5AA3" w:rsidP="00F7012C">
      <w:pPr>
        <w:snapToGrid w:val="0"/>
        <w:spacing w:line="480" w:lineRule="auto"/>
        <w:contextualSpacing/>
        <w:rPr>
          <w:rFonts w:ascii="Times New Roman" w:eastAsia="Times New Roman" w:hAnsi="Times New Roman" w:cs="Times New Roman"/>
        </w:rPr>
      </w:pPr>
      <w:r>
        <w:rPr>
          <w:rFonts w:ascii="Times New Roman" w:eastAsia="Times New Roman" w:hAnsi="Times New Roman" w:cs="Times New Roman"/>
        </w:rPr>
        <w:t xml:space="preserve">MT: mutant; WT: wild-type; </w:t>
      </w:r>
      <w:r w:rsidR="00593F26">
        <w:rPr>
          <w:rFonts w:ascii="Times New Roman" w:eastAsia="Times New Roman" w:hAnsi="Times New Roman" w:cs="Times New Roman"/>
        </w:rPr>
        <w:t xml:space="preserve">NGS: next-generation sequencing; </w:t>
      </w:r>
      <w:r>
        <w:rPr>
          <w:rFonts w:ascii="Times New Roman" w:eastAsia="Times New Roman" w:hAnsi="Times New Roman" w:cs="Times New Roman"/>
        </w:rPr>
        <w:t>MAF: mutant allele frequency.</w:t>
      </w:r>
    </w:p>
    <w:p w14:paraId="29BC8D40" w14:textId="77777777" w:rsidR="00593F26" w:rsidRDefault="00593F26" w:rsidP="00F7012C">
      <w:pPr>
        <w:snapToGrid w:val="0"/>
        <w:spacing w:line="480" w:lineRule="auto"/>
        <w:contextualSpacing/>
        <w:rPr>
          <w:rFonts w:ascii="Times New Roman" w:eastAsia="Times New Roman" w:hAnsi="Times New Roman" w:cs="Times New Roman"/>
          <w:b/>
          <w:sz w:val="24"/>
        </w:rPr>
        <w:sectPr w:rsidR="00593F26">
          <w:pgSz w:w="16838" w:h="11906" w:orient="landscape"/>
          <w:pgMar w:top="1701" w:right="1985" w:bottom="1701" w:left="1701" w:header="851" w:footer="992" w:gutter="0"/>
          <w:lnNumType w:countBy="1" w:restart="continuous"/>
          <w:cols w:space="425"/>
          <w:docGrid w:type="lines" w:linePitch="360"/>
        </w:sectPr>
      </w:pPr>
    </w:p>
    <w:p w14:paraId="4183AC56" w14:textId="77777777" w:rsidR="00F7012C" w:rsidRDefault="004D5AA3" w:rsidP="00F7012C">
      <w:pPr>
        <w:snapToGrid w:val="0"/>
        <w:spacing w:line="480" w:lineRule="auto"/>
        <w:contextualSpacing/>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Table S3. Cases with potentially low ctDNA shedding based on metastatic site and burden in patients with tissue-based </w:t>
      </w:r>
      <w:r>
        <w:rPr>
          <w:rFonts w:ascii="Times New Roman" w:eastAsia="Times New Roman" w:hAnsi="Times New Roman" w:cs="Times New Roman"/>
          <w:b/>
          <w:i/>
          <w:sz w:val="24"/>
        </w:rPr>
        <w:t>BRAF</w:t>
      </w:r>
      <w:r>
        <w:rPr>
          <w:rFonts w:ascii="Times New Roman" w:eastAsia="Times New Roman" w:hAnsi="Times New Roman" w:cs="Times New Roman"/>
          <w:b/>
          <w:sz w:val="24"/>
        </w:rPr>
        <w:t xml:space="preserve"> V600E mutation</w:t>
      </w:r>
    </w:p>
    <w:tbl>
      <w:tblPr>
        <w:tblW w:w="8487" w:type="dxa"/>
        <w:tblLook w:val="0420" w:firstRow="1" w:lastRow="0" w:firstColumn="0" w:lastColumn="0" w:noHBand="0" w:noVBand="1"/>
      </w:tblPr>
      <w:tblGrid>
        <w:gridCol w:w="2410"/>
        <w:gridCol w:w="2268"/>
        <w:gridCol w:w="1701"/>
        <w:gridCol w:w="2108"/>
      </w:tblGrid>
      <w:tr w:rsidR="004545DC" w14:paraId="120D9162" w14:textId="77777777" w:rsidTr="00B15E88">
        <w:trPr>
          <w:trHeight w:val="641"/>
        </w:trPr>
        <w:tc>
          <w:tcPr>
            <w:tcW w:w="2410" w:type="dxa"/>
            <w:vMerge w:val="restart"/>
            <w:tcBorders>
              <w:top w:val="single" w:sz="8" w:space="0" w:color="auto"/>
              <w:bottom w:val="single" w:sz="8" w:space="0" w:color="auto"/>
            </w:tcBorders>
            <w:vAlign w:val="center"/>
          </w:tcPr>
          <w:p w14:paraId="73774225" w14:textId="77777777" w:rsidR="00F7012C" w:rsidRDefault="004D5AA3" w:rsidP="00B15E88">
            <w:pPr>
              <w:snapToGrid w:val="0"/>
              <w:contextualSpacing/>
              <w:jc w:val="center"/>
              <w:rPr>
                <w:rFonts w:ascii="Times New Roman" w:eastAsia="Times New Roman" w:hAnsi="Times New Roman" w:cs="Times New Roman"/>
                <w:b/>
                <w:sz w:val="22"/>
              </w:rPr>
            </w:pPr>
            <w:r>
              <w:rPr>
                <w:rFonts w:ascii="Times New Roman" w:eastAsia="Times New Roman" w:hAnsi="Times New Roman" w:cs="Times New Roman"/>
                <w:b/>
                <w:sz w:val="22"/>
              </w:rPr>
              <w:t>Comparison of Tissue and PlasmaSeq assay (patient No. of discordant case)</w:t>
            </w:r>
          </w:p>
        </w:tc>
        <w:tc>
          <w:tcPr>
            <w:tcW w:w="2268" w:type="dxa"/>
            <w:vMerge w:val="restart"/>
            <w:tcBorders>
              <w:top w:val="single" w:sz="8" w:space="0" w:color="auto"/>
              <w:bottom w:val="single" w:sz="8" w:space="0" w:color="auto"/>
            </w:tcBorders>
            <w:vAlign w:val="center"/>
          </w:tcPr>
          <w:p w14:paraId="41317CA7" w14:textId="77777777" w:rsidR="00F7012C" w:rsidRDefault="004D5AA3" w:rsidP="00B15E88">
            <w:pPr>
              <w:snapToGrid w:val="0"/>
              <w:contextualSpacing/>
              <w:jc w:val="center"/>
              <w:rPr>
                <w:rFonts w:ascii="Times New Roman" w:eastAsia="Times New Roman" w:hAnsi="Times New Roman" w:cs="Times New Roman"/>
                <w:b/>
                <w:sz w:val="22"/>
              </w:rPr>
            </w:pPr>
            <w:r>
              <w:rPr>
                <w:rFonts w:ascii="Times New Roman" w:eastAsia="Times New Roman" w:hAnsi="Times New Roman" w:cs="Times New Roman"/>
                <w:b/>
                <w:sz w:val="22"/>
              </w:rPr>
              <w:t>Metastatic site</w:t>
            </w:r>
          </w:p>
        </w:tc>
        <w:tc>
          <w:tcPr>
            <w:tcW w:w="1701" w:type="dxa"/>
            <w:tcBorders>
              <w:top w:val="single" w:sz="8" w:space="0" w:color="auto"/>
              <w:bottom w:val="single" w:sz="6" w:space="0" w:color="auto"/>
            </w:tcBorders>
            <w:vAlign w:val="center"/>
          </w:tcPr>
          <w:p w14:paraId="2287EC36" w14:textId="423777C5" w:rsidR="00F7012C" w:rsidRPr="00A32CA7" w:rsidRDefault="004D5AA3" w:rsidP="00B15E88">
            <w:pPr>
              <w:snapToGrid w:val="0"/>
              <w:contextualSpacing/>
              <w:jc w:val="center"/>
              <w:rPr>
                <w:rFonts w:ascii="Times New Roman" w:hAnsi="Times New Roman" w:cs="Times New Roman"/>
                <w:b/>
                <w:sz w:val="22"/>
              </w:rPr>
            </w:pPr>
            <w:r>
              <w:rPr>
                <w:rFonts w:ascii="Times New Roman" w:eastAsia="Times New Roman" w:hAnsi="Times New Roman" w:cs="Times New Roman"/>
                <w:b/>
                <w:sz w:val="22"/>
              </w:rPr>
              <w:t>Peritoneal met</w:t>
            </w:r>
            <w:r w:rsidR="00DF43EC">
              <w:rPr>
                <w:rFonts w:ascii="Times New Roman" w:hAnsi="Times New Roman" w:cs="Times New Roman" w:hint="eastAsia"/>
                <w:b/>
                <w:sz w:val="22"/>
              </w:rPr>
              <w:t>astasis</w:t>
            </w:r>
          </w:p>
        </w:tc>
        <w:tc>
          <w:tcPr>
            <w:tcW w:w="2108" w:type="dxa"/>
            <w:tcBorders>
              <w:top w:val="single" w:sz="8" w:space="0" w:color="auto"/>
              <w:bottom w:val="single" w:sz="6" w:space="0" w:color="auto"/>
            </w:tcBorders>
            <w:vAlign w:val="center"/>
          </w:tcPr>
          <w:p w14:paraId="537D896A" w14:textId="4786BC30" w:rsidR="00F7012C" w:rsidRPr="00A32CA7" w:rsidRDefault="004D5AA3" w:rsidP="00B15E88">
            <w:pPr>
              <w:snapToGrid w:val="0"/>
              <w:contextualSpacing/>
              <w:jc w:val="center"/>
              <w:rPr>
                <w:rFonts w:ascii="Times New Roman" w:hAnsi="Times New Roman" w:cs="Times New Roman"/>
                <w:b/>
                <w:sz w:val="22"/>
              </w:rPr>
            </w:pPr>
            <w:r>
              <w:rPr>
                <w:rFonts w:ascii="Times New Roman" w:eastAsia="Times New Roman" w:hAnsi="Times New Roman" w:cs="Times New Roman"/>
                <w:b/>
                <w:sz w:val="22"/>
              </w:rPr>
              <w:t>Lung met</w:t>
            </w:r>
            <w:r w:rsidR="00DF43EC">
              <w:rPr>
                <w:rFonts w:ascii="Times New Roman" w:hAnsi="Times New Roman" w:cs="Times New Roman" w:hint="eastAsia"/>
                <w:b/>
                <w:sz w:val="22"/>
              </w:rPr>
              <w:t>astasis</w:t>
            </w:r>
          </w:p>
        </w:tc>
      </w:tr>
      <w:tr w:rsidR="004545DC" w14:paraId="07D3FE62" w14:textId="77777777" w:rsidTr="00B15E88">
        <w:trPr>
          <w:trHeight w:val="729"/>
        </w:trPr>
        <w:tc>
          <w:tcPr>
            <w:tcW w:w="2410" w:type="dxa"/>
            <w:vMerge/>
            <w:tcBorders>
              <w:top w:val="nil"/>
              <w:bottom w:val="single" w:sz="8" w:space="0" w:color="auto"/>
            </w:tcBorders>
          </w:tcPr>
          <w:p w14:paraId="2D8F2954" w14:textId="77777777" w:rsidR="00F7012C" w:rsidRDefault="00F7012C" w:rsidP="00B15E88"/>
        </w:tc>
        <w:tc>
          <w:tcPr>
            <w:tcW w:w="2268" w:type="dxa"/>
            <w:vMerge/>
            <w:tcBorders>
              <w:top w:val="nil"/>
              <w:bottom w:val="single" w:sz="8" w:space="0" w:color="auto"/>
            </w:tcBorders>
          </w:tcPr>
          <w:p w14:paraId="6831555A" w14:textId="77777777" w:rsidR="00F7012C" w:rsidRDefault="00F7012C" w:rsidP="00B15E88"/>
        </w:tc>
        <w:tc>
          <w:tcPr>
            <w:tcW w:w="1701" w:type="dxa"/>
            <w:tcBorders>
              <w:top w:val="single" w:sz="6" w:space="0" w:color="auto"/>
              <w:bottom w:val="single" w:sz="8" w:space="0" w:color="auto"/>
            </w:tcBorders>
            <w:vAlign w:val="center"/>
          </w:tcPr>
          <w:p w14:paraId="47A455BB" w14:textId="77777777" w:rsidR="00F7012C" w:rsidRDefault="004D5AA3" w:rsidP="00B15E88">
            <w:pPr>
              <w:snapToGrid w:val="0"/>
              <w:contextualSpacing/>
              <w:jc w:val="center"/>
              <w:rPr>
                <w:rFonts w:ascii="Times New Roman" w:eastAsia="Times New Roman" w:hAnsi="Times New Roman" w:cs="Times New Roman"/>
                <w:b/>
                <w:sz w:val="22"/>
              </w:rPr>
            </w:pPr>
            <w:r>
              <w:rPr>
                <w:rFonts w:ascii="Times New Roman" w:eastAsia="Times New Roman" w:hAnsi="Times New Roman" w:cs="Times New Roman"/>
                <w:b/>
                <w:sz w:val="22"/>
              </w:rPr>
              <w:t>Longest diameter</w:t>
            </w:r>
          </w:p>
        </w:tc>
        <w:tc>
          <w:tcPr>
            <w:tcW w:w="2108" w:type="dxa"/>
            <w:tcBorders>
              <w:top w:val="single" w:sz="6" w:space="0" w:color="auto"/>
              <w:bottom w:val="single" w:sz="8" w:space="0" w:color="auto"/>
            </w:tcBorders>
            <w:vAlign w:val="center"/>
          </w:tcPr>
          <w:p w14:paraId="0679C054" w14:textId="77777777" w:rsidR="00F7012C" w:rsidRDefault="004D5AA3" w:rsidP="00B15E88">
            <w:pPr>
              <w:snapToGrid w:val="0"/>
              <w:contextualSpacing/>
              <w:jc w:val="center"/>
              <w:rPr>
                <w:rFonts w:ascii="Times New Roman" w:eastAsia="Times New Roman" w:hAnsi="Times New Roman" w:cs="Times New Roman"/>
                <w:b/>
                <w:sz w:val="22"/>
              </w:rPr>
            </w:pPr>
            <w:r>
              <w:rPr>
                <w:rFonts w:ascii="Times New Roman" w:eastAsia="Times New Roman" w:hAnsi="Times New Roman" w:cs="Times New Roman"/>
                <w:b/>
                <w:sz w:val="22"/>
              </w:rPr>
              <w:t>Longest diameter, number of lesions</w:t>
            </w:r>
          </w:p>
        </w:tc>
      </w:tr>
      <w:tr w:rsidR="004545DC" w14:paraId="23460E70" w14:textId="77777777" w:rsidTr="00B15E88">
        <w:trPr>
          <w:trHeight w:val="508"/>
        </w:trPr>
        <w:tc>
          <w:tcPr>
            <w:tcW w:w="2410" w:type="dxa"/>
            <w:tcBorders>
              <w:top w:val="single" w:sz="8" w:space="0" w:color="auto"/>
              <w:bottom w:val="single" w:sz="4" w:space="0" w:color="auto"/>
            </w:tcBorders>
            <w:shd w:val="clear" w:color="auto" w:fill="F2F2F2"/>
            <w:vAlign w:val="center"/>
          </w:tcPr>
          <w:p w14:paraId="6AD29AFD"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Concordance</w:t>
            </w:r>
          </w:p>
        </w:tc>
        <w:tc>
          <w:tcPr>
            <w:tcW w:w="2268" w:type="dxa"/>
            <w:tcBorders>
              <w:top w:val="single" w:sz="8" w:space="0" w:color="auto"/>
              <w:bottom w:val="single" w:sz="4" w:space="0" w:color="auto"/>
            </w:tcBorders>
            <w:shd w:val="clear" w:color="auto" w:fill="F2F2F2"/>
            <w:vAlign w:val="center"/>
          </w:tcPr>
          <w:p w14:paraId="2C90CE41"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Peritoneum alone</w:t>
            </w:r>
          </w:p>
        </w:tc>
        <w:tc>
          <w:tcPr>
            <w:tcW w:w="1701" w:type="dxa"/>
            <w:tcBorders>
              <w:top w:val="single" w:sz="8" w:space="0" w:color="auto"/>
              <w:bottom w:val="single" w:sz="4" w:space="0" w:color="auto"/>
            </w:tcBorders>
            <w:shd w:val="clear" w:color="auto" w:fill="F2F2F2"/>
            <w:vAlign w:val="center"/>
          </w:tcPr>
          <w:p w14:paraId="4A454E48"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15 mm</w:t>
            </w:r>
          </w:p>
        </w:tc>
        <w:tc>
          <w:tcPr>
            <w:tcW w:w="2108" w:type="dxa"/>
            <w:tcBorders>
              <w:top w:val="single" w:sz="8" w:space="0" w:color="auto"/>
              <w:bottom w:val="single" w:sz="4" w:space="0" w:color="auto"/>
            </w:tcBorders>
            <w:shd w:val="clear" w:color="auto" w:fill="F2F2F2"/>
            <w:vAlign w:val="center"/>
          </w:tcPr>
          <w:p w14:paraId="5FD9029C"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w:t>
            </w:r>
          </w:p>
        </w:tc>
      </w:tr>
      <w:tr w:rsidR="004545DC" w14:paraId="32EFF3E9" w14:textId="77777777" w:rsidTr="00B15E88">
        <w:trPr>
          <w:trHeight w:val="508"/>
        </w:trPr>
        <w:tc>
          <w:tcPr>
            <w:tcW w:w="2410" w:type="dxa"/>
            <w:tcBorders>
              <w:top w:val="single" w:sz="4" w:space="0" w:color="auto"/>
              <w:bottom w:val="single" w:sz="4" w:space="0" w:color="auto"/>
            </w:tcBorders>
            <w:vAlign w:val="center"/>
          </w:tcPr>
          <w:p w14:paraId="51A4AA84"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Discordance (FN-1)</w:t>
            </w:r>
          </w:p>
        </w:tc>
        <w:tc>
          <w:tcPr>
            <w:tcW w:w="2268" w:type="dxa"/>
            <w:tcBorders>
              <w:top w:val="single" w:sz="4" w:space="0" w:color="auto"/>
              <w:bottom w:val="single" w:sz="4" w:space="0" w:color="auto"/>
            </w:tcBorders>
            <w:vAlign w:val="center"/>
          </w:tcPr>
          <w:p w14:paraId="352E5CE6"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Peritoneum alone</w:t>
            </w:r>
          </w:p>
        </w:tc>
        <w:tc>
          <w:tcPr>
            <w:tcW w:w="1701" w:type="dxa"/>
            <w:tcBorders>
              <w:top w:val="single" w:sz="4" w:space="0" w:color="auto"/>
              <w:bottom w:val="single" w:sz="4" w:space="0" w:color="auto"/>
            </w:tcBorders>
            <w:vAlign w:val="center"/>
          </w:tcPr>
          <w:p w14:paraId="4EAEC051"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15.6 mm</w:t>
            </w:r>
          </w:p>
        </w:tc>
        <w:tc>
          <w:tcPr>
            <w:tcW w:w="2108" w:type="dxa"/>
            <w:tcBorders>
              <w:top w:val="single" w:sz="4" w:space="0" w:color="auto"/>
              <w:bottom w:val="single" w:sz="4" w:space="0" w:color="auto"/>
            </w:tcBorders>
            <w:vAlign w:val="center"/>
          </w:tcPr>
          <w:p w14:paraId="2114B852"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w:t>
            </w:r>
          </w:p>
        </w:tc>
      </w:tr>
      <w:tr w:rsidR="004545DC" w14:paraId="099B39B2" w14:textId="77777777" w:rsidTr="00B15E88">
        <w:trPr>
          <w:trHeight w:val="508"/>
        </w:trPr>
        <w:tc>
          <w:tcPr>
            <w:tcW w:w="2410" w:type="dxa"/>
            <w:tcBorders>
              <w:top w:val="single" w:sz="4" w:space="0" w:color="auto"/>
              <w:bottom w:val="single" w:sz="4" w:space="0" w:color="auto"/>
            </w:tcBorders>
            <w:shd w:val="clear" w:color="auto" w:fill="F2F2F2"/>
            <w:vAlign w:val="center"/>
          </w:tcPr>
          <w:p w14:paraId="3A6D0E7B"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Discordance (FN-2)</w:t>
            </w:r>
          </w:p>
        </w:tc>
        <w:tc>
          <w:tcPr>
            <w:tcW w:w="2268" w:type="dxa"/>
            <w:tcBorders>
              <w:top w:val="single" w:sz="4" w:space="0" w:color="auto"/>
              <w:bottom w:val="single" w:sz="4" w:space="0" w:color="auto"/>
            </w:tcBorders>
            <w:shd w:val="clear" w:color="auto" w:fill="F2F2F2"/>
            <w:vAlign w:val="center"/>
          </w:tcPr>
          <w:p w14:paraId="04D1608D"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Peritoneum alone</w:t>
            </w:r>
          </w:p>
        </w:tc>
        <w:tc>
          <w:tcPr>
            <w:tcW w:w="1701" w:type="dxa"/>
            <w:tcBorders>
              <w:top w:val="single" w:sz="4" w:space="0" w:color="auto"/>
              <w:bottom w:val="single" w:sz="4" w:space="0" w:color="auto"/>
            </w:tcBorders>
            <w:shd w:val="clear" w:color="auto" w:fill="F2F2F2"/>
            <w:vAlign w:val="center"/>
          </w:tcPr>
          <w:p w14:paraId="6F71A8DB"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16 mm</w:t>
            </w:r>
          </w:p>
        </w:tc>
        <w:tc>
          <w:tcPr>
            <w:tcW w:w="2108" w:type="dxa"/>
            <w:tcBorders>
              <w:top w:val="single" w:sz="4" w:space="0" w:color="auto"/>
              <w:bottom w:val="single" w:sz="4" w:space="0" w:color="auto"/>
            </w:tcBorders>
            <w:shd w:val="clear" w:color="auto" w:fill="F2F2F2"/>
            <w:vAlign w:val="center"/>
          </w:tcPr>
          <w:p w14:paraId="7667DD21"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w:t>
            </w:r>
          </w:p>
        </w:tc>
      </w:tr>
      <w:tr w:rsidR="004545DC" w14:paraId="4C7E3A7A" w14:textId="77777777" w:rsidTr="00B15E88">
        <w:trPr>
          <w:trHeight w:val="508"/>
        </w:trPr>
        <w:tc>
          <w:tcPr>
            <w:tcW w:w="2410" w:type="dxa"/>
            <w:tcBorders>
              <w:top w:val="single" w:sz="4" w:space="0" w:color="auto"/>
              <w:bottom w:val="single" w:sz="4" w:space="0" w:color="auto"/>
            </w:tcBorders>
            <w:vAlign w:val="center"/>
          </w:tcPr>
          <w:p w14:paraId="23011B23"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Discordance (FN-3)</w:t>
            </w:r>
          </w:p>
        </w:tc>
        <w:tc>
          <w:tcPr>
            <w:tcW w:w="2268" w:type="dxa"/>
            <w:tcBorders>
              <w:top w:val="single" w:sz="4" w:space="0" w:color="auto"/>
              <w:bottom w:val="single" w:sz="4" w:space="0" w:color="auto"/>
            </w:tcBorders>
            <w:vAlign w:val="center"/>
          </w:tcPr>
          <w:p w14:paraId="7C7ACD67"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Lung and Peritoneum</w:t>
            </w:r>
          </w:p>
        </w:tc>
        <w:tc>
          <w:tcPr>
            <w:tcW w:w="1701" w:type="dxa"/>
            <w:tcBorders>
              <w:top w:val="single" w:sz="4" w:space="0" w:color="auto"/>
              <w:bottom w:val="single" w:sz="4" w:space="0" w:color="auto"/>
            </w:tcBorders>
            <w:vAlign w:val="center"/>
          </w:tcPr>
          <w:p w14:paraId="0E26D165"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17 mm</w:t>
            </w:r>
          </w:p>
        </w:tc>
        <w:tc>
          <w:tcPr>
            <w:tcW w:w="2108" w:type="dxa"/>
            <w:tcBorders>
              <w:top w:val="single" w:sz="4" w:space="0" w:color="auto"/>
              <w:bottom w:val="single" w:sz="4" w:space="0" w:color="auto"/>
            </w:tcBorders>
            <w:vAlign w:val="center"/>
          </w:tcPr>
          <w:p w14:paraId="023BD59B"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8 mm, 4</w:t>
            </w:r>
          </w:p>
        </w:tc>
      </w:tr>
      <w:tr w:rsidR="004545DC" w14:paraId="5607DBB1" w14:textId="77777777" w:rsidTr="00B15E88">
        <w:trPr>
          <w:trHeight w:val="508"/>
        </w:trPr>
        <w:tc>
          <w:tcPr>
            <w:tcW w:w="2410" w:type="dxa"/>
            <w:tcBorders>
              <w:top w:val="single" w:sz="4" w:space="0" w:color="auto"/>
              <w:bottom w:val="single" w:sz="8" w:space="0" w:color="auto"/>
            </w:tcBorders>
            <w:shd w:val="clear" w:color="auto" w:fill="F2F2F2"/>
            <w:vAlign w:val="center"/>
          </w:tcPr>
          <w:p w14:paraId="219649BE"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Discordance (FN-4)</w:t>
            </w:r>
          </w:p>
        </w:tc>
        <w:tc>
          <w:tcPr>
            <w:tcW w:w="2268" w:type="dxa"/>
            <w:tcBorders>
              <w:top w:val="single" w:sz="4" w:space="0" w:color="auto"/>
              <w:bottom w:val="single" w:sz="8" w:space="0" w:color="auto"/>
            </w:tcBorders>
            <w:shd w:val="clear" w:color="auto" w:fill="F2F2F2"/>
            <w:vAlign w:val="center"/>
          </w:tcPr>
          <w:p w14:paraId="1D97CC53"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Lung and Peritoneum</w:t>
            </w:r>
          </w:p>
        </w:tc>
        <w:tc>
          <w:tcPr>
            <w:tcW w:w="1701" w:type="dxa"/>
            <w:tcBorders>
              <w:top w:val="single" w:sz="4" w:space="0" w:color="auto"/>
              <w:bottom w:val="single" w:sz="8" w:space="0" w:color="auto"/>
            </w:tcBorders>
            <w:shd w:val="clear" w:color="auto" w:fill="F2F2F2"/>
            <w:vAlign w:val="center"/>
          </w:tcPr>
          <w:p w14:paraId="63865EDF"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21 mm</w:t>
            </w:r>
          </w:p>
        </w:tc>
        <w:tc>
          <w:tcPr>
            <w:tcW w:w="2108" w:type="dxa"/>
            <w:tcBorders>
              <w:top w:val="single" w:sz="4" w:space="0" w:color="auto"/>
              <w:bottom w:val="single" w:sz="8" w:space="0" w:color="auto"/>
            </w:tcBorders>
            <w:shd w:val="clear" w:color="auto" w:fill="F2F2F2"/>
            <w:vAlign w:val="center"/>
          </w:tcPr>
          <w:p w14:paraId="34F27F3B" w14:textId="77777777" w:rsidR="00F7012C" w:rsidRDefault="004D5AA3" w:rsidP="00B15E88">
            <w:pPr>
              <w:snapToGrid w:val="0"/>
              <w:contextualSpacing/>
              <w:jc w:val="center"/>
              <w:rPr>
                <w:rFonts w:ascii="Times New Roman" w:eastAsia="Times New Roman" w:hAnsi="Times New Roman" w:cs="Times New Roman"/>
                <w:sz w:val="22"/>
              </w:rPr>
            </w:pPr>
            <w:r>
              <w:rPr>
                <w:rFonts w:ascii="Times New Roman" w:eastAsia="Times New Roman" w:hAnsi="Times New Roman" w:cs="Times New Roman"/>
                <w:sz w:val="22"/>
              </w:rPr>
              <w:t>8 mm, 1</w:t>
            </w:r>
          </w:p>
        </w:tc>
      </w:tr>
    </w:tbl>
    <w:p w14:paraId="2660150B" w14:textId="77777777" w:rsidR="00025B1D" w:rsidRDefault="00025B1D" w:rsidP="00A32CA7">
      <w:pPr>
        <w:widowControl/>
        <w:ind w:left="181"/>
        <w:jc w:val="left"/>
      </w:pPr>
    </w:p>
    <w:sectPr w:rsidR="00025B1D" w:rsidSect="00F7012C">
      <w:pgSz w:w="11901" w:h="16840" w:orient="landscape"/>
      <w:pgMar w:top="1077" w:right="1440" w:bottom="1077" w:left="1440" w:header="851" w:footer="992" w:gutter="0"/>
      <w:cols w:space="70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86FEE" w14:textId="77777777" w:rsidR="003F13E1" w:rsidRDefault="003F13E1" w:rsidP="002D4ADA">
      <w:r>
        <w:separator/>
      </w:r>
    </w:p>
  </w:endnote>
  <w:endnote w:type="continuationSeparator" w:id="0">
    <w:p w14:paraId="090C80FF" w14:textId="77777777" w:rsidR="003F13E1" w:rsidRDefault="003F13E1" w:rsidP="002D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3571" w14:textId="77777777" w:rsidR="003F13E1" w:rsidRDefault="003F13E1" w:rsidP="002D4ADA">
      <w:r>
        <w:separator/>
      </w:r>
    </w:p>
  </w:footnote>
  <w:footnote w:type="continuationSeparator" w:id="0">
    <w:p w14:paraId="6A7DAB41" w14:textId="77777777" w:rsidR="003F13E1" w:rsidRDefault="003F13E1" w:rsidP="002D4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C2E62"/>
    <w:multiLevelType w:val="hybridMultilevel"/>
    <w:tmpl w:val="49860FE4"/>
    <w:lvl w:ilvl="0" w:tplc="061CA98E">
      <w:start w:val="1"/>
      <w:numFmt w:val="bullet"/>
      <w:lvlText w:val=""/>
      <w:lvlJc w:val="left"/>
      <w:pPr>
        <w:ind w:left="720" w:hanging="360"/>
      </w:pPr>
      <w:rPr>
        <w:rFonts w:ascii="Symbol" w:hAnsi="Symbol" w:hint="default"/>
      </w:rPr>
    </w:lvl>
    <w:lvl w:ilvl="1" w:tplc="44B05F46" w:tentative="1">
      <w:start w:val="1"/>
      <w:numFmt w:val="bullet"/>
      <w:lvlText w:val="o"/>
      <w:lvlJc w:val="left"/>
      <w:pPr>
        <w:ind w:left="1440" w:hanging="360"/>
      </w:pPr>
      <w:rPr>
        <w:rFonts w:ascii="Courier New" w:hAnsi="Courier New" w:hint="default"/>
      </w:rPr>
    </w:lvl>
    <w:lvl w:ilvl="2" w:tplc="8A209508" w:tentative="1">
      <w:start w:val="1"/>
      <w:numFmt w:val="bullet"/>
      <w:lvlText w:val=""/>
      <w:lvlJc w:val="left"/>
      <w:pPr>
        <w:ind w:left="2160" w:hanging="360"/>
      </w:pPr>
      <w:rPr>
        <w:rFonts w:ascii="Wingdings" w:hAnsi="Wingdings" w:hint="default"/>
      </w:rPr>
    </w:lvl>
    <w:lvl w:ilvl="3" w:tplc="00146324" w:tentative="1">
      <w:start w:val="1"/>
      <w:numFmt w:val="bullet"/>
      <w:lvlText w:val=""/>
      <w:lvlJc w:val="left"/>
      <w:pPr>
        <w:ind w:left="2880" w:hanging="360"/>
      </w:pPr>
      <w:rPr>
        <w:rFonts w:ascii="Symbol" w:hAnsi="Symbol" w:hint="default"/>
      </w:rPr>
    </w:lvl>
    <w:lvl w:ilvl="4" w:tplc="DE309758" w:tentative="1">
      <w:start w:val="1"/>
      <w:numFmt w:val="bullet"/>
      <w:lvlText w:val="o"/>
      <w:lvlJc w:val="left"/>
      <w:pPr>
        <w:ind w:left="3600" w:hanging="360"/>
      </w:pPr>
      <w:rPr>
        <w:rFonts w:ascii="Courier New" w:hAnsi="Courier New" w:hint="default"/>
      </w:rPr>
    </w:lvl>
    <w:lvl w:ilvl="5" w:tplc="B2D04322" w:tentative="1">
      <w:start w:val="1"/>
      <w:numFmt w:val="bullet"/>
      <w:lvlText w:val=""/>
      <w:lvlJc w:val="left"/>
      <w:pPr>
        <w:ind w:left="4320" w:hanging="360"/>
      </w:pPr>
      <w:rPr>
        <w:rFonts w:ascii="Wingdings" w:hAnsi="Wingdings" w:hint="default"/>
      </w:rPr>
    </w:lvl>
    <w:lvl w:ilvl="6" w:tplc="D36A3D34" w:tentative="1">
      <w:start w:val="1"/>
      <w:numFmt w:val="bullet"/>
      <w:lvlText w:val=""/>
      <w:lvlJc w:val="left"/>
      <w:pPr>
        <w:ind w:left="5040" w:hanging="360"/>
      </w:pPr>
      <w:rPr>
        <w:rFonts w:ascii="Symbol" w:hAnsi="Symbol" w:hint="default"/>
      </w:rPr>
    </w:lvl>
    <w:lvl w:ilvl="7" w:tplc="50E4BE90" w:tentative="1">
      <w:start w:val="1"/>
      <w:numFmt w:val="bullet"/>
      <w:lvlText w:val="o"/>
      <w:lvlJc w:val="left"/>
      <w:pPr>
        <w:ind w:left="5760" w:hanging="360"/>
      </w:pPr>
      <w:rPr>
        <w:rFonts w:ascii="Courier New" w:hAnsi="Courier New" w:hint="default"/>
      </w:rPr>
    </w:lvl>
    <w:lvl w:ilvl="8" w:tplc="4DE6DC50" w:tentative="1">
      <w:start w:val="1"/>
      <w:numFmt w:val="bullet"/>
      <w:lvlText w:val=""/>
      <w:lvlJc w:val="left"/>
      <w:pPr>
        <w:ind w:left="6480" w:hanging="360"/>
      </w:pPr>
      <w:rPr>
        <w:rFonts w:ascii="Wingdings" w:hAnsi="Wingdings" w:hint="default"/>
      </w:rPr>
    </w:lvl>
  </w:abstractNum>
  <w:num w:numId="1" w16cid:durableId="62319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2C"/>
    <w:rsid w:val="00025B1D"/>
    <w:rsid w:val="000945A7"/>
    <w:rsid w:val="001E471B"/>
    <w:rsid w:val="002D4ADA"/>
    <w:rsid w:val="003911C9"/>
    <w:rsid w:val="003F13E1"/>
    <w:rsid w:val="00427F01"/>
    <w:rsid w:val="004545DC"/>
    <w:rsid w:val="004D5AA3"/>
    <w:rsid w:val="004E3D2D"/>
    <w:rsid w:val="00593F26"/>
    <w:rsid w:val="0061525F"/>
    <w:rsid w:val="00826B74"/>
    <w:rsid w:val="00A32CA7"/>
    <w:rsid w:val="00B15E88"/>
    <w:rsid w:val="00C31B6C"/>
    <w:rsid w:val="00DF43EC"/>
    <w:rsid w:val="00EB2633"/>
    <w:rsid w:val="00F4192D"/>
    <w:rsid w:val="00F701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C4D10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12C"/>
    <w:pPr>
      <w:widowControl w:val="0"/>
      <w:jc w:val="both"/>
    </w:pPr>
    <w:rPr>
      <w:kern w:val="2"/>
      <w:sz w:val="21"/>
      <w:szCs w:val="2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12C"/>
    <w:rPr>
      <w:rFonts w:ascii="Lucida Grande" w:hAnsi="Lucida Grande" w:cs="Lucida Grande"/>
      <w:sz w:val="18"/>
      <w:szCs w:val="18"/>
    </w:rPr>
  </w:style>
  <w:style w:type="character" w:customStyle="1" w:styleId="a4">
    <w:name w:val="吹き出し (文字)"/>
    <w:basedOn w:val="a0"/>
    <w:link w:val="a3"/>
    <w:uiPriority w:val="99"/>
    <w:semiHidden/>
    <w:rsid w:val="00F7012C"/>
    <w:rPr>
      <w:rFonts w:ascii="Lucida Grande" w:hAnsi="Lucida Grande" w:cs="Lucida Grande"/>
      <w:kern w:val="2"/>
      <w:sz w:val="18"/>
      <w:szCs w:val="18"/>
      <w:lang w:val="en-US" w:eastAsia="ja-JP"/>
    </w:rPr>
  </w:style>
  <w:style w:type="character" w:styleId="a5">
    <w:name w:val="line number"/>
    <w:basedOn w:val="a0"/>
    <w:uiPriority w:val="99"/>
    <w:semiHidden/>
    <w:unhideWhenUsed/>
    <w:rsid w:val="00F7012C"/>
  </w:style>
  <w:style w:type="character" w:styleId="a6">
    <w:name w:val="annotation reference"/>
    <w:basedOn w:val="a0"/>
    <w:uiPriority w:val="99"/>
    <w:semiHidden/>
    <w:unhideWhenUsed/>
    <w:rsid w:val="00F7012C"/>
    <w:rPr>
      <w:sz w:val="18"/>
      <w:szCs w:val="18"/>
    </w:rPr>
  </w:style>
  <w:style w:type="paragraph" w:styleId="a7">
    <w:name w:val="annotation text"/>
    <w:basedOn w:val="a"/>
    <w:link w:val="a8"/>
    <w:uiPriority w:val="99"/>
    <w:unhideWhenUsed/>
    <w:rsid w:val="00F7012C"/>
    <w:rPr>
      <w:sz w:val="24"/>
      <w:szCs w:val="24"/>
    </w:rPr>
  </w:style>
  <w:style w:type="character" w:customStyle="1" w:styleId="a8">
    <w:name w:val="コメント文字列 (文字)"/>
    <w:basedOn w:val="a0"/>
    <w:link w:val="a7"/>
    <w:uiPriority w:val="99"/>
    <w:rsid w:val="00F7012C"/>
    <w:rPr>
      <w:kern w:val="2"/>
      <w:lang w:val="en-US" w:eastAsia="ja-JP"/>
    </w:rPr>
  </w:style>
  <w:style w:type="paragraph" w:styleId="a9">
    <w:name w:val="annotation subject"/>
    <w:basedOn w:val="a7"/>
    <w:next w:val="a7"/>
    <w:link w:val="aa"/>
    <w:uiPriority w:val="99"/>
    <w:semiHidden/>
    <w:unhideWhenUsed/>
    <w:rsid w:val="00F7012C"/>
    <w:rPr>
      <w:b/>
      <w:bCs/>
      <w:sz w:val="20"/>
      <w:szCs w:val="20"/>
    </w:rPr>
  </w:style>
  <w:style w:type="character" w:customStyle="1" w:styleId="aa">
    <w:name w:val="コメント内容 (文字)"/>
    <w:basedOn w:val="a8"/>
    <w:link w:val="a9"/>
    <w:uiPriority w:val="99"/>
    <w:semiHidden/>
    <w:rsid w:val="00F7012C"/>
    <w:rPr>
      <w:b/>
      <w:bCs/>
      <w:kern w:val="2"/>
      <w:sz w:val="20"/>
      <w:szCs w:val="20"/>
      <w:lang w:val="en-US" w:eastAsia="ja-JP"/>
    </w:rPr>
  </w:style>
  <w:style w:type="paragraph" w:styleId="ab">
    <w:name w:val="Revision"/>
    <w:hidden/>
    <w:uiPriority w:val="99"/>
    <w:semiHidden/>
    <w:rsid w:val="00593F26"/>
    <w:rPr>
      <w:kern w:val="2"/>
      <w:sz w:val="21"/>
      <w:szCs w:val="22"/>
      <w:lang w:val="en-US" w:eastAsia="ja-JP"/>
    </w:rPr>
  </w:style>
  <w:style w:type="paragraph" w:styleId="ac">
    <w:name w:val="header"/>
    <w:basedOn w:val="a"/>
    <w:link w:val="ad"/>
    <w:uiPriority w:val="99"/>
    <w:unhideWhenUsed/>
    <w:rsid w:val="002D4ADA"/>
    <w:pPr>
      <w:tabs>
        <w:tab w:val="center" w:pos="4252"/>
        <w:tab w:val="right" w:pos="8504"/>
      </w:tabs>
      <w:snapToGrid w:val="0"/>
    </w:pPr>
  </w:style>
  <w:style w:type="character" w:customStyle="1" w:styleId="ad">
    <w:name w:val="ヘッダー (文字)"/>
    <w:basedOn w:val="a0"/>
    <w:link w:val="ac"/>
    <w:uiPriority w:val="99"/>
    <w:rsid w:val="002D4ADA"/>
    <w:rPr>
      <w:kern w:val="2"/>
      <w:sz w:val="21"/>
      <w:szCs w:val="22"/>
      <w:lang w:val="en-US" w:eastAsia="ja-JP"/>
    </w:rPr>
  </w:style>
  <w:style w:type="paragraph" w:styleId="ae">
    <w:name w:val="footer"/>
    <w:basedOn w:val="a"/>
    <w:link w:val="af"/>
    <w:uiPriority w:val="99"/>
    <w:unhideWhenUsed/>
    <w:rsid w:val="002D4ADA"/>
    <w:pPr>
      <w:tabs>
        <w:tab w:val="center" w:pos="4252"/>
        <w:tab w:val="right" w:pos="8504"/>
      </w:tabs>
      <w:snapToGrid w:val="0"/>
    </w:pPr>
  </w:style>
  <w:style w:type="character" w:customStyle="1" w:styleId="af">
    <w:name w:val="フッター (文字)"/>
    <w:basedOn w:val="a0"/>
    <w:link w:val="ae"/>
    <w:uiPriority w:val="99"/>
    <w:rsid w:val="002D4ADA"/>
    <w:rPr>
      <w:kern w:val="2"/>
      <w:sz w:val="21"/>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ja-JP"/>
          </a:pPr>
          <a:endParaRPr lang="en-US"/>
        </a:p>
      </c:txPr>
    </c:title>
    <c:autoTitleDeleted val="0"/>
    <c:plotArea>
      <c:layout>
        <c:manualLayout>
          <c:layoutTarget val="inner"/>
          <c:xMode val="edge"/>
          <c:yMode val="edge"/>
          <c:x val="0.18883514820370001"/>
          <c:y val="2.41473568158606E-2"/>
          <c:w val="0.73966802064833503"/>
          <c:h val="0.78009150814952399"/>
        </c:manualLayout>
      </c:layout>
      <c:scatterChart>
        <c:scatterStyle val="lineMarker"/>
        <c:varyColors val="0"/>
        <c:ser>
          <c:idx val="1"/>
          <c:order val="0"/>
          <c:tx>
            <c:v/>
          </c:tx>
          <c:spPr>
            <a:ln w="19050">
              <a:noFill/>
            </a:ln>
          </c:spPr>
          <c:marker>
            <c:symbol val="circle"/>
            <c:size val="7"/>
            <c:spPr>
              <a:solidFill>
                <a:srgbClr val="E7E6E6">
                  <a:lumMod val="90000"/>
                  <a:alpha val="75000"/>
                </a:srgbClr>
              </a:solidFill>
              <a:ln w="6350">
                <a:solidFill>
                  <a:srgbClr val="000000"/>
                </a:solidFill>
              </a:ln>
            </c:spPr>
          </c:marker>
          <c:xVal>
            <c:numRef>
              <c:f>'Fit 試験法-MAF'!$KO$1:$KO$54</c:f>
              <c:numCache>
                <c:formatCode>General</c:formatCode>
                <c:ptCount val="54"/>
                <c:pt idx="0">
                  <c:v>3.5649999999999999</c:v>
                </c:pt>
                <c:pt idx="1">
                  <c:v>6.0239999999999956</c:v>
                </c:pt>
                <c:pt idx="2">
                  <c:v>1.6180000000000001</c:v>
                </c:pt>
                <c:pt idx="3">
                  <c:v>1.536</c:v>
                </c:pt>
                <c:pt idx="4">
                  <c:v>35.94</c:v>
                </c:pt>
                <c:pt idx="5">
                  <c:v>0.17599999999999999</c:v>
                </c:pt>
                <c:pt idx="6">
                  <c:v>0.17899999999999999</c:v>
                </c:pt>
                <c:pt idx="7">
                  <c:v>9.7000000000000003E-2</c:v>
                </c:pt>
                <c:pt idx="8">
                  <c:v>2.0190000000000001</c:v>
                </c:pt>
                <c:pt idx="9">
                  <c:v>2.5670000000000002</c:v>
                </c:pt>
                <c:pt idx="10">
                  <c:v>8.8800000000000008</c:v>
                </c:pt>
                <c:pt idx="11">
                  <c:v>0.33600000000000002</c:v>
                </c:pt>
                <c:pt idx="12">
                  <c:v>0.33300000000000002</c:v>
                </c:pt>
                <c:pt idx="13">
                  <c:v>0.71299999999999997</c:v>
                </c:pt>
                <c:pt idx="14">
                  <c:v>0.18099999999999999</c:v>
                </c:pt>
                <c:pt idx="15">
                  <c:v>0.26500000000000001</c:v>
                </c:pt>
                <c:pt idx="16">
                  <c:v>0.13</c:v>
                </c:pt>
                <c:pt idx="17">
                  <c:v>1.6379999999999999</c:v>
                </c:pt>
                <c:pt idx="18">
                  <c:v>11.215999999999999</c:v>
                </c:pt>
                <c:pt idx="19">
                  <c:v>0.22600000000000001</c:v>
                </c:pt>
                <c:pt idx="20">
                  <c:v>0.122</c:v>
                </c:pt>
                <c:pt idx="21">
                  <c:v>0.123</c:v>
                </c:pt>
                <c:pt idx="22">
                  <c:v>0.504</c:v>
                </c:pt>
                <c:pt idx="23">
                  <c:v>0.248</c:v>
                </c:pt>
                <c:pt idx="24">
                  <c:v>0.34699999999999998</c:v>
                </c:pt>
                <c:pt idx="25">
                  <c:v>0.48199999999999998</c:v>
                </c:pt>
                <c:pt idx="26">
                  <c:v>1.004</c:v>
                </c:pt>
                <c:pt idx="27">
                  <c:v>1.579</c:v>
                </c:pt>
                <c:pt idx="28">
                  <c:v>2.5150000000000001</c:v>
                </c:pt>
                <c:pt idx="29">
                  <c:v>0.10299999999999999</c:v>
                </c:pt>
                <c:pt idx="30">
                  <c:v>0.40100000000000002</c:v>
                </c:pt>
                <c:pt idx="31">
                  <c:v>7.4999999999999997E-2</c:v>
                </c:pt>
                <c:pt idx="32">
                  <c:v>0.39100000000000001</c:v>
                </c:pt>
                <c:pt idx="33">
                  <c:v>0.38800000000000001</c:v>
                </c:pt>
                <c:pt idx="34">
                  <c:v>1.875</c:v>
                </c:pt>
                <c:pt idx="35">
                  <c:v>2.5449999999999999</c:v>
                </c:pt>
                <c:pt idx="36">
                  <c:v>1.0740000000000001</c:v>
                </c:pt>
                <c:pt idx="37">
                  <c:v>4.8460000000000001</c:v>
                </c:pt>
                <c:pt idx="38">
                  <c:v>0.18</c:v>
                </c:pt>
                <c:pt idx="39">
                  <c:v>2.1139999999999999</c:v>
                </c:pt>
                <c:pt idx="40">
                  <c:v>1.849</c:v>
                </c:pt>
                <c:pt idx="41">
                  <c:v>1.0760000000000001</c:v>
                </c:pt>
                <c:pt idx="42">
                  <c:v>1.714</c:v>
                </c:pt>
                <c:pt idx="43">
                  <c:v>0.20499999999999999</c:v>
                </c:pt>
                <c:pt idx="44">
                  <c:v>0.249</c:v>
                </c:pt>
                <c:pt idx="45">
                  <c:v>0.48399999999999999</c:v>
                </c:pt>
                <c:pt idx="46">
                  <c:v>0.152</c:v>
                </c:pt>
                <c:pt idx="47">
                  <c:v>0.248</c:v>
                </c:pt>
                <c:pt idx="48">
                  <c:v>0.35</c:v>
                </c:pt>
                <c:pt idx="49">
                  <c:v>1.95</c:v>
                </c:pt>
                <c:pt idx="50">
                  <c:v>0.67300000000000004</c:v>
                </c:pt>
                <c:pt idx="51">
                  <c:v>2.1040000000000001</c:v>
                </c:pt>
                <c:pt idx="52">
                  <c:v>4.4189999999999996</c:v>
                </c:pt>
                <c:pt idx="53">
                  <c:v>0.40500000000000003</c:v>
                </c:pt>
              </c:numCache>
            </c:numRef>
          </c:xVal>
          <c:yVal>
            <c:numRef>
              <c:f>'Fit 試験法-MAF'!$KO$55:$KO$108</c:f>
              <c:numCache>
                <c:formatCode>General</c:formatCode>
                <c:ptCount val="54"/>
                <c:pt idx="0">
                  <c:v>2.8013400000000002</c:v>
                </c:pt>
                <c:pt idx="1">
                  <c:v>9.9642100000000013</c:v>
                </c:pt>
                <c:pt idx="2">
                  <c:v>2.33609</c:v>
                </c:pt>
                <c:pt idx="3">
                  <c:v>2.6436999999999999</c:v>
                </c:pt>
                <c:pt idx="4">
                  <c:v>41.083860000000001</c:v>
                </c:pt>
                <c:pt idx="5">
                  <c:v>9.2789999999999997E-2</c:v>
                </c:pt>
                <c:pt idx="6">
                  <c:v>0.25158999999999998</c:v>
                </c:pt>
                <c:pt idx="7">
                  <c:v>0.16242999999999999</c:v>
                </c:pt>
                <c:pt idx="8">
                  <c:v>2.8355899999999981</c:v>
                </c:pt>
                <c:pt idx="9">
                  <c:v>3.9836200000000002</c:v>
                </c:pt>
                <c:pt idx="10">
                  <c:v>13.816280000000001</c:v>
                </c:pt>
                <c:pt idx="11">
                  <c:v>0.36099999999999999</c:v>
                </c:pt>
                <c:pt idx="12">
                  <c:v>0.43085000000000001</c:v>
                </c:pt>
                <c:pt idx="13">
                  <c:v>1.2666599999999999</c:v>
                </c:pt>
                <c:pt idx="14">
                  <c:v>0.34432000000000001</c:v>
                </c:pt>
                <c:pt idx="15">
                  <c:v>0.64681</c:v>
                </c:pt>
                <c:pt idx="16">
                  <c:v>0.22345000000000001</c:v>
                </c:pt>
                <c:pt idx="17">
                  <c:v>2.2892299999999999</c:v>
                </c:pt>
                <c:pt idx="18">
                  <c:v>15.425649999999999</c:v>
                </c:pt>
                <c:pt idx="19">
                  <c:v>0.39288000000000001</c:v>
                </c:pt>
                <c:pt idx="20">
                  <c:v>0.15881999999999999</c:v>
                </c:pt>
                <c:pt idx="21">
                  <c:v>0.15497</c:v>
                </c:pt>
                <c:pt idx="22">
                  <c:v>0.58116000000000001</c:v>
                </c:pt>
                <c:pt idx="23">
                  <c:v>0.34157999999999999</c:v>
                </c:pt>
                <c:pt idx="24">
                  <c:v>0.63766</c:v>
                </c:pt>
                <c:pt idx="25">
                  <c:v>0.88388999999999995</c:v>
                </c:pt>
                <c:pt idx="26">
                  <c:v>0.86177000000000004</c:v>
                </c:pt>
                <c:pt idx="27">
                  <c:v>2.29555</c:v>
                </c:pt>
                <c:pt idx="28">
                  <c:v>4.3507899999999964</c:v>
                </c:pt>
                <c:pt idx="29">
                  <c:v>0.11679</c:v>
                </c:pt>
                <c:pt idx="30">
                  <c:v>0.78847</c:v>
                </c:pt>
                <c:pt idx="31">
                  <c:v>0.25124999999999997</c:v>
                </c:pt>
                <c:pt idx="32">
                  <c:v>0.64327000000000001</c:v>
                </c:pt>
                <c:pt idx="33">
                  <c:v>0.48138999999999998</c:v>
                </c:pt>
                <c:pt idx="34">
                  <c:v>3.5294099999999999</c:v>
                </c:pt>
                <c:pt idx="35">
                  <c:v>4.1934899999999962</c:v>
                </c:pt>
                <c:pt idx="36">
                  <c:v>1.58989</c:v>
                </c:pt>
                <c:pt idx="37">
                  <c:v>8.6646300000000007</c:v>
                </c:pt>
                <c:pt idx="38">
                  <c:v>0.27590999999999999</c:v>
                </c:pt>
                <c:pt idx="39">
                  <c:v>2.755479999999999</c:v>
                </c:pt>
                <c:pt idx="40">
                  <c:v>3.9049</c:v>
                </c:pt>
                <c:pt idx="41">
                  <c:v>2.0793900000000001</c:v>
                </c:pt>
                <c:pt idx="42">
                  <c:v>3.511089999999998</c:v>
                </c:pt>
                <c:pt idx="43">
                  <c:v>0.40649999999999997</c:v>
                </c:pt>
                <c:pt idx="44">
                  <c:v>0.57469000000000003</c:v>
                </c:pt>
                <c:pt idx="45">
                  <c:v>1.69113</c:v>
                </c:pt>
                <c:pt idx="46">
                  <c:v>0.20771999999999999</c:v>
                </c:pt>
                <c:pt idx="47">
                  <c:v>0.44883000000000001</c:v>
                </c:pt>
                <c:pt idx="48">
                  <c:v>0.60868999999999995</c:v>
                </c:pt>
                <c:pt idx="49">
                  <c:v>3.1339100000000002</c:v>
                </c:pt>
                <c:pt idx="50">
                  <c:v>1.0322100000000001</c:v>
                </c:pt>
                <c:pt idx="51">
                  <c:v>2.9440499999999981</c:v>
                </c:pt>
                <c:pt idx="52">
                  <c:v>5.1690199999999962</c:v>
                </c:pt>
                <c:pt idx="53">
                  <c:v>0.73416000000000003</c:v>
                </c:pt>
              </c:numCache>
            </c:numRef>
          </c:yVal>
          <c:smooth val="0"/>
          <c:extLst>
            <c:ext xmlns:c16="http://schemas.microsoft.com/office/drawing/2014/chart" uri="{C3380CC4-5D6E-409C-BE32-E72D297353CC}">
              <c16:uniqueId val="{00000001-ECFA-4DBF-800F-10C41AE45141}"/>
            </c:ext>
          </c:extLst>
        </c:ser>
        <c:dLbls>
          <c:showLegendKey val="0"/>
          <c:showVal val="0"/>
          <c:showCatName val="0"/>
          <c:showSerName val="0"/>
          <c:showPercent val="0"/>
          <c:showBubbleSize val="0"/>
        </c:dLbls>
        <c:axId val="-2076912216"/>
        <c:axId val="-2105349384"/>
      </c:scatterChart>
      <c:valAx>
        <c:axId val="-2076912216"/>
        <c:scaling>
          <c:logBase val="10"/>
          <c:orientation val="minMax"/>
        </c:scaling>
        <c:delete val="0"/>
        <c:axPos val="b"/>
        <c:title>
          <c:tx>
            <c:rich>
              <a:bodyPr/>
              <a:lstStyle/>
              <a:p>
                <a:pPr>
                  <a:defRPr lang="ja-JP" sz="1200">
                    <a:latin typeface="Arial" panose="020B0604020202020204" pitchFamily="34" charset="0"/>
                    <a:cs typeface="Arial" panose="020B0604020202020204" pitchFamily="34" charset="0"/>
                  </a:defRPr>
                </a:pPr>
                <a:r>
                  <a:rPr lang="en-US" sz="1200" dirty="0">
                    <a:latin typeface="Arial" panose="020B0604020202020204" pitchFamily="34" charset="0"/>
                    <a:cs typeface="Arial" panose="020B0604020202020204" pitchFamily="34" charset="0"/>
                  </a:rPr>
                  <a:t>MAF of plasma-based testing (%)</a:t>
                </a:r>
              </a:p>
            </c:rich>
          </c:tx>
          <c:layout>
            <c:manualLayout>
              <c:xMode val="edge"/>
              <c:yMode val="edge"/>
              <c:x val="0.242481058422999"/>
              <c:y val="0.90916534631322699"/>
            </c:manualLayout>
          </c:layout>
          <c:overlay val="0"/>
        </c:title>
        <c:numFmt formatCode="General" sourceLinked="0"/>
        <c:majorTickMark val="out"/>
        <c:minorTickMark val="none"/>
        <c:tickLblPos val="nextTo"/>
        <c:spPr>
          <a:ln w="12700">
            <a:solidFill>
              <a:srgbClr val="808080"/>
            </a:solidFill>
            <a:prstDash val="solid"/>
          </a:ln>
        </c:spPr>
        <c:txPr>
          <a:bodyPr/>
          <a:lstStyle/>
          <a:p>
            <a:pPr>
              <a:defRPr lang="ja-JP" sz="1200"/>
            </a:pPr>
            <a:endParaRPr lang="en-US"/>
          </a:p>
        </c:txPr>
        <c:crossAx val="-2105349384"/>
        <c:crosses val="min"/>
        <c:crossBetween val="midCat"/>
      </c:valAx>
      <c:valAx>
        <c:axId val="-2105349384"/>
        <c:scaling>
          <c:logBase val="10"/>
          <c:orientation val="minMax"/>
        </c:scaling>
        <c:delete val="0"/>
        <c:axPos val="l"/>
        <c:title>
          <c:tx>
            <c:rich>
              <a:bodyPr/>
              <a:lstStyle/>
              <a:p>
                <a:pPr>
                  <a:defRPr lang="ja-JP" sz="1200">
                    <a:latin typeface="Arial" panose="020B0604020202020204" pitchFamily="34" charset="0"/>
                    <a:cs typeface="Arial" panose="020B0604020202020204" pitchFamily="34" charset="0"/>
                  </a:defRPr>
                </a:pPr>
                <a:r>
                  <a:rPr lang="en-US" sz="1200" dirty="0">
                    <a:latin typeface="Arial" panose="020B0604020202020204" pitchFamily="34" charset="0"/>
                    <a:cs typeface="Arial" panose="020B0604020202020204" pitchFamily="34" charset="0"/>
                  </a:rPr>
                  <a:t>MAF of </a:t>
                </a:r>
                <a:r>
                  <a:rPr lang="en-US" altLang="ja-JP" sz="1200" dirty="0">
                    <a:latin typeface="Arial" panose="020B0604020202020204" pitchFamily="34" charset="0"/>
                    <a:cs typeface="Arial" panose="020B0604020202020204" pitchFamily="34" charset="0"/>
                  </a:rPr>
                  <a:t>Plasma</a:t>
                </a:r>
                <a:r>
                  <a:rPr lang="en-US" sz="1200" dirty="0" err="1">
                    <a:latin typeface="Arial" panose="020B0604020202020204" pitchFamily="34" charset="0"/>
                    <a:cs typeface="Arial" panose="020B0604020202020204" pitchFamily="34" charset="0"/>
                  </a:rPr>
                  <a:t>Seq</a:t>
                </a:r>
                <a:r>
                  <a:rPr lang="en-US" sz="1200" dirty="0">
                    <a:latin typeface="Arial" panose="020B0604020202020204" pitchFamily="34" charset="0"/>
                    <a:cs typeface="Arial" panose="020B0604020202020204" pitchFamily="34" charset="0"/>
                  </a:rPr>
                  <a:t> assay</a:t>
                </a:r>
                <a:r>
                  <a:rPr lang="ja-JP" sz="1200" dirty="0">
                    <a:latin typeface="Arial" panose="020B0604020202020204" pitchFamily="34" charset="0"/>
                    <a:cs typeface="Arial" panose="020B0604020202020204" pitchFamily="34" charset="0"/>
                  </a:rPr>
                  <a:t> </a:t>
                </a:r>
                <a:r>
                  <a:rPr lang="en-US" sz="1200" dirty="0">
                    <a:latin typeface="Arial" panose="020B0604020202020204" pitchFamily="34" charset="0"/>
                    <a:cs typeface="Arial" panose="020B0604020202020204" pitchFamily="34" charset="0"/>
                  </a:rPr>
                  <a:t>(%)</a:t>
                </a:r>
              </a:p>
            </c:rich>
          </c:tx>
          <c:overlay val="0"/>
        </c:title>
        <c:numFmt formatCode="General" sourceLinked="0"/>
        <c:majorTickMark val="out"/>
        <c:minorTickMark val="none"/>
        <c:tickLblPos val="nextTo"/>
        <c:spPr>
          <a:ln w="12700">
            <a:solidFill>
              <a:srgbClr val="808080"/>
            </a:solidFill>
            <a:prstDash val="solid"/>
          </a:ln>
        </c:spPr>
        <c:txPr>
          <a:bodyPr/>
          <a:lstStyle/>
          <a:p>
            <a:pPr>
              <a:defRPr lang="ja-JP" sz="1200"/>
            </a:pPr>
            <a:endParaRPr lang="en-US"/>
          </a:p>
        </c:txPr>
        <c:crossAx val="-2076912216"/>
        <c:crosses val="min"/>
        <c:crossBetween val="midCat"/>
      </c:valAx>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ln w="12700">
      <a:noFill/>
      <a:prstDash val="solid"/>
    </a:ln>
  </c:spPr>
  <c:txPr>
    <a:bodyPr/>
    <a:lstStyle/>
    <a:p>
      <a:pPr>
        <a:defRPr sz="1400" b="0">
          <a:latin typeface="+mn-lt"/>
          <a:ea typeface="Meiryo UI" panose="020B0604030504040204" pitchFamily="50" charset="-128"/>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テーマ">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テーマ">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テーマ">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5</Pages>
  <Words>472</Words>
  <Characters>2693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2026-05-07T01:32:00Z</dcterms:created>
  <dcterms:modified xsi:type="dcterms:W3CDTF">2026-05-17T03:35:00Z</dcterms:modified>
</cp:coreProperties>
</file>