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F69CF" w14:textId="6BF1C30F" w:rsidR="00792DC7" w:rsidRPr="00F73E1B" w:rsidRDefault="00792DC7" w:rsidP="006F200F">
      <w:pPr>
        <w:pStyle w:val="NoSpacing"/>
        <w:rPr>
          <w:rFonts w:eastAsiaTheme="minorEastAsia"/>
          <w:b/>
          <w:bCs/>
          <w:sz w:val="18"/>
          <w:szCs w:val="18"/>
        </w:rPr>
      </w:pPr>
      <w:r w:rsidRPr="00F73E1B">
        <w:rPr>
          <w:rFonts w:eastAsiaTheme="minorEastAsia"/>
          <w:b/>
          <w:bCs/>
          <w:sz w:val="18"/>
          <w:szCs w:val="18"/>
        </w:rPr>
        <w:t>Table S1. Crop-specific nitrogen input categories used for subgroup analysis</w:t>
      </w:r>
    </w:p>
    <w:tbl>
      <w:tblPr>
        <w:tblW w:w="5000" w:type="pct"/>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057"/>
        <w:gridCol w:w="1304"/>
        <w:gridCol w:w="2707"/>
        <w:gridCol w:w="2337"/>
        <w:gridCol w:w="2341"/>
      </w:tblGrid>
      <w:tr w:rsidR="006A0CC2" w:rsidRPr="00F73E1B" w14:paraId="3669FF5E" w14:textId="77777777" w:rsidTr="006A0CC2">
        <w:trPr>
          <w:tblHeader/>
          <w:tblCellSpacing w:w="15" w:type="dxa"/>
          <w:jc w:val="center"/>
        </w:trPr>
        <w:tc>
          <w:tcPr>
            <w:tcW w:w="519" w:type="pct"/>
            <w:vAlign w:val="center"/>
            <w:hideMark/>
          </w:tcPr>
          <w:p w14:paraId="30F23593"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Crop</w:t>
            </w:r>
          </w:p>
        </w:tc>
        <w:tc>
          <w:tcPr>
            <w:tcW w:w="654" w:type="pct"/>
            <w:vAlign w:val="center"/>
            <w:hideMark/>
          </w:tcPr>
          <w:p w14:paraId="56FE198C"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N level</w:t>
            </w:r>
          </w:p>
        </w:tc>
        <w:tc>
          <w:tcPr>
            <w:tcW w:w="1373" w:type="pct"/>
            <w:vAlign w:val="center"/>
            <w:hideMark/>
          </w:tcPr>
          <w:p w14:paraId="6D270532"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Range (kg N ha⁻¹)</w:t>
            </w:r>
          </w:p>
        </w:tc>
        <w:tc>
          <w:tcPr>
            <w:tcW w:w="1184" w:type="pct"/>
          </w:tcPr>
          <w:p w14:paraId="4CD1071A" w14:textId="524669CD" w:rsidR="006A0CC2" w:rsidRPr="00F73E1B" w:rsidRDefault="00B24682" w:rsidP="00792DC7">
            <w:pPr>
              <w:pStyle w:val="NoSpacing"/>
              <w:jc w:val="center"/>
              <w:rPr>
                <w:rFonts w:eastAsiaTheme="minorEastAsia"/>
                <w:sz w:val="18"/>
                <w:szCs w:val="18"/>
              </w:rPr>
            </w:pPr>
            <w:r w:rsidRPr="00B24682">
              <w:rPr>
                <w:rFonts w:eastAsiaTheme="minorEastAsia"/>
                <w:sz w:val="18"/>
                <w:szCs w:val="18"/>
              </w:rPr>
              <w:t>Mean</w:t>
            </w:r>
            <w:r>
              <w:rPr>
                <w:rFonts w:eastAsiaTheme="minorEastAsia" w:hint="eastAsia"/>
                <w:sz w:val="18"/>
                <w:szCs w:val="18"/>
              </w:rPr>
              <w:t xml:space="preserve"> </w:t>
            </w:r>
            <w:r w:rsidRPr="00F73E1B">
              <w:rPr>
                <w:rFonts w:eastAsiaTheme="minorEastAsia"/>
                <w:sz w:val="18"/>
                <w:szCs w:val="18"/>
              </w:rPr>
              <w:t>(kg N ha⁻¹)</w:t>
            </w:r>
          </w:p>
        </w:tc>
        <w:tc>
          <w:tcPr>
            <w:tcW w:w="1178" w:type="pct"/>
            <w:vAlign w:val="center"/>
            <w:hideMark/>
          </w:tcPr>
          <w:p w14:paraId="0CFF3A3D" w14:textId="1434E8BB" w:rsidR="006A0CC2" w:rsidRPr="00F73E1B" w:rsidRDefault="006A0CC2" w:rsidP="00792DC7">
            <w:pPr>
              <w:pStyle w:val="NoSpacing"/>
              <w:jc w:val="center"/>
              <w:rPr>
                <w:rFonts w:eastAsiaTheme="minorEastAsia"/>
                <w:sz w:val="18"/>
                <w:szCs w:val="18"/>
              </w:rPr>
            </w:pPr>
            <w:r w:rsidRPr="00F73E1B">
              <w:rPr>
                <w:rFonts w:eastAsiaTheme="minorEastAsia"/>
                <w:sz w:val="18"/>
                <w:szCs w:val="18"/>
              </w:rPr>
              <w:t>Sample size (n)</w:t>
            </w:r>
          </w:p>
        </w:tc>
      </w:tr>
      <w:tr w:rsidR="006A0CC2" w:rsidRPr="00F73E1B" w14:paraId="389EBFC7" w14:textId="77777777" w:rsidTr="006A0CC2">
        <w:trPr>
          <w:tblCellSpacing w:w="15" w:type="dxa"/>
          <w:jc w:val="center"/>
        </w:trPr>
        <w:tc>
          <w:tcPr>
            <w:tcW w:w="519" w:type="pct"/>
            <w:tcBorders>
              <w:top w:val="single" w:sz="4" w:space="0" w:color="auto"/>
              <w:bottom w:val="nil"/>
            </w:tcBorders>
            <w:vAlign w:val="center"/>
            <w:hideMark/>
          </w:tcPr>
          <w:p w14:paraId="1B767E62"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Wheat</w:t>
            </w:r>
          </w:p>
        </w:tc>
        <w:tc>
          <w:tcPr>
            <w:tcW w:w="654" w:type="pct"/>
            <w:tcBorders>
              <w:top w:val="single" w:sz="4" w:space="0" w:color="auto"/>
              <w:bottom w:val="nil"/>
            </w:tcBorders>
            <w:vAlign w:val="center"/>
            <w:hideMark/>
          </w:tcPr>
          <w:p w14:paraId="2BDB4926"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Low</w:t>
            </w:r>
          </w:p>
        </w:tc>
        <w:tc>
          <w:tcPr>
            <w:tcW w:w="1373" w:type="pct"/>
            <w:tcBorders>
              <w:top w:val="single" w:sz="4" w:space="0" w:color="auto"/>
              <w:bottom w:val="nil"/>
            </w:tcBorders>
            <w:vAlign w:val="center"/>
            <w:hideMark/>
          </w:tcPr>
          <w:p w14:paraId="1691FE97"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52–141</w:t>
            </w:r>
          </w:p>
        </w:tc>
        <w:tc>
          <w:tcPr>
            <w:tcW w:w="1184" w:type="pct"/>
            <w:tcBorders>
              <w:top w:val="single" w:sz="4" w:space="0" w:color="auto"/>
              <w:bottom w:val="nil"/>
            </w:tcBorders>
          </w:tcPr>
          <w:p w14:paraId="1FE7A477" w14:textId="4D88A868" w:rsidR="006A0CC2" w:rsidRPr="00F73E1B" w:rsidRDefault="004523C5" w:rsidP="00792DC7">
            <w:pPr>
              <w:pStyle w:val="NoSpacing"/>
              <w:jc w:val="center"/>
              <w:rPr>
                <w:rFonts w:eastAsiaTheme="minorEastAsia"/>
                <w:sz w:val="18"/>
                <w:szCs w:val="18"/>
              </w:rPr>
            </w:pPr>
            <w:r>
              <w:rPr>
                <w:rFonts w:eastAsiaTheme="minorEastAsia" w:hint="eastAsia"/>
                <w:sz w:val="18"/>
                <w:szCs w:val="18"/>
              </w:rPr>
              <w:t>132.9</w:t>
            </w:r>
            <w:r w:rsidR="00B22D06">
              <w:rPr>
                <w:rFonts w:eastAsiaTheme="minorEastAsia" w:hint="eastAsia"/>
                <w:sz w:val="18"/>
                <w:szCs w:val="18"/>
              </w:rPr>
              <w:t>0</w:t>
            </w:r>
          </w:p>
        </w:tc>
        <w:tc>
          <w:tcPr>
            <w:tcW w:w="1178" w:type="pct"/>
            <w:tcBorders>
              <w:top w:val="single" w:sz="4" w:space="0" w:color="auto"/>
              <w:bottom w:val="nil"/>
            </w:tcBorders>
            <w:vAlign w:val="center"/>
            <w:hideMark/>
          </w:tcPr>
          <w:p w14:paraId="79E09AC7" w14:textId="2F8F1A10" w:rsidR="006A0CC2" w:rsidRPr="00F73E1B" w:rsidRDefault="006A0CC2" w:rsidP="00792DC7">
            <w:pPr>
              <w:pStyle w:val="NoSpacing"/>
              <w:jc w:val="center"/>
              <w:rPr>
                <w:rFonts w:eastAsiaTheme="minorEastAsia"/>
                <w:sz w:val="18"/>
                <w:szCs w:val="18"/>
              </w:rPr>
            </w:pPr>
            <w:r w:rsidRPr="00F73E1B">
              <w:rPr>
                <w:rFonts w:eastAsiaTheme="minorEastAsia"/>
                <w:sz w:val="18"/>
                <w:szCs w:val="18"/>
              </w:rPr>
              <w:t>21</w:t>
            </w:r>
          </w:p>
        </w:tc>
      </w:tr>
      <w:tr w:rsidR="006A0CC2" w:rsidRPr="00F73E1B" w14:paraId="5CCF8B58" w14:textId="77777777" w:rsidTr="006A0CC2">
        <w:trPr>
          <w:tblCellSpacing w:w="15" w:type="dxa"/>
          <w:jc w:val="center"/>
        </w:trPr>
        <w:tc>
          <w:tcPr>
            <w:tcW w:w="519" w:type="pct"/>
            <w:vAlign w:val="center"/>
            <w:hideMark/>
          </w:tcPr>
          <w:p w14:paraId="3D2FF5F5"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Wheat</w:t>
            </w:r>
          </w:p>
        </w:tc>
        <w:tc>
          <w:tcPr>
            <w:tcW w:w="654" w:type="pct"/>
            <w:vAlign w:val="center"/>
            <w:hideMark/>
          </w:tcPr>
          <w:p w14:paraId="73FB8879"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Medium</w:t>
            </w:r>
          </w:p>
        </w:tc>
        <w:tc>
          <w:tcPr>
            <w:tcW w:w="1373" w:type="pct"/>
            <w:vAlign w:val="center"/>
            <w:hideMark/>
          </w:tcPr>
          <w:p w14:paraId="13AF8D4F"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141–180</w:t>
            </w:r>
          </w:p>
        </w:tc>
        <w:tc>
          <w:tcPr>
            <w:tcW w:w="1184" w:type="pct"/>
          </w:tcPr>
          <w:p w14:paraId="06C27819" w14:textId="422982B8" w:rsidR="006A0CC2" w:rsidRPr="00F73E1B" w:rsidRDefault="00B22D06" w:rsidP="00792DC7">
            <w:pPr>
              <w:pStyle w:val="NoSpacing"/>
              <w:jc w:val="center"/>
              <w:rPr>
                <w:rFonts w:eastAsiaTheme="minorEastAsia"/>
                <w:sz w:val="18"/>
                <w:szCs w:val="18"/>
              </w:rPr>
            </w:pPr>
            <w:r>
              <w:rPr>
                <w:rFonts w:eastAsiaTheme="minorEastAsia" w:hint="eastAsia"/>
                <w:sz w:val="18"/>
                <w:szCs w:val="18"/>
              </w:rPr>
              <w:t>169.41</w:t>
            </w:r>
          </w:p>
        </w:tc>
        <w:tc>
          <w:tcPr>
            <w:tcW w:w="1178" w:type="pct"/>
            <w:vAlign w:val="center"/>
            <w:hideMark/>
          </w:tcPr>
          <w:p w14:paraId="50CCD335" w14:textId="74AC082C" w:rsidR="006A0CC2" w:rsidRPr="00F73E1B" w:rsidRDefault="006A0CC2" w:rsidP="00792DC7">
            <w:pPr>
              <w:pStyle w:val="NoSpacing"/>
              <w:jc w:val="center"/>
              <w:rPr>
                <w:rFonts w:eastAsiaTheme="minorEastAsia"/>
                <w:sz w:val="18"/>
                <w:szCs w:val="18"/>
              </w:rPr>
            </w:pPr>
            <w:r w:rsidRPr="00F73E1B">
              <w:rPr>
                <w:rFonts w:eastAsiaTheme="minorEastAsia"/>
                <w:sz w:val="18"/>
                <w:szCs w:val="18"/>
              </w:rPr>
              <w:t>26</w:t>
            </w:r>
          </w:p>
        </w:tc>
      </w:tr>
      <w:tr w:rsidR="006A0CC2" w:rsidRPr="00F73E1B" w14:paraId="142048B2" w14:textId="77777777" w:rsidTr="006A0CC2">
        <w:trPr>
          <w:tblCellSpacing w:w="15" w:type="dxa"/>
          <w:jc w:val="center"/>
        </w:trPr>
        <w:tc>
          <w:tcPr>
            <w:tcW w:w="519" w:type="pct"/>
            <w:vAlign w:val="center"/>
            <w:hideMark/>
          </w:tcPr>
          <w:p w14:paraId="212188CF"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Wheat</w:t>
            </w:r>
          </w:p>
        </w:tc>
        <w:tc>
          <w:tcPr>
            <w:tcW w:w="654" w:type="pct"/>
            <w:vAlign w:val="center"/>
            <w:hideMark/>
          </w:tcPr>
          <w:p w14:paraId="1E8A3EE0"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High</w:t>
            </w:r>
          </w:p>
        </w:tc>
        <w:tc>
          <w:tcPr>
            <w:tcW w:w="1373" w:type="pct"/>
            <w:vAlign w:val="center"/>
            <w:hideMark/>
          </w:tcPr>
          <w:p w14:paraId="389ACA67"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180–270</w:t>
            </w:r>
          </w:p>
        </w:tc>
        <w:tc>
          <w:tcPr>
            <w:tcW w:w="1184" w:type="pct"/>
          </w:tcPr>
          <w:p w14:paraId="3C2979FA" w14:textId="616782A1" w:rsidR="006A0CC2" w:rsidRPr="00F73E1B" w:rsidRDefault="00B22D06" w:rsidP="00792DC7">
            <w:pPr>
              <w:pStyle w:val="NoSpacing"/>
              <w:jc w:val="center"/>
              <w:rPr>
                <w:rFonts w:eastAsiaTheme="minorEastAsia"/>
                <w:sz w:val="18"/>
                <w:szCs w:val="18"/>
              </w:rPr>
            </w:pPr>
            <w:r>
              <w:rPr>
                <w:rFonts w:eastAsiaTheme="minorEastAsia" w:hint="eastAsia"/>
                <w:sz w:val="18"/>
                <w:szCs w:val="18"/>
              </w:rPr>
              <w:t>202.00</w:t>
            </w:r>
          </w:p>
        </w:tc>
        <w:tc>
          <w:tcPr>
            <w:tcW w:w="1178" w:type="pct"/>
            <w:vAlign w:val="center"/>
            <w:hideMark/>
          </w:tcPr>
          <w:p w14:paraId="25539FA5" w14:textId="5DC3D0AE" w:rsidR="006A0CC2" w:rsidRPr="00F73E1B" w:rsidRDefault="006A0CC2" w:rsidP="00792DC7">
            <w:pPr>
              <w:pStyle w:val="NoSpacing"/>
              <w:jc w:val="center"/>
              <w:rPr>
                <w:rFonts w:eastAsiaTheme="minorEastAsia"/>
                <w:sz w:val="18"/>
                <w:szCs w:val="18"/>
              </w:rPr>
            </w:pPr>
            <w:r w:rsidRPr="00F73E1B">
              <w:rPr>
                <w:rFonts w:eastAsiaTheme="minorEastAsia"/>
                <w:sz w:val="18"/>
                <w:szCs w:val="18"/>
              </w:rPr>
              <w:t>13</w:t>
            </w:r>
          </w:p>
        </w:tc>
      </w:tr>
      <w:tr w:rsidR="006A0CC2" w:rsidRPr="00F73E1B" w14:paraId="57DE09D3" w14:textId="77777777" w:rsidTr="006A0CC2">
        <w:trPr>
          <w:tblCellSpacing w:w="15" w:type="dxa"/>
          <w:jc w:val="center"/>
        </w:trPr>
        <w:tc>
          <w:tcPr>
            <w:tcW w:w="519" w:type="pct"/>
            <w:vAlign w:val="center"/>
            <w:hideMark/>
          </w:tcPr>
          <w:p w14:paraId="3591A0A4"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Barley</w:t>
            </w:r>
          </w:p>
        </w:tc>
        <w:tc>
          <w:tcPr>
            <w:tcW w:w="654" w:type="pct"/>
            <w:vAlign w:val="center"/>
            <w:hideMark/>
          </w:tcPr>
          <w:p w14:paraId="2ECC9476"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Low</w:t>
            </w:r>
          </w:p>
        </w:tc>
        <w:tc>
          <w:tcPr>
            <w:tcW w:w="1373" w:type="pct"/>
            <w:vAlign w:val="center"/>
            <w:hideMark/>
          </w:tcPr>
          <w:p w14:paraId="79684762"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52–112</w:t>
            </w:r>
          </w:p>
        </w:tc>
        <w:tc>
          <w:tcPr>
            <w:tcW w:w="1184" w:type="pct"/>
          </w:tcPr>
          <w:p w14:paraId="3FE1232F" w14:textId="0CCFD144" w:rsidR="006A0CC2" w:rsidRPr="00F73E1B" w:rsidRDefault="00EC02A2" w:rsidP="00792DC7">
            <w:pPr>
              <w:pStyle w:val="NoSpacing"/>
              <w:jc w:val="center"/>
              <w:rPr>
                <w:rFonts w:eastAsiaTheme="minorEastAsia"/>
                <w:sz w:val="18"/>
                <w:szCs w:val="18"/>
              </w:rPr>
            </w:pPr>
            <w:r>
              <w:rPr>
                <w:rFonts w:eastAsiaTheme="minorEastAsia" w:hint="eastAsia"/>
                <w:sz w:val="18"/>
                <w:szCs w:val="18"/>
              </w:rPr>
              <w:t>85.64</w:t>
            </w:r>
          </w:p>
        </w:tc>
        <w:tc>
          <w:tcPr>
            <w:tcW w:w="1178" w:type="pct"/>
            <w:vAlign w:val="center"/>
            <w:hideMark/>
          </w:tcPr>
          <w:p w14:paraId="3087769C" w14:textId="132CFC8B" w:rsidR="006A0CC2" w:rsidRPr="00F73E1B" w:rsidRDefault="006A0CC2" w:rsidP="00792DC7">
            <w:pPr>
              <w:pStyle w:val="NoSpacing"/>
              <w:jc w:val="center"/>
              <w:rPr>
                <w:rFonts w:eastAsiaTheme="minorEastAsia"/>
                <w:sz w:val="18"/>
                <w:szCs w:val="18"/>
              </w:rPr>
            </w:pPr>
            <w:r w:rsidRPr="00F73E1B">
              <w:rPr>
                <w:rFonts w:eastAsiaTheme="minorEastAsia"/>
                <w:sz w:val="18"/>
                <w:szCs w:val="18"/>
              </w:rPr>
              <w:t>22</w:t>
            </w:r>
          </w:p>
        </w:tc>
      </w:tr>
      <w:tr w:rsidR="006A0CC2" w:rsidRPr="00F73E1B" w14:paraId="3BFE0A83" w14:textId="77777777" w:rsidTr="006A0CC2">
        <w:trPr>
          <w:tblCellSpacing w:w="15" w:type="dxa"/>
          <w:jc w:val="center"/>
        </w:trPr>
        <w:tc>
          <w:tcPr>
            <w:tcW w:w="519" w:type="pct"/>
            <w:vAlign w:val="center"/>
            <w:hideMark/>
          </w:tcPr>
          <w:p w14:paraId="7C2BC49B"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Barley</w:t>
            </w:r>
          </w:p>
        </w:tc>
        <w:tc>
          <w:tcPr>
            <w:tcW w:w="654" w:type="pct"/>
            <w:vAlign w:val="center"/>
            <w:hideMark/>
          </w:tcPr>
          <w:p w14:paraId="36227029"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Medium</w:t>
            </w:r>
          </w:p>
        </w:tc>
        <w:tc>
          <w:tcPr>
            <w:tcW w:w="1373" w:type="pct"/>
            <w:vAlign w:val="center"/>
            <w:hideMark/>
          </w:tcPr>
          <w:p w14:paraId="6235A67D"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112–148.5</w:t>
            </w:r>
          </w:p>
        </w:tc>
        <w:tc>
          <w:tcPr>
            <w:tcW w:w="1184" w:type="pct"/>
          </w:tcPr>
          <w:p w14:paraId="6B4993E3" w14:textId="7629D7F2" w:rsidR="006A0CC2" w:rsidRPr="00F73E1B" w:rsidRDefault="00EC02A2" w:rsidP="00792DC7">
            <w:pPr>
              <w:pStyle w:val="NoSpacing"/>
              <w:jc w:val="center"/>
              <w:rPr>
                <w:rFonts w:eastAsiaTheme="minorEastAsia"/>
                <w:sz w:val="18"/>
                <w:szCs w:val="18"/>
              </w:rPr>
            </w:pPr>
            <w:r>
              <w:rPr>
                <w:rFonts w:eastAsiaTheme="minorEastAsia" w:hint="eastAsia"/>
                <w:sz w:val="18"/>
                <w:szCs w:val="18"/>
              </w:rPr>
              <w:t>133.18</w:t>
            </w:r>
          </w:p>
        </w:tc>
        <w:tc>
          <w:tcPr>
            <w:tcW w:w="1178" w:type="pct"/>
            <w:vAlign w:val="center"/>
            <w:hideMark/>
          </w:tcPr>
          <w:p w14:paraId="3F410232" w14:textId="2CEBC0A0" w:rsidR="006A0CC2" w:rsidRPr="00F73E1B" w:rsidRDefault="006A0CC2" w:rsidP="00792DC7">
            <w:pPr>
              <w:pStyle w:val="NoSpacing"/>
              <w:jc w:val="center"/>
              <w:rPr>
                <w:rFonts w:eastAsiaTheme="minorEastAsia"/>
                <w:sz w:val="18"/>
                <w:szCs w:val="18"/>
              </w:rPr>
            </w:pPr>
            <w:r w:rsidRPr="00F73E1B">
              <w:rPr>
                <w:rFonts w:eastAsiaTheme="minorEastAsia"/>
                <w:sz w:val="18"/>
                <w:szCs w:val="18"/>
              </w:rPr>
              <w:t>1</w:t>
            </w:r>
            <w:r w:rsidRPr="00F73E1B">
              <w:rPr>
                <w:rFonts w:eastAsiaTheme="minorEastAsia" w:hint="eastAsia"/>
                <w:sz w:val="18"/>
                <w:szCs w:val="18"/>
              </w:rPr>
              <w:t>2</w:t>
            </w:r>
          </w:p>
        </w:tc>
      </w:tr>
      <w:tr w:rsidR="006A0CC2" w:rsidRPr="00F73E1B" w14:paraId="3287394A" w14:textId="77777777" w:rsidTr="006A0CC2">
        <w:trPr>
          <w:tblCellSpacing w:w="15" w:type="dxa"/>
          <w:jc w:val="center"/>
        </w:trPr>
        <w:tc>
          <w:tcPr>
            <w:tcW w:w="519" w:type="pct"/>
            <w:vAlign w:val="center"/>
            <w:hideMark/>
          </w:tcPr>
          <w:p w14:paraId="1BE60EF8"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Barley</w:t>
            </w:r>
          </w:p>
        </w:tc>
        <w:tc>
          <w:tcPr>
            <w:tcW w:w="654" w:type="pct"/>
            <w:vAlign w:val="center"/>
            <w:hideMark/>
          </w:tcPr>
          <w:p w14:paraId="63D90F97"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High</w:t>
            </w:r>
          </w:p>
        </w:tc>
        <w:tc>
          <w:tcPr>
            <w:tcW w:w="1373" w:type="pct"/>
            <w:vAlign w:val="center"/>
            <w:hideMark/>
          </w:tcPr>
          <w:p w14:paraId="19380959" w14:textId="7777777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148.5–178</w:t>
            </w:r>
          </w:p>
        </w:tc>
        <w:tc>
          <w:tcPr>
            <w:tcW w:w="1184" w:type="pct"/>
          </w:tcPr>
          <w:p w14:paraId="5BF41A5F" w14:textId="7F44BD8D" w:rsidR="006A0CC2" w:rsidRPr="00F73E1B" w:rsidRDefault="00EC02A2" w:rsidP="00792DC7">
            <w:pPr>
              <w:pStyle w:val="NoSpacing"/>
              <w:jc w:val="center"/>
              <w:rPr>
                <w:rFonts w:eastAsiaTheme="minorEastAsia"/>
                <w:sz w:val="18"/>
                <w:szCs w:val="18"/>
              </w:rPr>
            </w:pPr>
            <w:r>
              <w:rPr>
                <w:rFonts w:eastAsiaTheme="minorEastAsia" w:hint="eastAsia"/>
                <w:sz w:val="18"/>
                <w:szCs w:val="18"/>
              </w:rPr>
              <w:t>158.17</w:t>
            </w:r>
          </w:p>
        </w:tc>
        <w:tc>
          <w:tcPr>
            <w:tcW w:w="1178" w:type="pct"/>
            <w:vAlign w:val="center"/>
            <w:hideMark/>
          </w:tcPr>
          <w:p w14:paraId="15CB479E" w14:textId="6F81A717" w:rsidR="006A0CC2" w:rsidRPr="00F73E1B" w:rsidRDefault="006A0CC2" w:rsidP="00792DC7">
            <w:pPr>
              <w:pStyle w:val="NoSpacing"/>
              <w:jc w:val="center"/>
              <w:rPr>
                <w:rFonts w:eastAsiaTheme="minorEastAsia"/>
                <w:sz w:val="18"/>
                <w:szCs w:val="18"/>
              </w:rPr>
            </w:pPr>
            <w:r w:rsidRPr="00F73E1B">
              <w:rPr>
                <w:rFonts w:eastAsiaTheme="minorEastAsia"/>
                <w:sz w:val="18"/>
                <w:szCs w:val="18"/>
              </w:rPr>
              <w:t>16</w:t>
            </w:r>
          </w:p>
        </w:tc>
      </w:tr>
    </w:tbl>
    <w:p w14:paraId="247EF42C" w14:textId="0A9B45E1" w:rsidR="00792DC7" w:rsidRPr="00F73E1B" w:rsidRDefault="00B20CDD" w:rsidP="006F200F">
      <w:pPr>
        <w:pStyle w:val="NoSpacing"/>
        <w:rPr>
          <w:rFonts w:eastAsiaTheme="minorEastAsia"/>
          <w:i/>
          <w:iCs/>
          <w:sz w:val="18"/>
          <w:szCs w:val="18"/>
        </w:rPr>
      </w:pPr>
      <w:r w:rsidRPr="00F73E1B">
        <w:rPr>
          <w:rFonts w:eastAsiaTheme="minorEastAsia" w:hint="eastAsia"/>
          <w:i/>
          <w:iCs/>
          <w:sz w:val="18"/>
          <w:szCs w:val="18"/>
        </w:rPr>
        <w:t xml:space="preserve">Note: </w:t>
      </w:r>
      <w:r w:rsidRPr="00F73E1B">
        <w:rPr>
          <w:rFonts w:eastAsiaTheme="minorEastAsia"/>
          <w:i/>
          <w:iCs/>
          <w:sz w:val="18"/>
          <w:szCs w:val="18"/>
        </w:rPr>
        <w:t>Nitrogen categories were derived using crop-specific equal-frequency tertile grouping to maintain balanced subgroup sizes and improve treatment-effect estimation stability.</w:t>
      </w:r>
    </w:p>
    <w:p w14:paraId="10D86EED" w14:textId="031C77BC" w:rsidR="002830B4" w:rsidRPr="002830B4" w:rsidRDefault="002830B4" w:rsidP="002830B4">
      <w:pPr>
        <w:pStyle w:val="NoSpacing"/>
        <w:rPr>
          <w:rFonts w:eastAsiaTheme="minorEastAsia"/>
          <w:b/>
          <w:bCs/>
          <w:sz w:val="18"/>
          <w:szCs w:val="18"/>
        </w:rPr>
      </w:pPr>
      <w:bookmarkStart w:id="0" w:name="_Ref204812829"/>
      <w:r w:rsidRPr="002830B4">
        <w:rPr>
          <w:rFonts w:eastAsiaTheme="minorEastAsia"/>
          <w:b/>
          <w:bCs/>
          <w:sz w:val="18"/>
          <w:szCs w:val="18"/>
        </w:rPr>
        <w:t xml:space="preserve">Table </w:t>
      </w:r>
      <w:bookmarkEnd w:id="0"/>
      <w:r>
        <w:rPr>
          <w:rFonts w:eastAsiaTheme="minorEastAsia" w:hint="eastAsia"/>
          <w:b/>
          <w:bCs/>
          <w:sz w:val="18"/>
          <w:szCs w:val="18"/>
        </w:rPr>
        <w:t>S2</w:t>
      </w:r>
      <w:r w:rsidRPr="002830B4">
        <w:rPr>
          <w:rFonts w:eastAsiaTheme="minorEastAsia"/>
          <w:b/>
          <w:bCs/>
          <w:sz w:val="18"/>
          <w:szCs w:val="18"/>
        </w:rPr>
        <w:t xml:space="preserve">. </w:t>
      </w:r>
      <w:r w:rsidR="00F62224" w:rsidRPr="00F62224">
        <w:rPr>
          <w:rFonts w:eastAsiaTheme="minorEastAsia"/>
          <w:b/>
          <w:bCs/>
          <w:sz w:val="18"/>
          <w:szCs w:val="18"/>
        </w:rPr>
        <w:t>Overview of datasets and variables used in the study</w:t>
      </w:r>
    </w:p>
    <w:tbl>
      <w:tblPr>
        <w:tblStyle w:val="2"/>
        <w:tblW w:w="5000"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15"/>
        <w:gridCol w:w="2261"/>
        <w:gridCol w:w="1136"/>
        <w:gridCol w:w="2518"/>
        <w:gridCol w:w="2516"/>
      </w:tblGrid>
      <w:tr w:rsidR="00F62224" w:rsidRPr="002830B4" w14:paraId="1E66FA4C" w14:textId="77777777" w:rsidTr="00EC3D75">
        <w:trPr>
          <w:trHeight w:val="290"/>
          <w:jc w:val="center"/>
        </w:trPr>
        <w:tc>
          <w:tcPr>
            <w:tcW w:w="674" w:type="pct"/>
            <w:tcBorders>
              <w:top w:val="single" w:sz="4" w:space="0" w:color="auto"/>
              <w:bottom w:val="single" w:sz="4" w:space="0" w:color="auto"/>
            </w:tcBorders>
            <w:noWrap/>
            <w:vAlign w:val="center"/>
            <w:hideMark/>
          </w:tcPr>
          <w:p w14:paraId="5A243225" w14:textId="77777777" w:rsidR="00F62224" w:rsidRPr="002830B4" w:rsidRDefault="00F62224" w:rsidP="00EC3D75">
            <w:pPr>
              <w:pStyle w:val="NoSpacing"/>
              <w:jc w:val="center"/>
              <w:rPr>
                <w:rFonts w:eastAsiaTheme="minorEastAsia"/>
                <w:sz w:val="18"/>
                <w:szCs w:val="18"/>
              </w:rPr>
            </w:pPr>
            <w:r w:rsidRPr="002830B4">
              <w:rPr>
                <w:rFonts w:eastAsiaTheme="minorEastAsia"/>
                <w:sz w:val="18"/>
                <w:szCs w:val="18"/>
              </w:rPr>
              <w:t>Data Type</w:t>
            </w:r>
          </w:p>
        </w:tc>
        <w:tc>
          <w:tcPr>
            <w:tcW w:w="1160" w:type="pct"/>
            <w:tcBorders>
              <w:top w:val="single" w:sz="4" w:space="0" w:color="auto"/>
              <w:bottom w:val="single" w:sz="4" w:space="0" w:color="auto"/>
            </w:tcBorders>
            <w:noWrap/>
            <w:vAlign w:val="center"/>
            <w:hideMark/>
          </w:tcPr>
          <w:p w14:paraId="39A48A30" w14:textId="77777777" w:rsidR="00F62224" w:rsidRPr="002830B4" w:rsidRDefault="00F62224" w:rsidP="00EC3D75">
            <w:pPr>
              <w:pStyle w:val="NoSpacing"/>
              <w:jc w:val="center"/>
              <w:rPr>
                <w:rFonts w:eastAsiaTheme="minorEastAsia"/>
                <w:sz w:val="18"/>
                <w:szCs w:val="18"/>
              </w:rPr>
            </w:pPr>
            <w:r w:rsidRPr="002830B4">
              <w:rPr>
                <w:rFonts w:eastAsiaTheme="minorEastAsia"/>
                <w:sz w:val="18"/>
                <w:szCs w:val="18"/>
              </w:rPr>
              <w:t>Source</w:t>
            </w:r>
          </w:p>
        </w:tc>
        <w:tc>
          <w:tcPr>
            <w:tcW w:w="583" w:type="pct"/>
            <w:tcBorders>
              <w:top w:val="single" w:sz="4" w:space="0" w:color="auto"/>
              <w:bottom w:val="single" w:sz="4" w:space="0" w:color="auto"/>
            </w:tcBorders>
            <w:noWrap/>
            <w:vAlign w:val="center"/>
            <w:hideMark/>
          </w:tcPr>
          <w:p w14:paraId="7856179E" w14:textId="77777777" w:rsidR="00F62224" w:rsidRPr="002830B4" w:rsidRDefault="00F62224" w:rsidP="00EC3D75">
            <w:pPr>
              <w:pStyle w:val="NoSpacing"/>
              <w:jc w:val="center"/>
              <w:rPr>
                <w:rFonts w:eastAsiaTheme="minorEastAsia"/>
                <w:sz w:val="18"/>
                <w:szCs w:val="18"/>
              </w:rPr>
            </w:pPr>
            <w:r w:rsidRPr="002830B4">
              <w:rPr>
                <w:rFonts w:eastAsiaTheme="minorEastAsia"/>
                <w:sz w:val="18"/>
                <w:szCs w:val="18"/>
              </w:rPr>
              <w:t>Temporal Coverage</w:t>
            </w:r>
          </w:p>
        </w:tc>
        <w:tc>
          <w:tcPr>
            <w:tcW w:w="1292" w:type="pct"/>
            <w:tcBorders>
              <w:top w:val="single" w:sz="4" w:space="0" w:color="auto"/>
              <w:bottom w:val="single" w:sz="4" w:space="0" w:color="auto"/>
            </w:tcBorders>
            <w:vAlign w:val="center"/>
          </w:tcPr>
          <w:p w14:paraId="7AC61845" w14:textId="74B83009" w:rsidR="00F62224" w:rsidRPr="002830B4" w:rsidRDefault="000C389C" w:rsidP="00EC3D75">
            <w:pPr>
              <w:pStyle w:val="NoSpacing"/>
              <w:jc w:val="center"/>
              <w:rPr>
                <w:rFonts w:eastAsiaTheme="minorEastAsia"/>
                <w:sz w:val="18"/>
                <w:szCs w:val="18"/>
              </w:rPr>
            </w:pPr>
            <w:r w:rsidRPr="000C389C">
              <w:rPr>
                <w:rFonts w:eastAsiaTheme="minorEastAsia"/>
                <w:sz w:val="18"/>
                <w:szCs w:val="18"/>
              </w:rPr>
              <w:t>Spatial Resolution</w:t>
            </w:r>
          </w:p>
        </w:tc>
        <w:tc>
          <w:tcPr>
            <w:tcW w:w="1292" w:type="pct"/>
            <w:tcBorders>
              <w:top w:val="single" w:sz="4" w:space="0" w:color="auto"/>
              <w:bottom w:val="single" w:sz="4" w:space="0" w:color="auto"/>
            </w:tcBorders>
            <w:noWrap/>
            <w:vAlign w:val="center"/>
            <w:hideMark/>
          </w:tcPr>
          <w:p w14:paraId="19D513D8" w14:textId="7332B13B" w:rsidR="00F62224" w:rsidRPr="002830B4" w:rsidRDefault="00F62224" w:rsidP="00EC3D75">
            <w:pPr>
              <w:pStyle w:val="NoSpacing"/>
              <w:jc w:val="center"/>
              <w:rPr>
                <w:rFonts w:eastAsiaTheme="minorEastAsia"/>
                <w:sz w:val="18"/>
                <w:szCs w:val="18"/>
              </w:rPr>
            </w:pPr>
            <w:r w:rsidRPr="002830B4">
              <w:rPr>
                <w:rFonts w:eastAsiaTheme="minorEastAsia"/>
                <w:sz w:val="18"/>
                <w:szCs w:val="18"/>
              </w:rPr>
              <w:t>Key Variables</w:t>
            </w:r>
          </w:p>
        </w:tc>
      </w:tr>
      <w:tr w:rsidR="00F62224" w:rsidRPr="002830B4" w14:paraId="4D78231F" w14:textId="77777777" w:rsidTr="00EC3D75">
        <w:trPr>
          <w:trHeight w:val="290"/>
          <w:jc w:val="center"/>
        </w:trPr>
        <w:tc>
          <w:tcPr>
            <w:tcW w:w="674" w:type="pct"/>
            <w:tcBorders>
              <w:top w:val="single" w:sz="4" w:space="0" w:color="auto"/>
            </w:tcBorders>
            <w:noWrap/>
            <w:vAlign w:val="center"/>
            <w:hideMark/>
          </w:tcPr>
          <w:p w14:paraId="6F9CEB41" w14:textId="77777777" w:rsidR="00F62224" w:rsidRPr="002830B4" w:rsidRDefault="00F62224" w:rsidP="00EC3D75">
            <w:pPr>
              <w:pStyle w:val="NoSpacing"/>
              <w:jc w:val="center"/>
              <w:rPr>
                <w:rFonts w:eastAsiaTheme="minorEastAsia"/>
                <w:sz w:val="18"/>
                <w:szCs w:val="18"/>
              </w:rPr>
            </w:pPr>
            <w:r w:rsidRPr="002830B4">
              <w:rPr>
                <w:rFonts w:eastAsiaTheme="minorEastAsia"/>
                <w:sz w:val="18"/>
                <w:szCs w:val="18"/>
              </w:rPr>
              <w:t>Crop Type</w:t>
            </w:r>
          </w:p>
        </w:tc>
        <w:tc>
          <w:tcPr>
            <w:tcW w:w="1160" w:type="pct"/>
            <w:tcBorders>
              <w:top w:val="single" w:sz="4" w:space="0" w:color="auto"/>
            </w:tcBorders>
            <w:noWrap/>
            <w:vAlign w:val="center"/>
            <w:hideMark/>
          </w:tcPr>
          <w:p w14:paraId="71FA1EE9" w14:textId="77777777" w:rsidR="00F62224" w:rsidRPr="002830B4" w:rsidRDefault="00F62224" w:rsidP="00EC3D75">
            <w:pPr>
              <w:pStyle w:val="NoSpacing"/>
              <w:jc w:val="center"/>
              <w:rPr>
                <w:rFonts w:eastAsiaTheme="minorEastAsia"/>
                <w:sz w:val="18"/>
                <w:szCs w:val="18"/>
              </w:rPr>
            </w:pPr>
            <w:r w:rsidRPr="002830B4">
              <w:rPr>
                <w:rFonts w:eastAsiaTheme="minorEastAsia"/>
                <w:sz w:val="18"/>
                <w:szCs w:val="18"/>
              </w:rPr>
              <w:t>IACS-LFL</w:t>
            </w:r>
          </w:p>
        </w:tc>
        <w:tc>
          <w:tcPr>
            <w:tcW w:w="583" w:type="pct"/>
            <w:tcBorders>
              <w:top w:val="single" w:sz="4" w:space="0" w:color="auto"/>
            </w:tcBorders>
            <w:noWrap/>
            <w:vAlign w:val="center"/>
            <w:hideMark/>
          </w:tcPr>
          <w:p w14:paraId="2380CC0E" w14:textId="77777777" w:rsidR="00F62224" w:rsidRPr="002830B4" w:rsidRDefault="00F62224" w:rsidP="00EC3D75">
            <w:pPr>
              <w:pStyle w:val="NoSpacing"/>
              <w:jc w:val="center"/>
              <w:rPr>
                <w:rFonts w:eastAsiaTheme="minorEastAsia"/>
                <w:sz w:val="18"/>
                <w:szCs w:val="18"/>
              </w:rPr>
            </w:pPr>
            <w:r w:rsidRPr="002830B4">
              <w:rPr>
                <w:rFonts w:eastAsiaTheme="minorEastAsia"/>
                <w:sz w:val="18"/>
                <w:szCs w:val="18"/>
              </w:rPr>
              <w:t>2008–2023</w:t>
            </w:r>
          </w:p>
        </w:tc>
        <w:tc>
          <w:tcPr>
            <w:tcW w:w="1292" w:type="pct"/>
            <w:tcBorders>
              <w:top w:val="single" w:sz="4" w:space="0" w:color="auto"/>
            </w:tcBorders>
            <w:vAlign w:val="center"/>
          </w:tcPr>
          <w:p w14:paraId="71EA0755" w14:textId="02B59AD7" w:rsidR="00F62224" w:rsidRPr="002830B4" w:rsidRDefault="000C389C" w:rsidP="00EC3D75">
            <w:pPr>
              <w:pStyle w:val="NoSpacing"/>
              <w:jc w:val="center"/>
              <w:rPr>
                <w:rFonts w:eastAsiaTheme="minorEastAsia"/>
                <w:sz w:val="18"/>
                <w:szCs w:val="18"/>
              </w:rPr>
            </w:pPr>
            <w:r w:rsidRPr="000C389C">
              <w:rPr>
                <w:rFonts w:eastAsiaTheme="minorEastAsia"/>
                <w:sz w:val="18"/>
                <w:szCs w:val="18"/>
              </w:rPr>
              <w:t>Field boundary level</w:t>
            </w:r>
          </w:p>
        </w:tc>
        <w:tc>
          <w:tcPr>
            <w:tcW w:w="1292" w:type="pct"/>
            <w:tcBorders>
              <w:top w:val="single" w:sz="4" w:space="0" w:color="auto"/>
            </w:tcBorders>
            <w:noWrap/>
            <w:vAlign w:val="center"/>
            <w:hideMark/>
          </w:tcPr>
          <w:p w14:paraId="1F20EEDC" w14:textId="1B644CFB" w:rsidR="00F62224" w:rsidRPr="002830B4" w:rsidRDefault="00F62224" w:rsidP="00EC3D75">
            <w:pPr>
              <w:pStyle w:val="NoSpacing"/>
              <w:jc w:val="center"/>
              <w:rPr>
                <w:rFonts w:eastAsiaTheme="minorEastAsia"/>
                <w:sz w:val="18"/>
                <w:szCs w:val="18"/>
              </w:rPr>
            </w:pPr>
            <w:r w:rsidRPr="002830B4">
              <w:rPr>
                <w:rFonts w:eastAsiaTheme="minorEastAsia"/>
                <w:sz w:val="18"/>
                <w:szCs w:val="18"/>
              </w:rPr>
              <w:t>Crop type, sowing season, fertilizer type</w:t>
            </w:r>
          </w:p>
        </w:tc>
      </w:tr>
      <w:tr w:rsidR="00F62224" w:rsidRPr="002830B4" w14:paraId="689DCB48" w14:textId="77777777" w:rsidTr="00EC3D75">
        <w:trPr>
          <w:trHeight w:val="290"/>
          <w:jc w:val="center"/>
        </w:trPr>
        <w:tc>
          <w:tcPr>
            <w:tcW w:w="674" w:type="pct"/>
            <w:noWrap/>
            <w:vAlign w:val="center"/>
            <w:hideMark/>
          </w:tcPr>
          <w:p w14:paraId="14E834C1" w14:textId="77777777" w:rsidR="00F62224" w:rsidRPr="002830B4" w:rsidRDefault="00F62224" w:rsidP="00EC3D75">
            <w:pPr>
              <w:pStyle w:val="NoSpacing"/>
              <w:jc w:val="center"/>
              <w:rPr>
                <w:rFonts w:eastAsiaTheme="minorEastAsia"/>
                <w:sz w:val="18"/>
                <w:szCs w:val="18"/>
              </w:rPr>
            </w:pPr>
            <w:r w:rsidRPr="002830B4">
              <w:rPr>
                <w:rFonts w:eastAsiaTheme="minorEastAsia"/>
                <w:sz w:val="18"/>
                <w:szCs w:val="18"/>
              </w:rPr>
              <w:t>Remote Sensing</w:t>
            </w:r>
          </w:p>
        </w:tc>
        <w:tc>
          <w:tcPr>
            <w:tcW w:w="1160" w:type="pct"/>
            <w:noWrap/>
            <w:vAlign w:val="center"/>
            <w:hideMark/>
          </w:tcPr>
          <w:p w14:paraId="2B3C9772" w14:textId="77777777" w:rsidR="00F62224" w:rsidRPr="002830B4" w:rsidRDefault="00F62224" w:rsidP="00EC3D75">
            <w:pPr>
              <w:pStyle w:val="NoSpacing"/>
              <w:jc w:val="center"/>
              <w:rPr>
                <w:rFonts w:eastAsiaTheme="minorEastAsia"/>
                <w:sz w:val="18"/>
                <w:szCs w:val="18"/>
              </w:rPr>
            </w:pPr>
            <w:r w:rsidRPr="002830B4">
              <w:rPr>
                <w:rFonts w:eastAsiaTheme="minorEastAsia"/>
                <w:sz w:val="18"/>
                <w:szCs w:val="18"/>
              </w:rPr>
              <w:t>Landsat 5 (pre-2016), Sentinel-2 (2016–2023), ERA5-Land</w:t>
            </w:r>
          </w:p>
        </w:tc>
        <w:tc>
          <w:tcPr>
            <w:tcW w:w="583" w:type="pct"/>
            <w:noWrap/>
            <w:vAlign w:val="center"/>
            <w:hideMark/>
          </w:tcPr>
          <w:p w14:paraId="4E8AC741" w14:textId="77777777" w:rsidR="00F62224" w:rsidRPr="002830B4" w:rsidRDefault="00F62224" w:rsidP="00EC3D75">
            <w:pPr>
              <w:pStyle w:val="NoSpacing"/>
              <w:jc w:val="center"/>
              <w:rPr>
                <w:rFonts w:eastAsiaTheme="minorEastAsia"/>
                <w:sz w:val="18"/>
                <w:szCs w:val="18"/>
              </w:rPr>
            </w:pPr>
            <w:r w:rsidRPr="002830B4">
              <w:rPr>
                <w:rFonts w:eastAsiaTheme="minorEastAsia"/>
                <w:sz w:val="18"/>
                <w:szCs w:val="18"/>
              </w:rPr>
              <w:t>2008–2023</w:t>
            </w:r>
          </w:p>
        </w:tc>
        <w:tc>
          <w:tcPr>
            <w:tcW w:w="1292" w:type="pct"/>
            <w:vAlign w:val="center"/>
          </w:tcPr>
          <w:p w14:paraId="145ED6D1" w14:textId="6294970D" w:rsidR="00F62224" w:rsidRPr="002830B4" w:rsidRDefault="000C389C" w:rsidP="00EC3D75">
            <w:pPr>
              <w:pStyle w:val="NoSpacing"/>
              <w:jc w:val="center"/>
              <w:rPr>
                <w:rFonts w:eastAsiaTheme="minorEastAsia"/>
                <w:sz w:val="18"/>
                <w:szCs w:val="18"/>
              </w:rPr>
            </w:pPr>
            <w:r w:rsidRPr="000C389C">
              <w:rPr>
                <w:rFonts w:eastAsiaTheme="minorEastAsia"/>
                <w:sz w:val="18"/>
                <w:szCs w:val="18"/>
              </w:rPr>
              <w:t>30 m; 10 m; 0.1°</w:t>
            </w:r>
          </w:p>
        </w:tc>
        <w:tc>
          <w:tcPr>
            <w:tcW w:w="1292" w:type="pct"/>
            <w:noWrap/>
            <w:vAlign w:val="center"/>
            <w:hideMark/>
          </w:tcPr>
          <w:p w14:paraId="3D0AF675" w14:textId="384A9FB7" w:rsidR="00F62224" w:rsidRPr="002830B4" w:rsidRDefault="00F62224" w:rsidP="00EC3D75">
            <w:pPr>
              <w:pStyle w:val="NoSpacing"/>
              <w:jc w:val="center"/>
              <w:rPr>
                <w:rFonts w:eastAsiaTheme="minorEastAsia"/>
                <w:sz w:val="18"/>
                <w:szCs w:val="18"/>
              </w:rPr>
            </w:pPr>
            <w:r w:rsidRPr="002830B4">
              <w:rPr>
                <w:rFonts w:eastAsiaTheme="minorEastAsia"/>
                <w:sz w:val="18"/>
                <w:szCs w:val="18"/>
              </w:rPr>
              <w:t>Seasonal NDVI, surface soil moisture</w:t>
            </w:r>
          </w:p>
        </w:tc>
      </w:tr>
      <w:tr w:rsidR="00F62224" w:rsidRPr="002830B4" w14:paraId="6EC9CED0" w14:textId="77777777" w:rsidTr="00EC3D75">
        <w:trPr>
          <w:trHeight w:val="290"/>
          <w:jc w:val="center"/>
        </w:trPr>
        <w:tc>
          <w:tcPr>
            <w:tcW w:w="674" w:type="pct"/>
            <w:noWrap/>
            <w:vAlign w:val="center"/>
            <w:hideMark/>
          </w:tcPr>
          <w:p w14:paraId="088C6EC3" w14:textId="77777777" w:rsidR="00F62224" w:rsidRPr="002830B4" w:rsidRDefault="00F62224" w:rsidP="00EC3D75">
            <w:pPr>
              <w:pStyle w:val="NoSpacing"/>
              <w:jc w:val="center"/>
              <w:rPr>
                <w:rFonts w:eastAsiaTheme="minorEastAsia"/>
                <w:sz w:val="18"/>
                <w:szCs w:val="18"/>
              </w:rPr>
            </w:pPr>
            <w:r w:rsidRPr="002830B4">
              <w:rPr>
                <w:rFonts w:eastAsiaTheme="minorEastAsia"/>
                <w:sz w:val="18"/>
                <w:szCs w:val="18"/>
              </w:rPr>
              <w:t>Climate</w:t>
            </w:r>
          </w:p>
        </w:tc>
        <w:tc>
          <w:tcPr>
            <w:tcW w:w="1160" w:type="pct"/>
            <w:noWrap/>
            <w:vAlign w:val="center"/>
            <w:hideMark/>
          </w:tcPr>
          <w:p w14:paraId="0E81EE02" w14:textId="77777777" w:rsidR="00F62224" w:rsidRPr="002830B4" w:rsidRDefault="00F62224" w:rsidP="00EC3D75">
            <w:pPr>
              <w:pStyle w:val="NoSpacing"/>
              <w:jc w:val="center"/>
              <w:rPr>
                <w:rFonts w:eastAsiaTheme="minorEastAsia"/>
                <w:sz w:val="18"/>
                <w:szCs w:val="18"/>
              </w:rPr>
            </w:pPr>
            <w:r w:rsidRPr="002830B4">
              <w:rPr>
                <w:rFonts w:eastAsiaTheme="minorEastAsia"/>
                <w:sz w:val="18"/>
                <w:szCs w:val="18"/>
              </w:rPr>
              <w:t>ERA5-Land (temperature), CHIRPS v2.0 (precipitation), SPEIbase v2.6 (drought)</w:t>
            </w:r>
          </w:p>
        </w:tc>
        <w:tc>
          <w:tcPr>
            <w:tcW w:w="583" w:type="pct"/>
            <w:noWrap/>
            <w:vAlign w:val="center"/>
            <w:hideMark/>
          </w:tcPr>
          <w:p w14:paraId="29947AED" w14:textId="77777777" w:rsidR="00F62224" w:rsidRPr="002830B4" w:rsidRDefault="00F62224" w:rsidP="00EC3D75">
            <w:pPr>
              <w:pStyle w:val="NoSpacing"/>
              <w:jc w:val="center"/>
              <w:rPr>
                <w:rFonts w:eastAsiaTheme="minorEastAsia"/>
                <w:sz w:val="18"/>
                <w:szCs w:val="18"/>
              </w:rPr>
            </w:pPr>
            <w:r w:rsidRPr="002830B4">
              <w:rPr>
                <w:rFonts w:eastAsiaTheme="minorEastAsia"/>
                <w:sz w:val="18"/>
                <w:szCs w:val="18"/>
              </w:rPr>
              <w:t>2008–2023</w:t>
            </w:r>
          </w:p>
        </w:tc>
        <w:tc>
          <w:tcPr>
            <w:tcW w:w="1292" w:type="pct"/>
            <w:vAlign w:val="center"/>
          </w:tcPr>
          <w:p w14:paraId="06F1430D" w14:textId="7DEFF00B" w:rsidR="00F62224" w:rsidRPr="002830B4" w:rsidRDefault="000C389C" w:rsidP="00EC3D75">
            <w:pPr>
              <w:pStyle w:val="NoSpacing"/>
              <w:jc w:val="center"/>
              <w:rPr>
                <w:rFonts w:eastAsiaTheme="minorEastAsia"/>
                <w:sz w:val="18"/>
                <w:szCs w:val="18"/>
              </w:rPr>
            </w:pPr>
            <w:r w:rsidRPr="000C389C">
              <w:rPr>
                <w:rFonts w:eastAsiaTheme="minorEastAsia"/>
                <w:sz w:val="18"/>
                <w:szCs w:val="18"/>
              </w:rPr>
              <w:t>0.1°; 0.05°; 0.5°</w:t>
            </w:r>
          </w:p>
        </w:tc>
        <w:tc>
          <w:tcPr>
            <w:tcW w:w="1292" w:type="pct"/>
            <w:noWrap/>
            <w:vAlign w:val="center"/>
            <w:hideMark/>
          </w:tcPr>
          <w:p w14:paraId="403C926A" w14:textId="3A41BCB5" w:rsidR="00F62224" w:rsidRPr="002830B4" w:rsidRDefault="00F62224" w:rsidP="00EC3D75">
            <w:pPr>
              <w:pStyle w:val="NoSpacing"/>
              <w:jc w:val="center"/>
              <w:rPr>
                <w:rFonts w:eastAsiaTheme="minorEastAsia"/>
                <w:sz w:val="18"/>
                <w:szCs w:val="18"/>
              </w:rPr>
            </w:pPr>
            <w:r w:rsidRPr="002830B4">
              <w:rPr>
                <w:rFonts w:eastAsiaTheme="minorEastAsia"/>
                <w:sz w:val="18"/>
                <w:szCs w:val="18"/>
              </w:rPr>
              <w:t>Annual mean temperature, GDD, heat stress days (&gt;30°C), seasonal precipitation, SPEI</w:t>
            </w:r>
          </w:p>
        </w:tc>
      </w:tr>
      <w:tr w:rsidR="00F62224" w:rsidRPr="002830B4" w14:paraId="7DBFCA07" w14:textId="77777777" w:rsidTr="00EC3D75">
        <w:trPr>
          <w:trHeight w:val="290"/>
          <w:jc w:val="center"/>
        </w:trPr>
        <w:tc>
          <w:tcPr>
            <w:tcW w:w="674" w:type="pct"/>
            <w:noWrap/>
            <w:vAlign w:val="center"/>
            <w:hideMark/>
          </w:tcPr>
          <w:p w14:paraId="4F0FE764" w14:textId="77777777" w:rsidR="00F62224" w:rsidRPr="002830B4" w:rsidRDefault="00F62224" w:rsidP="00EC3D75">
            <w:pPr>
              <w:pStyle w:val="NoSpacing"/>
              <w:jc w:val="center"/>
              <w:rPr>
                <w:rFonts w:eastAsiaTheme="minorEastAsia"/>
                <w:sz w:val="18"/>
                <w:szCs w:val="18"/>
              </w:rPr>
            </w:pPr>
            <w:r w:rsidRPr="002830B4">
              <w:rPr>
                <w:rFonts w:eastAsiaTheme="minorEastAsia"/>
                <w:sz w:val="18"/>
                <w:szCs w:val="18"/>
              </w:rPr>
              <w:t>Yield and Fertilization</w:t>
            </w:r>
          </w:p>
        </w:tc>
        <w:tc>
          <w:tcPr>
            <w:tcW w:w="1160" w:type="pct"/>
            <w:noWrap/>
            <w:vAlign w:val="center"/>
            <w:hideMark/>
          </w:tcPr>
          <w:p w14:paraId="302CBB79" w14:textId="77777777" w:rsidR="00F62224" w:rsidRPr="002830B4" w:rsidRDefault="00F62224" w:rsidP="00EC3D75">
            <w:pPr>
              <w:pStyle w:val="NoSpacing"/>
              <w:jc w:val="center"/>
              <w:rPr>
                <w:rFonts w:eastAsiaTheme="minorEastAsia"/>
                <w:sz w:val="18"/>
                <w:szCs w:val="18"/>
              </w:rPr>
            </w:pPr>
            <w:r w:rsidRPr="002830B4">
              <w:rPr>
                <w:rFonts w:eastAsiaTheme="minorEastAsia"/>
                <w:sz w:val="18"/>
                <w:szCs w:val="18"/>
              </w:rPr>
              <w:t>FCU of TUM PTC</w:t>
            </w:r>
          </w:p>
        </w:tc>
        <w:tc>
          <w:tcPr>
            <w:tcW w:w="583" w:type="pct"/>
            <w:noWrap/>
            <w:vAlign w:val="center"/>
            <w:hideMark/>
          </w:tcPr>
          <w:p w14:paraId="3F20EA1F" w14:textId="77777777" w:rsidR="00F62224" w:rsidRPr="002830B4" w:rsidRDefault="00F62224" w:rsidP="00EC3D75">
            <w:pPr>
              <w:pStyle w:val="NoSpacing"/>
              <w:jc w:val="center"/>
              <w:rPr>
                <w:rFonts w:eastAsiaTheme="minorEastAsia"/>
                <w:sz w:val="18"/>
                <w:szCs w:val="18"/>
              </w:rPr>
            </w:pPr>
            <w:r w:rsidRPr="002830B4">
              <w:rPr>
                <w:rFonts w:eastAsiaTheme="minorEastAsia"/>
                <w:sz w:val="18"/>
                <w:szCs w:val="18"/>
              </w:rPr>
              <w:t>2008–2018</w:t>
            </w:r>
          </w:p>
        </w:tc>
        <w:tc>
          <w:tcPr>
            <w:tcW w:w="1292" w:type="pct"/>
            <w:vAlign w:val="center"/>
          </w:tcPr>
          <w:p w14:paraId="3BF48D1E" w14:textId="64AC7E85" w:rsidR="00F62224" w:rsidRPr="002830B4" w:rsidRDefault="00EC3D75" w:rsidP="00EC3D75">
            <w:pPr>
              <w:pStyle w:val="NoSpacing"/>
              <w:jc w:val="center"/>
              <w:rPr>
                <w:rFonts w:eastAsiaTheme="minorEastAsia"/>
                <w:sz w:val="18"/>
                <w:szCs w:val="18"/>
              </w:rPr>
            </w:pPr>
            <w:r w:rsidRPr="000C389C">
              <w:rPr>
                <w:rFonts w:eastAsiaTheme="minorEastAsia"/>
                <w:sz w:val="18"/>
                <w:szCs w:val="18"/>
              </w:rPr>
              <w:t>Field boundary level</w:t>
            </w:r>
          </w:p>
        </w:tc>
        <w:tc>
          <w:tcPr>
            <w:tcW w:w="1292" w:type="pct"/>
            <w:noWrap/>
            <w:vAlign w:val="center"/>
            <w:hideMark/>
          </w:tcPr>
          <w:p w14:paraId="6CC286F1" w14:textId="0367B0C1" w:rsidR="00F62224" w:rsidRPr="002830B4" w:rsidRDefault="00F62224" w:rsidP="00EC3D75">
            <w:pPr>
              <w:pStyle w:val="NoSpacing"/>
              <w:jc w:val="center"/>
              <w:rPr>
                <w:rFonts w:eastAsiaTheme="minorEastAsia"/>
                <w:sz w:val="18"/>
                <w:szCs w:val="18"/>
              </w:rPr>
            </w:pPr>
            <w:r w:rsidRPr="002830B4">
              <w:rPr>
                <w:rFonts w:eastAsiaTheme="minorEastAsia"/>
                <w:sz w:val="18"/>
                <w:szCs w:val="18"/>
              </w:rPr>
              <w:t>Plot-level yield, fertilizer type and amount</w:t>
            </w:r>
          </w:p>
        </w:tc>
      </w:tr>
    </w:tbl>
    <w:p w14:paraId="3C211084" w14:textId="3C08D66E" w:rsidR="00B20CDD" w:rsidRDefault="005A2279" w:rsidP="005A2279">
      <w:pPr>
        <w:pStyle w:val="NoSpacing"/>
        <w:spacing w:beforeLines="50" w:before="163" w:after="100" w:afterAutospacing="1"/>
        <w:rPr>
          <w:rFonts w:eastAsia="DengXian" w:cs="Times New Roman"/>
        </w:rPr>
      </w:pPr>
      <w:r w:rsidRPr="005A2279">
        <w:rPr>
          <w:rFonts w:eastAsia="DengXian" w:cs="Times New Roman"/>
        </w:rPr>
        <w:t>Additional metrics were developed to capture rotation dynamics, reflecting temporal changes in functional group composition (</w:t>
      </w:r>
      <w:r>
        <w:rPr>
          <w:rFonts w:eastAsia="DengXian" w:cs="Times New Roman" w:hint="eastAsia"/>
        </w:rPr>
        <w:t>Table S3</w:t>
      </w:r>
      <w:r w:rsidRPr="005A2279">
        <w:rPr>
          <w:rFonts w:eastAsia="DengXian" w:cs="Times New Roman"/>
        </w:rPr>
        <w:t>).</w:t>
      </w:r>
    </w:p>
    <w:p w14:paraId="59379436" w14:textId="04DC3F7E" w:rsidR="005A2279" w:rsidRPr="005A2279" w:rsidRDefault="005A2279" w:rsidP="005A2279">
      <w:pPr>
        <w:pStyle w:val="NoSpacing"/>
        <w:rPr>
          <w:rFonts w:eastAsiaTheme="minorEastAsia"/>
          <w:b/>
          <w:bCs/>
          <w:sz w:val="18"/>
          <w:szCs w:val="18"/>
        </w:rPr>
      </w:pPr>
      <w:bookmarkStart w:id="1" w:name="_Ref204886899"/>
      <w:r w:rsidRPr="005A2279">
        <w:rPr>
          <w:rFonts w:eastAsiaTheme="minorEastAsia"/>
          <w:b/>
          <w:bCs/>
          <w:sz w:val="18"/>
          <w:szCs w:val="18"/>
        </w:rPr>
        <w:t>Table</w:t>
      </w:r>
      <w:bookmarkEnd w:id="1"/>
      <w:r w:rsidR="00EE63C9">
        <w:rPr>
          <w:rFonts w:eastAsiaTheme="minorEastAsia"/>
          <w:b/>
          <w:bCs/>
          <w:sz w:val="18"/>
          <w:szCs w:val="18"/>
        </w:rPr>
        <w:t xml:space="preserve"> S3</w:t>
      </w:r>
      <w:r w:rsidRPr="005A2279">
        <w:rPr>
          <w:rFonts w:eastAsiaTheme="minorEastAsia"/>
          <w:b/>
          <w:bCs/>
          <w:sz w:val="18"/>
          <w:szCs w:val="18"/>
        </w:rPr>
        <w:t xml:space="preserve">. </w:t>
      </w:r>
      <w:bookmarkStart w:id="2" w:name="OLE_LINK32"/>
      <w:r w:rsidRPr="005A2279">
        <w:rPr>
          <w:rFonts w:eastAsiaTheme="minorEastAsia"/>
          <w:b/>
          <w:bCs/>
          <w:sz w:val="18"/>
          <w:szCs w:val="18"/>
        </w:rPr>
        <w:t>Crop Rotation Indicators</w:t>
      </w:r>
      <w:bookmarkEnd w:id="2"/>
    </w:p>
    <w:tbl>
      <w:tblPr>
        <w:tblStyle w:val="3"/>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1"/>
        <w:gridCol w:w="4345"/>
        <w:gridCol w:w="3610"/>
      </w:tblGrid>
      <w:tr w:rsidR="005A2279" w:rsidRPr="005A2279" w14:paraId="26FB294D" w14:textId="77777777" w:rsidTr="002B3EE5">
        <w:trPr>
          <w:trHeight w:val="290"/>
          <w:jc w:val="center"/>
        </w:trPr>
        <w:tc>
          <w:tcPr>
            <w:tcW w:w="1034" w:type="pct"/>
            <w:tcBorders>
              <w:top w:val="single" w:sz="4" w:space="0" w:color="auto"/>
              <w:bottom w:val="single" w:sz="4" w:space="0" w:color="auto"/>
            </w:tcBorders>
            <w:noWrap/>
            <w:hideMark/>
          </w:tcPr>
          <w:p w14:paraId="443DD0F4" w14:textId="77777777" w:rsidR="005A2279" w:rsidRPr="005A2279" w:rsidRDefault="005A2279" w:rsidP="005A2279">
            <w:pPr>
              <w:pStyle w:val="NoSpacing"/>
              <w:jc w:val="center"/>
              <w:rPr>
                <w:rFonts w:eastAsiaTheme="minorEastAsia"/>
                <w:sz w:val="18"/>
                <w:szCs w:val="18"/>
              </w:rPr>
            </w:pPr>
            <w:bookmarkStart w:id="3" w:name="OLE_LINK31"/>
            <w:r w:rsidRPr="005A2279">
              <w:rPr>
                <w:rFonts w:eastAsiaTheme="minorEastAsia"/>
                <w:sz w:val="18"/>
                <w:szCs w:val="18"/>
              </w:rPr>
              <w:t>Indicator</w:t>
            </w:r>
          </w:p>
        </w:tc>
        <w:tc>
          <w:tcPr>
            <w:tcW w:w="1815" w:type="pct"/>
            <w:tcBorders>
              <w:top w:val="single" w:sz="4" w:space="0" w:color="auto"/>
              <w:bottom w:val="single" w:sz="4" w:space="0" w:color="auto"/>
            </w:tcBorders>
            <w:noWrap/>
            <w:hideMark/>
          </w:tcPr>
          <w:p w14:paraId="12860BB7" w14:textId="77777777" w:rsidR="005A2279" w:rsidRPr="005A2279" w:rsidRDefault="005A2279" w:rsidP="005A2279">
            <w:pPr>
              <w:pStyle w:val="NoSpacing"/>
              <w:jc w:val="center"/>
              <w:rPr>
                <w:rFonts w:eastAsiaTheme="minorEastAsia"/>
                <w:sz w:val="18"/>
                <w:szCs w:val="18"/>
              </w:rPr>
            </w:pPr>
            <w:r w:rsidRPr="005A2279">
              <w:rPr>
                <w:rFonts w:eastAsiaTheme="minorEastAsia"/>
                <w:sz w:val="18"/>
                <w:szCs w:val="18"/>
              </w:rPr>
              <w:t>Description</w:t>
            </w:r>
          </w:p>
        </w:tc>
        <w:tc>
          <w:tcPr>
            <w:tcW w:w="2151" w:type="pct"/>
            <w:tcBorders>
              <w:top w:val="single" w:sz="4" w:space="0" w:color="auto"/>
              <w:bottom w:val="single" w:sz="4" w:space="0" w:color="auto"/>
            </w:tcBorders>
            <w:noWrap/>
            <w:hideMark/>
          </w:tcPr>
          <w:p w14:paraId="3B7C349C" w14:textId="77777777" w:rsidR="005A2279" w:rsidRPr="005A2279" w:rsidRDefault="005A2279" w:rsidP="005A2279">
            <w:pPr>
              <w:pStyle w:val="NoSpacing"/>
              <w:jc w:val="center"/>
              <w:rPr>
                <w:rFonts w:eastAsiaTheme="minorEastAsia"/>
                <w:sz w:val="18"/>
                <w:szCs w:val="18"/>
              </w:rPr>
            </w:pPr>
            <w:r w:rsidRPr="005A2279">
              <w:rPr>
                <w:rFonts w:eastAsiaTheme="minorEastAsia"/>
                <w:sz w:val="18"/>
                <w:szCs w:val="18"/>
              </w:rPr>
              <w:t>Purpose</w:t>
            </w:r>
          </w:p>
        </w:tc>
      </w:tr>
      <w:tr w:rsidR="005A2279" w:rsidRPr="005A2279" w14:paraId="10F811C9" w14:textId="77777777" w:rsidTr="002B3EE5">
        <w:trPr>
          <w:trHeight w:val="290"/>
          <w:jc w:val="center"/>
        </w:trPr>
        <w:tc>
          <w:tcPr>
            <w:tcW w:w="1034" w:type="pct"/>
            <w:tcBorders>
              <w:top w:val="single" w:sz="4" w:space="0" w:color="auto"/>
            </w:tcBorders>
            <w:noWrap/>
            <w:hideMark/>
          </w:tcPr>
          <w:p w14:paraId="0C6C46A4" w14:textId="77777777" w:rsidR="005A2279" w:rsidRPr="005A2279" w:rsidRDefault="005A2279" w:rsidP="005A2279">
            <w:pPr>
              <w:pStyle w:val="NoSpacing"/>
              <w:jc w:val="center"/>
              <w:rPr>
                <w:rFonts w:eastAsiaTheme="minorEastAsia"/>
                <w:sz w:val="18"/>
                <w:szCs w:val="18"/>
              </w:rPr>
            </w:pPr>
            <w:r w:rsidRPr="005A2279">
              <w:rPr>
                <w:rFonts w:eastAsiaTheme="minorEastAsia"/>
                <w:sz w:val="18"/>
                <w:szCs w:val="18"/>
              </w:rPr>
              <w:t>Structural Richness (SR)</w:t>
            </w:r>
          </w:p>
        </w:tc>
        <w:tc>
          <w:tcPr>
            <w:tcW w:w="1815" w:type="pct"/>
            <w:tcBorders>
              <w:top w:val="single" w:sz="4" w:space="0" w:color="auto"/>
            </w:tcBorders>
            <w:noWrap/>
            <w:hideMark/>
          </w:tcPr>
          <w:p w14:paraId="30DEC8FC" w14:textId="77777777" w:rsidR="005A2279" w:rsidRPr="005A2279" w:rsidRDefault="005A2279" w:rsidP="005A2279">
            <w:pPr>
              <w:pStyle w:val="NoSpacing"/>
              <w:jc w:val="center"/>
              <w:rPr>
                <w:rFonts w:eastAsiaTheme="minorEastAsia"/>
                <w:sz w:val="18"/>
                <w:szCs w:val="18"/>
              </w:rPr>
            </w:pPr>
            <w:r w:rsidRPr="005A2279">
              <w:rPr>
                <w:rFonts w:eastAsiaTheme="minorEastAsia"/>
                <w:sz w:val="18"/>
                <w:szCs w:val="18"/>
              </w:rPr>
              <w:t>Number of distinct crop species within the rotation sequence.</w:t>
            </w:r>
          </w:p>
        </w:tc>
        <w:tc>
          <w:tcPr>
            <w:tcW w:w="2151" w:type="pct"/>
            <w:tcBorders>
              <w:top w:val="single" w:sz="4" w:space="0" w:color="auto"/>
            </w:tcBorders>
            <w:noWrap/>
            <w:hideMark/>
          </w:tcPr>
          <w:p w14:paraId="6DD1495B" w14:textId="77777777" w:rsidR="005A2279" w:rsidRPr="005A2279" w:rsidRDefault="005A2279" w:rsidP="005A2279">
            <w:pPr>
              <w:pStyle w:val="NoSpacing"/>
              <w:jc w:val="center"/>
              <w:rPr>
                <w:rFonts w:eastAsiaTheme="minorEastAsia"/>
                <w:sz w:val="18"/>
                <w:szCs w:val="18"/>
              </w:rPr>
            </w:pPr>
            <w:r w:rsidRPr="005A2279">
              <w:rPr>
                <w:rFonts w:eastAsiaTheme="minorEastAsia"/>
                <w:sz w:val="18"/>
                <w:szCs w:val="18"/>
              </w:rPr>
              <w:t>To measure crop-level rotational diversity.</w:t>
            </w:r>
          </w:p>
        </w:tc>
      </w:tr>
      <w:tr w:rsidR="005A2279" w:rsidRPr="005A2279" w14:paraId="03D00FFB" w14:textId="77777777" w:rsidTr="002B3EE5">
        <w:trPr>
          <w:trHeight w:val="290"/>
          <w:jc w:val="center"/>
        </w:trPr>
        <w:tc>
          <w:tcPr>
            <w:tcW w:w="1034" w:type="pct"/>
            <w:noWrap/>
            <w:hideMark/>
          </w:tcPr>
          <w:p w14:paraId="17CF0AE3" w14:textId="77777777" w:rsidR="005A2279" w:rsidRPr="005A2279" w:rsidRDefault="005A2279" w:rsidP="005A2279">
            <w:pPr>
              <w:pStyle w:val="NoSpacing"/>
              <w:jc w:val="center"/>
              <w:rPr>
                <w:rFonts w:eastAsiaTheme="minorEastAsia"/>
                <w:sz w:val="18"/>
                <w:szCs w:val="18"/>
              </w:rPr>
            </w:pPr>
            <w:r w:rsidRPr="005A2279">
              <w:rPr>
                <w:rFonts w:eastAsiaTheme="minorEastAsia"/>
                <w:sz w:val="18"/>
                <w:szCs w:val="18"/>
              </w:rPr>
              <w:t>Structural Shannon Index (H′S)</w:t>
            </w:r>
          </w:p>
        </w:tc>
        <w:tc>
          <w:tcPr>
            <w:tcW w:w="1815" w:type="pct"/>
            <w:noWrap/>
            <w:hideMark/>
          </w:tcPr>
          <w:p w14:paraId="7CE16926" w14:textId="77777777" w:rsidR="005A2279" w:rsidRPr="005A2279" w:rsidRDefault="005A2279" w:rsidP="005A2279">
            <w:pPr>
              <w:pStyle w:val="NoSpacing"/>
              <w:jc w:val="center"/>
              <w:rPr>
                <w:rFonts w:eastAsiaTheme="minorEastAsia"/>
                <w:sz w:val="18"/>
                <w:szCs w:val="18"/>
              </w:rPr>
            </w:pPr>
            <w:r w:rsidRPr="005A2279">
              <w:rPr>
                <w:rFonts w:eastAsiaTheme="minorEastAsia"/>
                <w:sz w:val="18"/>
                <w:szCs w:val="18"/>
              </w:rPr>
              <w:t>Shannon index capturing both richness and evenness of crop species in the sequence.</w:t>
            </w:r>
          </w:p>
        </w:tc>
        <w:tc>
          <w:tcPr>
            <w:tcW w:w="2151" w:type="pct"/>
            <w:noWrap/>
            <w:hideMark/>
          </w:tcPr>
          <w:p w14:paraId="6E8BC9F8" w14:textId="77777777" w:rsidR="005A2279" w:rsidRPr="005A2279" w:rsidRDefault="005A2279" w:rsidP="005A2279">
            <w:pPr>
              <w:pStyle w:val="NoSpacing"/>
              <w:jc w:val="center"/>
              <w:rPr>
                <w:rFonts w:eastAsiaTheme="minorEastAsia"/>
                <w:sz w:val="18"/>
                <w:szCs w:val="18"/>
              </w:rPr>
            </w:pPr>
            <w:r w:rsidRPr="005A2279">
              <w:rPr>
                <w:rFonts w:eastAsiaTheme="minorEastAsia"/>
                <w:sz w:val="18"/>
                <w:szCs w:val="18"/>
              </w:rPr>
              <w:t>To assess the structural complexity and balance of crop types.</w:t>
            </w:r>
          </w:p>
        </w:tc>
      </w:tr>
      <w:tr w:rsidR="005A2279" w:rsidRPr="005A2279" w14:paraId="607F27B5" w14:textId="77777777" w:rsidTr="002B3EE5">
        <w:trPr>
          <w:trHeight w:val="290"/>
          <w:jc w:val="center"/>
        </w:trPr>
        <w:tc>
          <w:tcPr>
            <w:tcW w:w="1034" w:type="pct"/>
            <w:noWrap/>
            <w:hideMark/>
          </w:tcPr>
          <w:p w14:paraId="6001BE6A" w14:textId="77777777" w:rsidR="005A2279" w:rsidRPr="005A2279" w:rsidRDefault="005A2279" w:rsidP="005A2279">
            <w:pPr>
              <w:pStyle w:val="NoSpacing"/>
              <w:jc w:val="center"/>
              <w:rPr>
                <w:rFonts w:eastAsiaTheme="minorEastAsia"/>
                <w:sz w:val="18"/>
                <w:szCs w:val="18"/>
              </w:rPr>
            </w:pPr>
            <w:r w:rsidRPr="005A2279">
              <w:rPr>
                <w:rFonts w:eastAsiaTheme="minorEastAsia"/>
                <w:sz w:val="18"/>
                <w:szCs w:val="18"/>
              </w:rPr>
              <w:t>Functional Richness (FR)</w:t>
            </w:r>
          </w:p>
        </w:tc>
        <w:tc>
          <w:tcPr>
            <w:tcW w:w="1815" w:type="pct"/>
            <w:noWrap/>
            <w:hideMark/>
          </w:tcPr>
          <w:p w14:paraId="3DF2C51F" w14:textId="77777777" w:rsidR="005A2279" w:rsidRPr="005A2279" w:rsidRDefault="005A2279" w:rsidP="005A2279">
            <w:pPr>
              <w:pStyle w:val="NoSpacing"/>
              <w:jc w:val="center"/>
              <w:rPr>
                <w:rFonts w:eastAsiaTheme="minorEastAsia"/>
                <w:sz w:val="18"/>
                <w:szCs w:val="18"/>
              </w:rPr>
            </w:pPr>
            <w:r w:rsidRPr="005A2279">
              <w:rPr>
                <w:rFonts w:eastAsiaTheme="minorEastAsia"/>
                <w:sz w:val="18"/>
                <w:szCs w:val="18"/>
              </w:rPr>
              <w:t>Number of distinct functional crop groups (cereal, legume, leaf) in the rotation.</w:t>
            </w:r>
          </w:p>
        </w:tc>
        <w:tc>
          <w:tcPr>
            <w:tcW w:w="2151" w:type="pct"/>
            <w:noWrap/>
            <w:hideMark/>
          </w:tcPr>
          <w:p w14:paraId="2580FD39" w14:textId="77777777" w:rsidR="005A2279" w:rsidRPr="005A2279" w:rsidRDefault="005A2279" w:rsidP="005A2279">
            <w:pPr>
              <w:pStyle w:val="NoSpacing"/>
              <w:jc w:val="center"/>
              <w:rPr>
                <w:rFonts w:eastAsiaTheme="minorEastAsia"/>
                <w:sz w:val="18"/>
                <w:szCs w:val="18"/>
              </w:rPr>
            </w:pPr>
            <w:r w:rsidRPr="005A2279">
              <w:rPr>
                <w:rFonts w:eastAsiaTheme="minorEastAsia"/>
                <w:sz w:val="18"/>
                <w:szCs w:val="18"/>
              </w:rPr>
              <w:t>To evaluate diversity in ecological functions of crops in the sequence.</w:t>
            </w:r>
          </w:p>
        </w:tc>
      </w:tr>
      <w:tr w:rsidR="005A2279" w:rsidRPr="005A2279" w14:paraId="24AD18A7" w14:textId="77777777" w:rsidTr="002B3EE5">
        <w:trPr>
          <w:trHeight w:val="290"/>
          <w:jc w:val="center"/>
        </w:trPr>
        <w:tc>
          <w:tcPr>
            <w:tcW w:w="1034" w:type="pct"/>
            <w:noWrap/>
            <w:hideMark/>
          </w:tcPr>
          <w:p w14:paraId="092326D8" w14:textId="77777777" w:rsidR="005A2279" w:rsidRPr="005A2279" w:rsidRDefault="005A2279" w:rsidP="005A2279">
            <w:pPr>
              <w:pStyle w:val="NoSpacing"/>
              <w:jc w:val="center"/>
              <w:rPr>
                <w:rFonts w:eastAsiaTheme="minorEastAsia"/>
                <w:sz w:val="18"/>
                <w:szCs w:val="18"/>
              </w:rPr>
            </w:pPr>
            <w:r w:rsidRPr="005A2279">
              <w:rPr>
                <w:rFonts w:eastAsiaTheme="minorEastAsia"/>
                <w:sz w:val="18"/>
                <w:szCs w:val="18"/>
              </w:rPr>
              <w:t>Functional Shannon Index (H′F)</w:t>
            </w:r>
          </w:p>
        </w:tc>
        <w:tc>
          <w:tcPr>
            <w:tcW w:w="1815" w:type="pct"/>
            <w:noWrap/>
            <w:hideMark/>
          </w:tcPr>
          <w:p w14:paraId="2495E903" w14:textId="77777777" w:rsidR="005A2279" w:rsidRPr="005A2279" w:rsidRDefault="005A2279" w:rsidP="005A2279">
            <w:pPr>
              <w:pStyle w:val="NoSpacing"/>
              <w:jc w:val="center"/>
              <w:rPr>
                <w:rFonts w:eastAsiaTheme="minorEastAsia"/>
                <w:sz w:val="18"/>
                <w:szCs w:val="18"/>
              </w:rPr>
            </w:pPr>
            <w:r w:rsidRPr="005A2279">
              <w:rPr>
                <w:rFonts w:eastAsiaTheme="minorEastAsia"/>
                <w:sz w:val="18"/>
                <w:szCs w:val="18"/>
              </w:rPr>
              <w:t>Shannon index based on the distribution of functional crop groups.</w:t>
            </w:r>
          </w:p>
        </w:tc>
        <w:tc>
          <w:tcPr>
            <w:tcW w:w="2151" w:type="pct"/>
            <w:noWrap/>
            <w:hideMark/>
          </w:tcPr>
          <w:p w14:paraId="2618E8F0" w14:textId="77777777" w:rsidR="005A2279" w:rsidRPr="005A2279" w:rsidRDefault="005A2279" w:rsidP="005A2279">
            <w:pPr>
              <w:pStyle w:val="NoSpacing"/>
              <w:jc w:val="center"/>
              <w:rPr>
                <w:rFonts w:eastAsiaTheme="minorEastAsia"/>
                <w:sz w:val="18"/>
                <w:szCs w:val="18"/>
              </w:rPr>
            </w:pPr>
            <w:r w:rsidRPr="005A2279">
              <w:rPr>
                <w:rFonts w:eastAsiaTheme="minorEastAsia"/>
                <w:sz w:val="18"/>
                <w:szCs w:val="18"/>
              </w:rPr>
              <w:t>To assess functional balance and complexity within crop rotations.</w:t>
            </w:r>
          </w:p>
        </w:tc>
      </w:tr>
      <w:tr w:rsidR="005A2279" w:rsidRPr="005A2279" w14:paraId="61F35991" w14:textId="77777777" w:rsidTr="002B3EE5">
        <w:trPr>
          <w:trHeight w:val="290"/>
          <w:jc w:val="center"/>
        </w:trPr>
        <w:tc>
          <w:tcPr>
            <w:tcW w:w="1034" w:type="pct"/>
            <w:noWrap/>
            <w:hideMark/>
          </w:tcPr>
          <w:p w14:paraId="1F9793DD" w14:textId="77777777" w:rsidR="005A2279" w:rsidRPr="005A2279" w:rsidRDefault="005A2279" w:rsidP="005A2279">
            <w:pPr>
              <w:pStyle w:val="NoSpacing"/>
              <w:jc w:val="center"/>
              <w:rPr>
                <w:rFonts w:eastAsiaTheme="minorEastAsia"/>
                <w:sz w:val="18"/>
                <w:szCs w:val="18"/>
              </w:rPr>
            </w:pPr>
            <w:r w:rsidRPr="005A2279">
              <w:rPr>
                <w:rFonts w:eastAsiaTheme="minorEastAsia"/>
                <w:sz w:val="18"/>
                <w:szCs w:val="18"/>
              </w:rPr>
              <w:t>Switch Count</w:t>
            </w:r>
          </w:p>
        </w:tc>
        <w:tc>
          <w:tcPr>
            <w:tcW w:w="1815" w:type="pct"/>
            <w:noWrap/>
            <w:hideMark/>
          </w:tcPr>
          <w:p w14:paraId="15104CEB" w14:textId="77777777" w:rsidR="005A2279" w:rsidRPr="005A2279" w:rsidRDefault="005A2279" w:rsidP="005A2279">
            <w:pPr>
              <w:pStyle w:val="NoSpacing"/>
              <w:jc w:val="center"/>
              <w:rPr>
                <w:rFonts w:eastAsiaTheme="minorEastAsia"/>
                <w:sz w:val="18"/>
                <w:szCs w:val="18"/>
              </w:rPr>
            </w:pPr>
            <w:r w:rsidRPr="005A2279">
              <w:rPr>
                <w:rFonts w:eastAsiaTheme="minorEastAsia"/>
                <w:sz w:val="18"/>
                <w:szCs w:val="18"/>
              </w:rPr>
              <w:t>Total number of functional group transitions within the sequence.</w:t>
            </w:r>
          </w:p>
        </w:tc>
        <w:tc>
          <w:tcPr>
            <w:tcW w:w="2151" w:type="pct"/>
            <w:noWrap/>
            <w:hideMark/>
          </w:tcPr>
          <w:p w14:paraId="2D639FB9" w14:textId="77777777" w:rsidR="005A2279" w:rsidRPr="005A2279" w:rsidRDefault="005A2279" w:rsidP="005A2279">
            <w:pPr>
              <w:pStyle w:val="NoSpacing"/>
              <w:jc w:val="center"/>
              <w:rPr>
                <w:rFonts w:eastAsiaTheme="minorEastAsia"/>
                <w:sz w:val="18"/>
                <w:szCs w:val="18"/>
              </w:rPr>
            </w:pPr>
            <w:r w:rsidRPr="005A2279">
              <w:rPr>
                <w:rFonts w:eastAsiaTheme="minorEastAsia"/>
                <w:sz w:val="18"/>
                <w:szCs w:val="18"/>
              </w:rPr>
              <w:t>To capture the frequency of functional group changes over time.</w:t>
            </w:r>
          </w:p>
        </w:tc>
      </w:tr>
      <w:tr w:rsidR="005A2279" w:rsidRPr="005A2279" w14:paraId="1EA3ECD7" w14:textId="77777777" w:rsidTr="002B3EE5">
        <w:trPr>
          <w:trHeight w:val="290"/>
          <w:jc w:val="center"/>
        </w:trPr>
        <w:tc>
          <w:tcPr>
            <w:tcW w:w="1034" w:type="pct"/>
            <w:noWrap/>
            <w:hideMark/>
          </w:tcPr>
          <w:p w14:paraId="4FBFF5F4" w14:textId="77777777" w:rsidR="005A2279" w:rsidRPr="005A2279" w:rsidRDefault="005A2279" w:rsidP="005A2279">
            <w:pPr>
              <w:pStyle w:val="NoSpacing"/>
              <w:jc w:val="center"/>
              <w:rPr>
                <w:rFonts w:eastAsiaTheme="minorEastAsia"/>
                <w:sz w:val="18"/>
                <w:szCs w:val="18"/>
              </w:rPr>
            </w:pPr>
            <w:r w:rsidRPr="005A2279">
              <w:rPr>
                <w:rFonts w:eastAsiaTheme="minorEastAsia"/>
                <w:sz w:val="18"/>
                <w:szCs w:val="18"/>
              </w:rPr>
              <w:lastRenderedPageBreak/>
              <w:t>Switch Ratio</w:t>
            </w:r>
          </w:p>
        </w:tc>
        <w:tc>
          <w:tcPr>
            <w:tcW w:w="1815" w:type="pct"/>
            <w:noWrap/>
            <w:hideMark/>
          </w:tcPr>
          <w:p w14:paraId="124B6929" w14:textId="77777777" w:rsidR="005A2279" w:rsidRPr="005A2279" w:rsidRDefault="005A2279" w:rsidP="005A2279">
            <w:pPr>
              <w:pStyle w:val="NoSpacing"/>
              <w:jc w:val="center"/>
              <w:rPr>
                <w:rFonts w:eastAsiaTheme="minorEastAsia"/>
                <w:sz w:val="18"/>
                <w:szCs w:val="18"/>
              </w:rPr>
            </w:pPr>
            <w:r w:rsidRPr="005A2279">
              <w:rPr>
                <w:rFonts w:eastAsiaTheme="minorEastAsia"/>
                <w:sz w:val="18"/>
                <w:szCs w:val="18"/>
              </w:rPr>
              <w:t>Normalized transition frequency per year</w:t>
            </w:r>
          </w:p>
        </w:tc>
        <w:tc>
          <w:tcPr>
            <w:tcW w:w="2151" w:type="pct"/>
            <w:noWrap/>
            <w:hideMark/>
          </w:tcPr>
          <w:p w14:paraId="720E035D" w14:textId="77777777" w:rsidR="005A2279" w:rsidRPr="005A2279" w:rsidRDefault="005A2279" w:rsidP="005A2279">
            <w:pPr>
              <w:pStyle w:val="NoSpacing"/>
              <w:jc w:val="center"/>
              <w:rPr>
                <w:rFonts w:eastAsiaTheme="minorEastAsia"/>
                <w:sz w:val="18"/>
                <w:szCs w:val="18"/>
              </w:rPr>
            </w:pPr>
            <w:r w:rsidRPr="005A2279">
              <w:rPr>
                <w:rFonts w:eastAsiaTheme="minorEastAsia"/>
                <w:sz w:val="18"/>
                <w:szCs w:val="18"/>
              </w:rPr>
              <w:t>To normalize transition frequency across years.</w:t>
            </w:r>
          </w:p>
        </w:tc>
      </w:tr>
      <w:tr w:rsidR="005A2279" w:rsidRPr="005A2279" w14:paraId="3680D2E0" w14:textId="77777777" w:rsidTr="002B3EE5">
        <w:trPr>
          <w:trHeight w:val="290"/>
          <w:jc w:val="center"/>
        </w:trPr>
        <w:tc>
          <w:tcPr>
            <w:tcW w:w="1034" w:type="pct"/>
            <w:noWrap/>
            <w:hideMark/>
          </w:tcPr>
          <w:p w14:paraId="11C1B6DF" w14:textId="77777777" w:rsidR="005A2279" w:rsidRPr="005A2279" w:rsidRDefault="005A2279" w:rsidP="005A2279">
            <w:pPr>
              <w:spacing w:after="0" w:line="240" w:lineRule="auto"/>
              <w:jc w:val="center"/>
              <w:rPr>
                <w:rFonts w:eastAsia="DengXian" w:cs="Times New Roman"/>
                <w:sz w:val="18"/>
                <w:szCs w:val="18"/>
              </w:rPr>
            </w:pPr>
            <w:r w:rsidRPr="005A2279">
              <w:rPr>
                <w:rFonts w:eastAsia="DengXian" w:cs="Times New Roman"/>
                <w:sz w:val="18"/>
                <w:szCs w:val="18"/>
              </w:rPr>
              <w:t>Mono Repeat</w:t>
            </w:r>
          </w:p>
        </w:tc>
        <w:tc>
          <w:tcPr>
            <w:tcW w:w="1815" w:type="pct"/>
            <w:noWrap/>
            <w:hideMark/>
          </w:tcPr>
          <w:p w14:paraId="4F91366B" w14:textId="77777777" w:rsidR="005A2279" w:rsidRPr="005A2279" w:rsidRDefault="005A2279" w:rsidP="005A2279">
            <w:pPr>
              <w:spacing w:after="0" w:line="240" w:lineRule="auto"/>
              <w:jc w:val="center"/>
              <w:rPr>
                <w:rFonts w:eastAsia="DengXian" w:cs="Times New Roman"/>
                <w:sz w:val="18"/>
                <w:szCs w:val="18"/>
              </w:rPr>
            </w:pPr>
            <w:r w:rsidRPr="005A2279">
              <w:rPr>
                <w:rFonts w:eastAsia="DengXian" w:cs="Times New Roman"/>
                <w:sz w:val="18"/>
                <w:szCs w:val="18"/>
              </w:rPr>
              <w:t>Maximum consecutive years of monoculture (same crop).</w:t>
            </w:r>
          </w:p>
        </w:tc>
        <w:tc>
          <w:tcPr>
            <w:tcW w:w="2151" w:type="pct"/>
            <w:noWrap/>
            <w:hideMark/>
          </w:tcPr>
          <w:p w14:paraId="10E18390" w14:textId="77777777" w:rsidR="005A2279" w:rsidRPr="005A2279" w:rsidRDefault="005A2279" w:rsidP="005A2279">
            <w:pPr>
              <w:spacing w:after="0" w:line="240" w:lineRule="auto"/>
              <w:jc w:val="center"/>
              <w:rPr>
                <w:rFonts w:eastAsia="DengXian" w:cs="Times New Roman"/>
                <w:sz w:val="18"/>
                <w:szCs w:val="18"/>
              </w:rPr>
            </w:pPr>
            <w:r w:rsidRPr="005A2279">
              <w:rPr>
                <w:rFonts w:eastAsia="DengXian" w:cs="Times New Roman"/>
                <w:sz w:val="18"/>
                <w:szCs w:val="18"/>
              </w:rPr>
              <w:t>To assess the persistence of monoculture practices.</w:t>
            </w:r>
          </w:p>
        </w:tc>
      </w:tr>
    </w:tbl>
    <w:bookmarkEnd w:id="3"/>
    <w:p w14:paraId="0E7549D2" w14:textId="77777777" w:rsidR="003E18AB" w:rsidRDefault="003E18AB" w:rsidP="003E18AB">
      <w:pPr>
        <w:rPr>
          <w:rFonts w:eastAsiaTheme="minorEastAsia"/>
        </w:rPr>
      </w:pPr>
      <w:r>
        <w:rPr>
          <w:rFonts w:eastAsiaTheme="minorEastAsia"/>
          <w:noProof/>
        </w:rPr>
        <w:drawing>
          <wp:inline distT="0" distB="0" distL="0" distR="0" wp14:anchorId="724DCCF5" wp14:editId="2DBCBDEE">
            <wp:extent cx="5943600" cy="3021178"/>
            <wp:effectExtent l="0" t="0" r="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rotWithShape="1">
                    <a:blip r:embed="rId7">
                      <a:extLst>
                        <a:ext uri="{28A0092B-C50C-407E-A947-70E740481C1C}">
                          <a14:useLocalDpi xmlns:a14="http://schemas.microsoft.com/office/drawing/2010/main" val="0"/>
                        </a:ext>
                      </a:extLst>
                    </a:blip>
                    <a:srcRect b="9634"/>
                    <a:stretch/>
                  </pic:blipFill>
                  <pic:spPr bwMode="auto">
                    <a:xfrm>
                      <a:off x="0" y="0"/>
                      <a:ext cx="5943600" cy="3021178"/>
                    </a:xfrm>
                    <a:prstGeom prst="rect">
                      <a:avLst/>
                    </a:prstGeom>
                    <a:ln>
                      <a:noFill/>
                    </a:ln>
                    <a:extLst>
                      <a:ext uri="{53640926-AAD7-44D8-BBD7-CCE9431645EC}">
                        <a14:shadowObscured xmlns:a14="http://schemas.microsoft.com/office/drawing/2010/main"/>
                      </a:ext>
                    </a:extLst>
                  </pic:spPr>
                </pic:pic>
              </a:graphicData>
            </a:graphic>
          </wp:inline>
        </w:drawing>
      </w:r>
    </w:p>
    <w:p w14:paraId="449DBC4E" w14:textId="3FB71AF8" w:rsidR="003E18AB" w:rsidRPr="003E18AB" w:rsidRDefault="003E18AB" w:rsidP="003E18AB">
      <w:pPr>
        <w:pStyle w:val="NoSpacing"/>
        <w:rPr>
          <w:rFonts w:eastAsiaTheme="minorEastAsia"/>
          <w:b/>
          <w:bCs/>
          <w:sz w:val="18"/>
          <w:szCs w:val="18"/>
        </w:rPr>
      </w:pPr>
      <w:bookmarkStart w:id="4" w:name="_Ref224308958"/>
      <w:r w:rsidRPr="003E18AB">
        <w:rPr>
          <w:rFonts w:eastAsiaTheme="minorEastAsia"/>
          <w:b/>
          <w:bCs/>
          <w:sz w:val="18"/>
          <w:szCs w:val="18"/>
        </w:rPr>
        <w:t xml:space="preserve">Figure </w:t>
      </w:r>
      <w:r>
        <w:rPr>
          <w:rFonts w:eastAsiaTheme="minorEastAsia" w:hint="eastAsia"/>
          <w:b/>
          <w:bCs/>
          <w:sz w:val="18"/>
          <w:szCs w:val="18"/>
        </w:rPr>
        <w:t>S</w:t>
      </w:r>
      <w:r w:rsidRPr="003E18AB">
        <w:rPr>
          <w:rFonts w:eastAsiaTheme="minorEastAsia"/>
          <w:b/>
          <w:bCs/>
          <w:sz w:val="18"/>
          <w:szCs w:val="18"/>
        </w:rPr>
        <w:fldChar w:fldCharType="begin"/>
      </w:r>
      <w:r w:rsidRPr="003E18AB">
        <w:rPr>
          <w:rFonts w:eastAsiaTheme="minorEastAsia"/>
          <w:b/>
          <w:bCs/>
          <w:sz w:val="18"/>
          <w:szCs w:val="18"/>
        </w:rPr>
        <w:instrText xml:space="preserve"> SEQ Figure \* ARABIC </w:instrText>
      </w:r>
      <w:r w:rsidRPr="003E18AB">
        <w:rPr>
          <w:rFonts w:eastAsiaTheme="minorEastAsia"/>
          <w:b/>
          <w:bCs/>
          <w:sz w:val="18"/>
          <w:szCs w:val="18"/>
        </w:rPr>
        <w:fldChar w:fldCharType="separate"/>
      </w:r>
      <w:r w:rsidRPr="003E18AB">
        <w:rPr>
          <w:rFonts w:eastAsiaTheme="minorEastAsia"/>
          <w:b/>
          <w:bCs/>
          <w:sz w:val="18"/>
          <w:szCs w:val="18"/>
        </w:rPr>
        <w:t>1</w:t>
      </w:r>
      <w:r w:rsidRPr="003E18AB">
        <w:rPr>
          <w:rFonts w:eastAsiaTheme="minorEastAsia"/>
          <w:b/>
          <w:bCs/>
          <w:sz w:val="18"/>
          <w:szCs w:val="18"/>
        </w:rPr>
        <w:fldChar w:fldCharType="end"/>
      </w:r>
      <w:bookmarkEnd w:id="4"/>
      <w:r w:rsidRPr="003E18AB">
        <w:rPr>
          <w:rFonts w:eastAsiaTheme="minorEastAsia" w:hint="eastAsia"/>
          <w:b/>
          <w:bCs/>
          <w:sz w:val="18"/>
          <w:szCs w:val="18"/>
        </w:rPr>
        <w:t>.</w:t>
      </w:r>
      <w:r w:rsidRPr="003E18AB">
        <w:rPr>
          <w:rFonts w:eastAsiaTheme="minorEastAsia"/>
          <w:b/>
          <w:bCs/>
          <w:sz w:val="18"/>
          <w:szCs w:val="18"/>
        </w:rPr>
        <w:t xml:space="preserve"> Conceptual framework of the double machine learning (DML) approach used to estimate heterogeneous nitrogen treatment effects under varying crop rotation diversity and climatic conditions</w:t>
      </w:r>
    </w:p>
    <w:p w14:paraId="284F1A74" w14:textId="77777777" w:rsidR="003E18AB" w:rsidRPr="003E18AB" w:rsidRDefault="003E18AB" w:rsidP="003E18AB">
      <w:pPr>
        <w:pStyle w:val="NoSpacing"/>
        <w:rPr>
          <w:rFonts w:eastAsiaTheme="minorEastAsia"/>
          <w:b/>
          <w:bCs/>
          <w:lang w:val="en-GB"/>
        </w:rPr>
      </w:pPr>
      <w:r w:rsidRPr="003E18AB">
        <w:rPr>
          <w:rFonts w:eastAsiaTheme="minorEastAsia"/>
          <w:b/>
          <w:bCs/>
          <w:noProof/>
        </w:rPr>
        <w:lastRenderedPageBreak/>
        <w:drawing>
          <wp:inline distT="0" distB="0" distL="0" distR="0" wp14:anchorId="5F0D439A" wp14:editId="1AE75C77">
            <wp:extent cx="5943600" cy="5561965"/>
            <wp:effectExtent l="0" t="0" r="0" b="635"/>
            <wp:docPr id="1" name="Picture 1" descr="A chart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art with text and number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5561965"/>
                    </a:xfrm>
                    <a:prstGeom prst="rect">
                      <a:avLst/>
                    </a:prstGeom>
                  </pic:spPr>
                </pic:pic>
              </a:graphicData>
            </a:graphic>
          </wp:inline>
        </w:drawing>
      </w:r>
    </w:p>
    <w:p w14:paraId="7DB68B5C" w14:textId="3F360E20" w:rsidR="003E18AB" w:rsidRDefault="003E18AB" w:rsidP="00127819">
      <w:pPr>
        <w:pStyle w:val="NoSpacing"/>
        <w:rPr>
          <w:rFonts w:eastAsiaTheme="minorEastAsia"/>
          <w:b/>
          <w:bCs/>
          <w:sz w:val="18"/>
          <w:szCs w:val="18"/>
        </w:rPr>
      </w:pPr>
      <w:r w:rsidRPr="00127819">
        <w:rPr>
          <w:rFonts w:eastAsiaTheme="minorEastAsia"/>
          <w:b/>
          <w:bCs/>
          <w:sz w:val="18"/>
          <w:szCs w:val="18"/>
        </w:rPr>
        <w:t xml:space="preserve">Figure </w:t>
      </w:r>
      <w:r w:rsidR="00127819">
        <w:rPr>
          <w:rFonts w:eastAsiaTheme="minorEastAsia" w:hint="eastAsia"/>
          <w:b/>
          <w:bCs/>
          <w:sz w:val="18"/>
          <w:szCs w:val="18"/>
        </w:rPr>
        <w:t>S2</w:t>
      </w:r>
      <w:r w:rsidRPr="00127819">
        <w:rPr>
          <w:rFonts w:eastAsiaTheme="minorEastAsia"/>
          <w:b/>
          <w:bCs/>
          <w:sz w:val="18"/>
          <w:szCs w:val="18"/>
        </w:rPr>
        <w:t xml:space="preserve">. SHAP summary plot for the machine-learning components of the DML models. The figure displays SHapley Additive exPlanations (SHAP) values for the fitted models, summarizing the relative contribution of covariates to model predictions. Each point represents an observation, colored by the feature value (blue = low, red = high). </w:t>
      </w:r>
      <w:r w:rsidR="00DB6F40" w:rsidRPr="00DB6F40">
        <w:rPr>
          <w:rFonts w:eastAsiaTheme="minorEastAsia"/>
          <w:b/>
          <w:bCs/>
          <w:sz w:val="18"/>
          <w:szCs w:val="18"/>
        </w:rPr>
        <w:t>SHAP interpretation was applied only to the machine-learning nuisance models within the DML framework and should not be interpreted as evidence of causal importance.</w:t>
      </w:r>
    </w:p>
    <w:p w14:paraId="4A5F388D" w14:textId="7DF7999F" w:rsidR="005F417B" w:rsidRDefault="005F417B" w:rsidP="00127819">
      <w:pPr>
        <w:pStyle w:val="NoSpacing"/>
        <w:rPr>
          <w:rFonts w:eastAsiaTheme="minorEastAsia"/>
          <w:b/>
          <w:bCs/>
          <w:sz w:val="18"/>
          <w:szCs w:val="18"/>
        </w:rPr>
      </w:pPr>
      <w:r>
        <w:rPr>
          <w:rFonts w:eastAsiaTheme="minorEastAsia"/>
          <w:b/>
          <w:bCs/>
          <w:noProof/>
          <w:sz w:val="18"/>
          <w:szCs w:val="18"/>
        </w:rPr>
        <w:drawing>
          <wp:inline distT="0" distB="0" distL="0" distR="0" wp14:anchorId="1ECD7747" wp14:editId="4589874A">
            <wp:extent cx="6188710" cy="2426335"/>
            <wp:effectExtent l="0" t="0" r="2540" b="0"/>
            <wp:docPr id="9793231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323197" name="图片 979323197"/>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88710" cy="2426335"/>
                    </a:xfrm>
                    <a:prstGeom prst="rect">
                      <a:avLst/>
                    </a:prstGeom>
                  </pic:spPr>
                </pic:pic>
              </a:graphicData>
            </a:graphic>
          </wp:inline>
        </w:drawing>
      </w:r>
    </w:p>
    <w:p w14:paraId="54C5DBAE" w14:textId="45F0BB31" w:rsidR="005F417B" w:rsidRDefault="00276B4A" w:rsidP="00127819">
      <w:pPr>
        <w:pStyle w:val="NoSpacing"/>
        <w:rPr>
          <w:rFonts w:eastAsiaTheme="minorEastAsia"/>
          <w:i/>
          <w:iCs/>
          <w:sz w:val="18"/>
          <w:szCs w:val="18"/>
        </w:rPr>
      </w:pPr>
      <w:r w:rsidRPr="00276B4A">
        <w:rPr>
          <w:rFonts w:eastAsiaTheme="minorEastAsia"/>
          <w:b/>
          <w:bCs/>
          <w:sz w:val="18"/>
          <w:szCs w:val="18"/>
        </w:rPr>
        <w:t>Figure S4. Bootstrap uncertainty of nitrogen treatment-effect estimates.</w:t>
      </w:r>
      <w:r>
        <w:rPr>
          <w:rFonts w:eastAsiaTheme="minorEastAsia" w:hint="eastAsia"/>
          <w:b/>
          <w:bCs/>
          <w:sz w:val="18"/>
          <w:szCs w:val="18"/>
        </w:rPr>
        <w:t xml:space="preserve"> </w:t>
      </w:r>
      <w:r w:rsidRPr="00276B4A">
        <w:rPr>
          <w:rFonts w:eastAsiaTheme="minorEastAsia"/>
          <w:i/>
          <w:iCs/>
          <w:sz w:val="18"/>
          <w:szCs w:val="18"/>
        </w:rPr>
        <w:t>Distribution of cluster-bootstrap ATE estimates based on 3000 parcel-level resamples and distribution of individual CATE estimates.</w:t>
      </w:r>
    </w:p>
    <w:p w14:paraId="175AA1B4" w14:textId="198F4AD0" w:rsidR="00276B4A" w:rsidRDefault="00BD303C" w:rsidP="00BD303C">
      <w:pPr>
        <w:pStyle w:val="NoSpacing"/>
        <w:jc w:val="center"/>
        <w:rPr>
          <w:rFonts w:eastAsiaTheme="minorEastAsia"/>
          <w:b/>
          <w:bCs/>
          <w:sz w:val="18"/>
          <w:szCs w:val="18"/>
        </w:rPr>
      </w:pPr>
      <w:r>
        <w:rPr>
          <w:rFonts w:eastAsiaTheme="minorEastAsia" w:hint="eastAsia"/>
          <w:b/>
          <w:bCs/>
          <w:noProof/>
          <w:sz w:val="18"/>
          <w:szCs w:val="18"/>
        </w:rPr>
        <w:drawing>
          <wp:inline distT="0" distB="0" distL="0" distR="0" wp14:anchorId="2935CCF4" wp14:editId="13005AC9">
            <wp:extent cx="5788164" cy="4727458"/>
            <wp:effectExtent l="0" t="0" r="3175" b="0"/>
            <wp:docPr id="17397393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739345" name="图片 173973934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88164" cy="4727458"/>
                    </a:xfrm>
                    <a:prstGeom prst="rect">
                      <a:avLst/>
                    </a:prstGeom>
                  </pic:spPr>
                </pic:pic>
              </a:graphicData>
            </a:graphic>
          </wp:inline>
        </w:drawing>
      </w:r>
    </w:p>
    <w:p w14:paraId="34329163" w14:textId="1B42968C" w:rsidR="00BD303C" w:rsidRPr="00127819" w:rsidRDefault="0091194C" w:rsidP="0091194C">
      <w:pPr>
        <w:pStyle w:val="NoSpacing"/>
        <w:jc w:val="left"/>
        <w:rPr>
          <w:rFonts w:eastAsiaTheme="minorEastAsia"/>
          <w:b/>
          <w:bCs/>
          <w:sz w:val="18"/>
          <w:szCs w:val="18"/>
        </w:rPr>
      </w:pPr>
      <w:bookmarkStart w:id="5" w:name="_GoBack"/>
      <w:r w:rsidRPr="0091194C">
        <w:rPr>
          <w:rFonts w:eastAsiaTheme="minorEastAsia"/>
          <w:b/>
          <w:bCs/>
          <w:sz w:val="18"/>
          <w:szCs w:val="18"/>
        </w:rPr>
        <w:t>Figure</w:t>
      </w:r>
      <w:bookmarkEnd w:id="5"/>
      <w:r w:rsidRPr="0091194C">
        <w:rPr>
          <w:rFonts w:eastAsiaTheme="minorEastAsia"/>
          <w:b/>
          <w:bCs/>
          <w:sz w:val="18"/>
          <w:szCs w:val="18"/>
        </w:rPr>
        <w:t xml:space="preserve"> S5. Correlation matrix of model covariates.</w:t>
      </w:r>
      <w:r>
        <w:rPr>
          <w:rFonts w:eastAsiaTheme="minorEastAsia" w:hint="eastAsia"/>
          <w:b/>
          <w:bCs/>
          <w:sz w:val="18"/>
          <w:szCs w:val="18"/>
        </w:rPr>
        <w:t xml:space="preserve"> </w:t>
      </w:r>
      <w:r w:rsidRPr="0091194C">
        <w:rPr>
          <w:rFonts w:eastAsiaTheme="minorEastAsia"/>
          <w:i/>
          <w:iCs/>
          <w:sz w:val="18"/>
          <w:szCs w:val="18"/>
        </w:rPr>
        <w:t>Pearson correlation coefficients among yield, nitrogen input, vegetation, climate, and soil moisture variables used in the modelling framework.</w:t>
      </w:r>
    </w:p>
    <w:sectPr w:rsidR="00BD303C" w:rsidRPr="00127819" w:rsidSect="006F200F">
      <w:pgSz w:w="11906" w:h="16838"/>
      <w:pgMar w:top="1440" w:right="1080" w:bottom="1440" w:left="108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D5D0" w14:textId="77777777" w:rsidR="00FA7983" w:rsidRDefault="00FA7983" w:rsidP="00792DC7">
      <w:pPr>
        <w:spacing w:after="0" w:line="240" w:lineRule="auto"/>
      </w:pPr>
      <w:r>
        <w:separator/>
      </w:r>
    </w:p>
  </w:endnote>
  <w:endnote w:type="continuationSeparator" w:id="0">
    <w:p w14:paraId="59BB4FF4" w14:textId="77777777" w:rsidR="00FA7983" w:rsidRDefault="00FA7983" w:rsidP="00792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SimSu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DengXian Light">
    <w:altName w:val="Microsoft YaHei"/>
    <w:charset w:val="86"/>
    <w:family w:val="auto"/>
    <w:pitch w:val="variable"/>
    <w:sig w:usb0="00000000"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9712D" w14:textId="77777777" w:rsidR="00FA7983" w:rsidRDefault="00FA7983" w:rsidP="00792DC7">
      <w:pPr>
        <w:spacing w:after="0" w:line="240" w:lineRule="auto"/>
      </w:pPr>
      <w:r>
        <w:separator/>
      </w:r>
    </w:p>
  </w:footnote>
  <w:footnote w:type="continuationSeparator" w:id="0">
    <w:p w14:paraId="50B17D17" w14:textId="77777777" w:rsidR="00FA7983" w:rsidRDefault="00FA7983" w:rsidP="00792D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00F"/>
    <w:rsid w:val="000C389C"/>
    <w:rsid w:val="00127819"/>
    <w:rsid w:val="001967F5"/>
    <w:rsid w:val="00247DD1"/>
    <w:rsid w:val="00276B4A"/>
    <w:rsid w:val="002830B4"/>
    <w:rsid w:val="003A5353"/>
    <w:rsid w:val="003E18AB"/>
    <w:rsid w:val="004523C5"/>
    <w:rsid w:val="00550EEA"/>
    <w:rsid w:val="005A2279"/>
    <w:rsid w:val="005F417B"/>
    <w:rsid w:val="006A0CC2"/>
    <w:rsid w:val="006F200F"/>
    <w:rsid w:val="00792DC7"/>
    <w:rsid w:val="007A0DD3"/>
    <w:rsid w:val="008E52AA"/>
    <w:rsid w:val="0090261B"/>
    <w:rsid w:val="0091194C"/>
    <w:rsid w:val="00925904"/>
    <w:rsid w:val="009C1D86"/>
    <w:rsid w:val="009E356E"/>
    <w:rsid w:val="00B0563D"/>
    <w:rsid w:val="00B20CDD"/>
    <w:rsid w:val="00B22D06"/>
    <w:rsid w:val="00B24682"/>
    <w:rsid w:val="00BD303C"/>
    <w:rsid w:val="00DB6F40"/>
    <w:rsid w:val="00E3735C"/>
    <w:rsid w:val="00EC02A2"/>
    <w:rsid w:val="00EC3D75"/>
    <w:rsid w:val="00EE63C9"/>
    <w:rsid w:val="00F62224"/>
    <w:rsid w:val="00F73E1B"/>
    <w:rsid w:val="00FA79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844D2C"/>
  <w15:chartTrackingRefBased/>
  <w15:docId w15:val="{2C233619-7B1B-4C76-9686-93A75C62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F200F"/>
    <w:pPr>
      <w:spacing w:after="160" w:line="259" w:lineRule="auto"/>
      <w:jc w:val="both"/>
    </w:pPr>
    <w:rPr>
      <w:rFonts w:ascii="Times New Roman" w:eastAsia="Times New Roman" w:hAnsi="Times New Roman"/>
      <w:kern w:val="0"/>
      <w:sz w:val="24"/>
    </w:rPr>
  </w:style>
  <w:style w:type="paragraph" w:styleId="Heading1">
    <w:name w:val="heading 1"/>
    <w:basedOn w:val="Normal"/>
    <w:next w:val="Normal"/>
    <w:link w:val="Heading1Char"/>
    <w:uiPriority w:val="9"/>
    <w:qFormat/>
    <w:rsid w:val="006F200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rsid w:val="006F200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6F200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6F200F"/>
    <w:pPr>
      <w:keepNext/>
      <w:keepLines/>
      <w:spacing w:before="80" w:after="40"/>
      <w:outlineLvl w:val="3"/>
    </w:pPr>
    <w:rPr>
      <w:rFonts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6F200F"/>
    <w:pPr>
      <w:keepNext/>
      <w:keepLines/>
      <w:spacing w:before="80" w:after="40"/>
      <w:outlineLvl w:val="4"/>
    </w:pPr>
    <w:rPr>
      <w:rFonts w:cstheme="majorBidi"/>
      <w:color w:val="2F5496" w:themeColor="accent1" w:themeShade="BF"/>
      <w:szCs w:val="24"/>
    </w:rPr>
  </w:style>
  <w:style w:type="paragraph" w:styleId="Heading6">
    <w:name w:val="heading 6"/>
    <w:basedOn w:val="Normal"/>
    <w:next w:val="Normal"/>
    <w:link w:val="Heading6Char"/>
    <w:uiPriority w:val="9"/>
    <w:semiHidden/>
    <w:unhideWhenUsed/>
    <w:qFormat/>
    <w:rsid w:val="006F200F"/>
    <w:pPr>
      <w:keepNext/>
      <w:keepLines/>
      <w:spacing w:before="40"/>
      <w:outlineLvl w:val="5"/>
    </w:pPr>
    <w:rPr>
      <w:rFonts w:cstheme="majorBidi"/>
      <w:b/>
      <w:bCs/>
      <w:color w:val="2F5496" w:themeColor="accent1" w:themeShade="BF"/>
    </w:rPr>
  </w:style>
  <w:style w:type="paragraph" w:styleId="Heading7">
    <w:name w:val="heading 7"/>
    <w:basedOn w:val="Normal"/>
    <w:next w:val="Normal"/>
    <w:link w:val="Heading7Char"/>
    <w:uiPriority w:val="9"/>
    <w:semiHidden/>
    <w:unhideWhenUsed/>
    <w:qFormat/>
    <w:rsid w:val="006F200F"/>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6F200F"/>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6F200F"/>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00F"/>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6F200F"/>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6F200F"/>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6F200F"/>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6F200F"/>
    <w:rPr>
      <w:rFonts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6F200F"/>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6F200F"/>
    <w:rPr>
      <w:rFonts w:cstheme="majorBidi"/>
      <w:b/>
      <w:bCs/>
      <w:color w:val="595959" w:themeColor="text1" w:themeTint="A6"/>
    </w:rPr>
  </w:style>
  <w:style w:type="character" w:customStyle="1" w:styleId="Heading8Char">
    <w:name w:val="Heading 8 Char"/>
    <w:basedOn w:val="DefaultParagraphFont"/>
    <w:link w:val="Heading8"/>
    <w:uiPriority w:val="9"/>
    <w:semiHidden/>
    <w:rsid w:val="006F200F"/>
    <w:rPr>
      <w:rFonts w:cstheme="majorBidi"/>
      <w:color w:val="595959" w:themeColor="text1" w:themeTint="A6"/>
    </w:rPr>
  </w:style>
  <w:style w:type="character" w:customStyle="1" w:styleId="Heading9Char">
    <w:name w:val="Heading 9 Char"/>
    <w:basedOn w:val="DefaultParagraphFont"/>
    <w:link w:val="Heading9"/>
    <w:uiPriority w:val="9"/>
    <w:semiHidden/>
    <w:rsid w:val="006F200F"/>
    <w:rPr>
      <w:rFonts w:eastAsiaTheme="majorEastAsia" w:cstheme="majorBidi"/>
      <w:color w:val="595959" w:themeColor="text1" w:themeTint="A6"/>
    </w:rPr>
  </w:style>
  <w:style w:type="paragraph" w:styleId="Title">
    <w:name w:val="Title"/>
    <w:basedOn w:val="Normal"/>
    <w:next w:val="Normal"/>
    <w:link w:val="TitleChar"/>
    <w:uiPriority w:val="10"/>
    <w:qFormat/>
    <w:rsid w:val="006F200F"/>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20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200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200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6F200F"/>
    <w:pPr>
      <w:spacing w:before="160"/>
      <w:jc w:val="center"/>
    </w:pPr>
    <w:rPr>
      <w:i/>
      <w:iCs/>
      <w:color w:val="404040" w:themeColor="text1" w:themeTint="BF"/>
    </w:rPr>
  </w:style>
  <w:style w:type="character" w:customStyle="1" w:styleId="QuoteChar">
    <w:name w:val="Quote Char"/>
    <w:basedOn w:val="DefaultParagraphFont"/>
    <w:link w:val="Quote"/>
    <w:uiPriority w:val="29"/>
    <w:rsid w:val="006F200F"/>
    <w:rPr>
      <w:i/>
      <w:iCs/>
      <w:color w:val="404040" w:themeColor="text1" w:themeTint="BF"/>
    </w:rPr>
  </w:style>
  <w:style w:type="paragraph" w:styleId="ListParagraph">
    <w:name w:val="List Paragraph"/>
    <w:basedOn w:val="Normal"/>
    <w:uiPriority w:val="34"/>
    <w:qFormat/>
    <w:rsid w:val="006F200F"/>
    <w:pPr>
      <w:ind w:left="720"/>
      <w:contextualSpacing/>
    </w:pPr>
  </w:style>
  <w:style w:type="character" w:styleId="IntenseEmphasis">
    <w:name w:val="Intense Emphasis"/>
    <w:basedOn w:val="DefaultParagraphFont"/>
    <w:uiPriority w:val="21"/>
    <w:qFormat/>
    <w:rsid w:val="006F200F"/>
    <w:rPr>
      <w:i/>
      <w:iCs/>
      <w:color w:val="2F5496" w:themeColor="accent1" w:themeShade="BF"/>
    </w:rPr>
  </w:style>
  <w:style w:type="paragraph" w:styleId="IntenseQuote">
    <w:name w:val="Intense Quote"/>
    <w:basedOn w:val="Normal"/>
    <w:next w:val="Normal"/>
    <w:link w:val="IntenseQuoteChar"/>
    <w:uiPriority w:val="30"/>
    <w:qFormat/>
    <w:rsid w:val="006F20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200F"/>
    <w:rPr>
      <w:i/>
      <w:iCs/>
      <w:color w:val="2F5496" w:themeColor="accent1" w:themeShade="BF"/>
    </w:rPr>
  </w:style>
  <w:style w:type="character" w:styleId="IntenseReference">
    <w:name w:val="Intense Reference"/>
    <w:basedOn w:val="DefaultParagraphFont"/>
    <w:uiPriority w:val="32"/>
    <w:qFormat/>
    <w:rsid w:val="006F200F"/>
    <w:rPr>
      <w:b/>
      <w:bCs/>
      <w:smallCaps/>
      <w:color w:val="2F5496" w:themeColor="accent1" w:themeShade="BF"/>
      <w:spacing w:val="5"/>
    </w:rPr>
  </w:style>
  <w:style w:type="paragraph" w:customStyle="1" w:styleId="Figure">
    <w:name w:val="Fi'gu're"/>
    <w:basedOn w:val="Quote"/>
    <w:rsid w:val="006F200F"/>
    <w:pPr>
      <w:spacing w:before="200"/>
      <w:ind w:left="864" w:right="864"/>
    </w:pPr>
    <w:rPr>
      <w:b/>
      <w:i w:val="0"/>
      <w:color w:val="auto"/>
      <w:sz w:val="18"/>
    </w:rPr>
  </w:style>
  <w:style w:type="paragraph" w:styleId="NoSpacing">
    <w:name w:val="No Spacing"/>
    <w:uiPriority w:val="1"/>
    <w:qFormat/>
    <w:rsid w:val="006F200F"/>
    <w:pPr>
      <w:jc w:val="both"/>
    </w:pPr>
    <w:rPr>
      <w:rFonts w:ascii="Times New Roman" w:eastAsia="Times New Roman" w:hAnsi="Times New Roman"/>
      <w:kern w:val="0"/>
      <w:sz w:val="24"/>
    </w:rPr>
  </w:style>
  <w:style w:type="paragraph" w:styleId="Caption">
    <w:name w:val="caption"/>
    <w:basedOn w:val="Normal"/>
    <w:next w:val="Normal"/>
    <w:uiPriority w:val="35"/>
    <w:unhideWhenUsed/>
    <w:qFormat/>
    <w:rsid w:val="006F200F"/>
    <w:rPr>
      <w:rFonts w:asciiTheme="majorHAnsi" w:eastAsia="SimHei" w:hAnsiTheme="majorHAnsi" w:cstheme="majorBidi"/>
      <w:sz w:val="20"/>
      <w:szCs w:val="20"/>
    </w:rPr>
  </w:style>
  <w:style w:type="table" w:customStyle="1" w:styleId="1">
    <w:name w:val="网格型1"/>
    <w:basedOn w:val="TableNormal"/>
    <w:next w:val="TableGrid"/>
    <w:uiPriority w:val="39"/>
    <w:rsid w:val="00550EEA"/>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50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2DC7"/>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792DC7"/>
    <w:rPr>
      <w:rFonts w:ascii="Times New Roman" w:eastAsia="Times New Roman" w:hAnsi="Times New Roman"/>
      <w:kern w:val="0"/>
      <w:sz w:val="18"/>
      <w:szCs w:val="18"/>
    </w:rPr>
  </w:style>
  <w:style w:type="paragraph" w:styleId="Footer">
    <w:name w:val="footer"/>
    <w:basedOn w:val="Normal"/>
    <w:link w:val="FooterChar"/>
    <w:uiPriority w:val="99"/>
    <w:unhideWhenUsed/>
    <w:rsid w:val="00792DC7"/>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792DC7"/>
    <w:rPr>
      <w:rFonts w:ascii="Times New Roman" w:eastAsia="Times New Roman" w:hAnsi="Times New Roman"/>
      <w:kern w:val="0"/>
      <w:sz w:val="18"/>
      <w:szCs w:val="18"/>
    </w:rPr>
  </w:style>
  <w:style w:type="table" w:customStyle="1" w:styleId="2">
    <w:name w:val="网格型2"/>
    <w:basedOn w:val="TableNormal"/>
    <w:next w:val="TableGrid"/>
    <w:uiPriority w:val="39"/>
    <w:rsid w:val="002830B4"/>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TableNormal"/>
    <w:next w:val="TableGrid"/>
    <w:uiPriority w:val="39"/>
    <w:rsid w:val="005A2279"/>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41B77-DA87-413E-BBB9-CB74BAEAA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495</Words>
  <Characters>3049</Characters>
  <Application>Microsoft Office Word</Application>
  <DocSecurity>0</DocSecurity>
  <Lines>25</Lines>
  <Paragraphs>7</Paragraphs>
  <ScaleCrop>false</ScaleCrop>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Jie Wang</dc:creator>
  <cp:keywords/>
  <dc:description/>
  <cp:lastModifiedBy>Jie Wang</cp:lastModifiedBy>
  <cp:revision>25</cp:revision>
  <dcterms:created xsi:type="dcterms:W3CDTF">2026-05-11T15:11:00Z</dcterms:created>
  <dcterms:modified xsi:type="dcterms:W3CDTF">2026-05-29T12:57:00Z</dcterms:modified>
</cp:coreProperties>
</file>