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EB395">
      <w:pPr>
        <w:rPr>
          <w:rFonts w:hint="default" w:ascii="Times New Roman" w:hAnsi="Times New Roman" w:eastAsia="Times New Roman" w:cs="Times New Roman"/>
          <w:b/>
          <w:sz w:val="20"/>
          <w:szCs w:val="20"/>
          <w:lang w:eastAsia="en-GB"/>
        </w:rPr>
      </w:pPr>
      <w:r>
        <w:rPr>
          <w:rFonts w:hint="default" w:ascii="Times New Roman" w:hAnsi="Times New Roman" w:eastAsia="Times New Roman" w:cs="Times New Roman"/>
          <w:b/>
          <w:sz w:val="20"/>
          <w:szCs w:val="20"/>
          <w:lang w:eastAsia="en-GB"/>
        </w:rPr>
        <w:t>STROBE-MR checklist of recommended items to address in reports of Mendelian randomization studies</w:t>
      </w:r>
      <w:r>
        <w:rPr>
          <w:rFonts w:hint="default" w:ascii="Times New Roman" w:hAnsi="Times New Roman" w:eastAsia="Times New Roman" w:cs="Times New Roman"/>
          <w:b/>
          <w:sz w:val="20"/>
          <w:szCs w:val="20"/>
          <w:lang w:eastAsia="en-GB"/>
        </w:rPr>
        <w:fldChar w:fldCharType="begin" w:fldLock="1"/>
      </w:r>
      <w:r>
        <w:rPr>
          <w:rFonts w:hint="default" w:ascii="Times New Roman" w:hAnsi="Times New Roman" w:eastAsia="Times New Roman" w:cs="Times New Roman"/>
          <w:b/>
          <w:sz w:val="20"/>
          <w:szCs w:val="20"/>
          <w:lang w:eastAsia="en-GB"/>
        </w:rPr>
        <w:instrText xml:space="preserve">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Pr>
          <w:rFonts w:hint="default" w:ascii="Times New Roman" w:hAnsi="Times New Roman" w:eastAsia="Times New Roman" w:cs="Times New Roman"/>
          <w:b/>
          <w:sz w:val="20"/>
          <w:szCs w:val="20"/>
          <w:lang w:eastAsia="en-GB"/>
        </w:rPr>
        <w:fldChar w:fldCharType="separate"/>
      </w:r>
      <w:r>
        <w:rPr>
          <w:rFonts w:hint="default" w:ascii="Times New Roman" w:hAnsi="Times New Roman" w:eastAsia="Times New Roman" w:cs="Times New Roman"/>
          <w:sz w:val="20"/>
          <w:szCs w:val="20"/>
          <w:vertAlign w:val="superscript"/>
          <w:lang w:eastAsia="en-GB"/>
        </w:rPr>
        <w:t>1</w:t>
      </w:r>
      <w:r>
        <w:rPr>
          <w:rFonts w:hint="default" w:ascii="Times New Roman" w:hAnsi="Times New Roman" w:eastAsia="Times New Roman" w:cs="Times New Roman"/>
          <w:b/>
          <w:sz w:val="20"/>
          <w:szCs w:val="20"/>
          <w:lang w:eastAsia="en-GB"/>
        </w:rPr>
        <w:fldChar w:fldCharType="end"/>
      </w:r>
      <w:r>
        <w:rPr>
          <w:rFonts w:hint="default" w:ascii="Times New Roman" w:hAnsi="Times New Roman" w:eastAsia="Times New Roman" w:cs="Times New Roman"/>
          <w:b/>
          <w:sz w:val="20"/>
          <w:szCs w:val="20"/>
          <w:lang w:eastAsia="en-GB"/>
        </w:rPr>
        <w:t xml:space="preserve"> </w:t>
      </w:r>
      <w:r>
        <w:rPr>
          <w:rFonts w:hint="default" w:ascii="Times New Roman" w:hAnsi="Times New Roman" w:eastAsia="Times New Roman" w:cs="Times New Roman"/>
          <w:b/>
          <w:sz w:val="20"/>
          <w:szCs w:val="20"/>
          <w:lang w:eastAsia="en-GB"/>
        </w:rPr>
        <w:fldChar w:fldCharType="begin" w:fldLock="1"/>
      </w:r>
      <w:r>
        <w:rPr>
          <w:rFonts w:hint="default" w:ascii="Times New Roman" w:hAnsi="Times New Roman" w:eastAsia="Times New Roman" w:cs="Times New Roman"/>
          <w:b/>
          <w:sz w:val="20"/>
          <w:szCs w:val="20"/>
          <w:lang w:eastAsia="en-GB"/>
        </w:rPr>
        <w:instrText xml:space="preserve">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Pr>
          <w:rFonts w:hint="default" w:ascii="Times New Roman" w:hAnsi="Times New Roman" w:eastAsia="Times New Roman" w:cs="Times New Roman"/>
          <w:b/>
          <w:sz w:val="20"/>
          <w:szCs w:val="20"/>
          <w:lang w:eastAsia="en-GB"/>
        </w:rPr>
        <w:fldChar w:fldCharType="separate"/>
      </w:r>
      <w:r>
        <w:rPr>
          <w:rFonts w:hint="default" w:ascii="Times New Roman" w:hAnsi="Times New Roman" w:eastAsia="Times New Roman" w:cs="Times New Roman"/>
          <w:sz w:val="20"/>
          <w:szCs w:val="20"/>
          <w:vertAlign w:val="superscript"/>
          <w:lang w:eastAsia="en-GB"/>
        </w:rPr>
        <w:t>2</w:t>
      </w:r>
      <w:r>
        <w:rPr>
          <w:rFonts w:hint="default" w:ascii="Times New Roman" w:hAnsi="Times New Roman" w:eastAsia="Times New Roman" w:cs="Times New Roman"/>
          <w:b/>
          <w:sz w:val="20"/>
          <w:szCs w:val="20"/>
          <w:lang w:eastAsia="en-GB"/>
        </w:rPr>
        <w:fldChar w:fldCharType="end"/>
      </w:r>
      <w:r>
        <w:rPr>
          <w:rFonts w:hint="default" w:ascii="Times New Roman" w:hAnsi="Times New Roman" w:eastAsia="Times New Roman" w:cs="Times New Roman"/>
          <w:b/>
          <w:sz w:val="20"/>
          <w:szCs w:val="20"/>
          <w:lang w:eastAsia="en-GB"/>
        </w:rPr>
        <w:t> </w:t>
      </w:r>
    </w:p>
    <w:p w14:paraId="470C4394">
      <w:pPr>
        <w:rPr>
          <w:rFonts w:eastAsia="Times New Roman"/>
          <w:b/>
          <w:sz w:val="20"/>
          <w:szCs w:val="20"/>
          <w:lang w:eastAsia="en-GB"/>
        </w:rPr>
      </w:pPr>
    </w:p>
    <w:tbl>
      <w:tblPr>
        <w:tblStyle w:val="5"/>
        <w:tblW w:w="14490" w:type="dxa"/>
        <w:tblInd w:w="0" w:type="dxa"/>
        <w:tblLayout w:type="autofit"/>
        <w:tblCellMar>
          <w:top w:w="0" w:type="dxa"/>
          <w:left w:w="108" w:type="dxa"/>
          <w:bottom w:w="0" w:type="dxa"/>
          <w:right w:w="108" w:type="dxa"/>
        </w:tblCellMar>
      </w:tblPr>
      <w:tblGrid>
        <w:gridCol w:w="616"/>
        <w:gridCol w:w="1822"/>
        <w:gridCol w:w="7014"/>
        <w:gridCol w:w="720"/>
        <w:gridCol w:w="4318"/>
      </w:tblGrid>
      <w:tr w14:paraId="5AFA7C9F">
        <w:tblPrEx>
          <w:tblCellMar>
            <w:top w:w="0" w:type="dxa"/>
            <w:left w:w="108" w:type="dxa"/>
            <w:bottom w:w="0" w:type="dxa"/>
            <w:right w:w="108" w:type="dxa"/>
          </w:tblCellMar>
        </w:tblPrEx>
        <w:tc>
          <w:tcPr>
            <w:tcW w:w="616" w:type="dxa"/>
            <w:tcBorders>
              <w:top w:val="single" w:color="auto" w:sz="4" w:space="0"/>
              <w:bottom w:val="single" w:color="7F7F7F" w:sz="6" w:space="0"/>
            </w:tcBorders>
          </w:tcPr>
          <w:p w14:paraId="3C89668C">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b/>
                <w:bCs/>
                <w:sz w:val="20"/>
                <w:szCs w:val="20"/>
                <w:lang w:val="en-GB" w:eastAsia="en-US"/>
              </w:rPr>
            </w:pPr>
            <w:r>
              <w:rPr>
                <w:rFonts w:hint="default" w:ascii="Times New Roman" w:hAnsi="Times New Roman" w:eastAsia="Cambria" w:cs="Times New Roman"/>
                <w:b/>
                <w:bCs/>
                <w:sz w:val="20"/>
                <w:szCs w:val="20"/>
                <w:lang w:val="en-GB" w:eastAsia="en-US"/>
              </w:rPr>
              <w:t>Item No.</w:t>
            </w:r>
          </w:p>
        </w:tc>
        <w:tc>
          <w:tcPr>
            <w:tcW w:w="1822" w:type="dxa"/>
            <w:tcBorders>
              <w:top w:val="single" w:color="auto" w:sz="4" w:space="0"/>
              <w:bottom w:val="single" w:color="7F7F7F" w:sz="6" w:space="0"/>
            </w:tcBorders>
          </w:tcPr>
          <w:p w14:paraId="7E2FE445">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b/>
                <w:bCs/>
                <w:sz w:val="20"/>
                <w:szCs w:val="20"/>
                <w:lang w:val="en-GB" w:eastAsia="en-US"/>
              </w:rPr>
            </w:pPr>
            <w:r>
              <w:rPr>
                <w:rFonts w:hint="default" w:ascii="Times New Roman" w:hAnsi="Times New Roman" w:eastAsia="Cambria" w:cs="Times New Roman"/>
                <w:b/>
                <w:bCs/>
                <w:sz w:val="20"/>
                <w:szCs w:val="20"/>
                <w:lang w:val="en-GB" w:eastAsia="en-US"/>
              </w:rPr>
              <w:t>Section</w:t>
            </w:r>
          </w:p>
        </w:tc>
        <w:tc>
          <w:tcPr>
            <w:tcW w:w="7014" w:type="dxa"/>
            <w:tcBorders>
              <w:top w:val="single" w:color="auto" w:sz="4" w:space="0"/>
              <w:bottom w:val="single" w:color="7F7F7F" w:sz="6" w:space="0"/>
            </w:tcBorders>
          </w:tcPr>
          <w:p w14:paraId="0E551BFD">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b/>
                <w:bCs/>
                <w:sz w:val="20"/>
                <w:szCs w:val="20"/>
                <w:lang w:val="en-GB" w:eastAsia="en-US"/>
              </w:rPr>
            </w:pPr>
            <w:r>
              <w:rPr>
                <w:rFonts w:hint="default" w:ascii="Times New Roman" w:hAnsi="Times New Roman" w:eastAsia="Cambria" w:cs="Times New Roman"/>
                <w:b/>
                <w:bCs/>
                <w:sz w:val="20"/>
                <w:szCs w:val="20"/>
                <w:lang w:val="en-GB" w:eastAsia="en-US"/>
              </w:rPr>
              <w:t xml:space="preserve">Checklist item </w:t>
            </w:r>
          </w:p>
        </w:tc>
        <w:tc>
          <w:tcPr>
            <w:tcW w:w="720" w:type="dxa"/>
            <w:tcBorders>
              <w:top w:val="single" w:color="auto" w:sz="4" w:space="0"/>
              <w:bottom w:val="single" w:color="7F7F7F" w:sz="6" w:space="0"/>
            </w:tcBorders>
          </w:tcPr>
          <w:p w14:paraId="721F6231">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b/>
                <w:bCs/>
                <w:sz w:val="20"/>
                <w:szCs w:val="20"/>
                <w:lang w:val="en-GB" w:eastAsia="en-US"/>
              </w:rPr>
            </w:pPr>
            <w:r>
              <w:rPr>
                <w:rFonts w:hint="default" w:ascii="Times New Roman" w:hAnsi="Times New Roman" w:eastAsia="Cambria" w:cs="Times New Roman"/>
                <w:b/>
                <w:bCs/>
                <w:sz w:val="20"/>
                <w:szCs w:val="20"/>
                <w:lang w:val="en-GB" w:eastAsia="en-US"/>
              </w:rPr>
              <w:t>Page No.</w:t>
            </w:r>
          </w:p>
        </w:tc>
        <w:tc>
          <w:tcPr>
            <w:tcW w:w="4318" w:type="dxa"/>
            <w:tcBorders>
              <w:top w:val="single" w:color="auto" w:sz="4" w:space="0"/>
              <w:bottom w:val="single" w:color="7F7F7F" w:sz="6" w:space="0"/>
            </w:tcBorders>
          </w:tcPr>
          <w:p w14:paraId="3906F53A">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b/>
                <w:bCs/>
                <w:sz w:val="20"/>
                <w:szCs w:val="20"/>
                <w:lang w:val="en-GB" w:eastAsia="en-US"/>
              </w:rPr>
            </w:pPr>
            <w:r>
              <w:rPr>
                <w:rFonts w:hint="default" w:ascii="Times New Roman" w:hAnsi="Times New Roman" w:eastAsia="Cambria" w:cs="Times New Roman"/>
                <w:b/>
                <w:bCs/>
                <w:sz w:val="20"/>
                <w:szCs w:val="20"/>
                <w:lang w:val="en-GB" w:eastAsia="en-US"/>
              </w:rPr>
              <w:t>Relevant text from manuscript</w:t>
            </w:r>
          </w:p>
        </w:tc>
      </w:tr>
      <w:tr w14:paraId="677EC25C">
        <w:tblPrEx>
          <w:tblCellMar>
            <w:top w:w="0" w:type="dxa"/>
            <w:left w:w="108" w:type="dxa"/>
            <w:bottom w:w="0" w:type="dxa"/>
            <w:right w:w="108" w:type="dxa"/>
          </w:tblCellMar>
        </w:tblPrEx>
        <w:tc>
          <w:tcPr>
            <w:tcW w:w="616" w:type="dxa"/>
            <w:tcBorders>
              <w:top w:val="single" w:color="7F7F7F" w:sz="6" w:space="0"/>
              <w:bottom w:val="single" w:color="7F7F7F" w:sz="6" w:space="0"/>
            </w:tcBorders>
            <w:shd w:val="clear" w:color="auto" w:fill="EEEEEE"/>
          </w:tcPr>
          <w:p w14:paraId="568BD5B3">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1</w:t>
            </w:r>
          </w:p>
        </w:tc>
        <w:tc>
          <w:tcPr>
            <w:tcW w:w="1822" w:type="dxa"/>
            <w:tcBorders>
              <w:top w:val="single" w:color="7F7F7F" w:sz="6" w:space="0"/>
              <w:bottom w:val="single" w:color="7F7F7F" w:sz="6" w:space="0"/>
            </w:tcBorders>
            <w:shd w:val="clear" w:color="auto" w:fill="EEEEEE"/>
          </w:tcPr>
          <w:p w14:paraId="4D920A1F">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b/>
                <w:bCs/>
                <w:sz w:val="20"/>
                <w:szCs w:val="20"/>
                <w:lang w:val="en-GB" w:eastAsia="en-GB"/>
              </w:rPr>
              <w:t>TITLE and ABSTRACT</w:t>
            </w:r>
          </w:p>
        </w:tc>
        <w:tc>
          <w:tcPr>
            <w:tcW w:w="7014" w:type="dxa"/>
            <w:tcBorders>
              <w:top w:val="single" w:color="7F7F7F" w:sz="6" w:space="0"/>
              <w:bottom w:val="single" w:color="7F7F7F" w:sz="6" w:space="0"/>
            </w:tcBorders>
            <w:shd w:val="clear" w:color="auto" w:fill="EEEEEE"/>
          </w:tcPr>
          <w:p w14:paraId="769B15C9">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Indicate Mendelian randomization (MR) as the study’s design in the title and/or the abstract if that is a main purpose of the study</w:t>
            </w:r>
          </w:p>
        </w:tc>
        <w:tc>
          <w:tcPr>
            <w:tcW w:w="720" w:type="dxa"/>
            <w:tcBorders>
              <w:top w:val="single" w:color="7F7F7F" w:sz="6" w:space="0"/>
              <w:bottom w:val="single" w:color="7F7F7F" w:sz="6" w:space="0"/>
            </w:tcBorders>
            <w:shd w:val="clear" w:color="auto" w:fill="EEEEEE"/>
          </w:tcPr>
          <w:p w14:paraId="369FA7A5">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1</w:t>
            </w:r>
          </w:p>
        </w:tc>
        <w:tc>
          <w:tcPr>
            <w:tcW w:w="4318" w:type="dxa"/>
            <w:tcBorders>
              <w:top w:val="single" w:color="7F7F7F" w:sz="6" w:space="0"/>
              <w:bottom w:val="single" w:color="7F7F7F" w:sz="6" w:space="0"/>
            </w:tcBorders>
            <w:shd w:val="clear" w:color="auto" w:fill="EEEEEE"/>
          </w:tcPr>
          <w:p w14:paraId="25EF46E0">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Novel Biomarkers and Therapeutic Candidates for Spina Bifida Identified through Mendelian Randomization and Transcriptomic Integration</w:t>
            </w:r>
          </w:p>
        </w:tc>
      </w:tr>
      <w:tr w14:paraId="4FD36966">
        <w:tblPrEx>
          <w:tblCellMar>
            <w:top w:w="0" w:type="dxa"/>
            <w:left w:w="108" w:type="dxa"/>
            <w:bottom w:w="0" w:type="dxa"/>
            <w:right w:w="108" w:type="dxa"/>
          </w:tblCellMar>
        </w:tblPrEx>
        <w:tc>
          <w:tcPr>
            <w:tcW w:w="616" w:type="dxa"/>
            <w:tcBorders>
              <w:top w:val="single" w:color="7F7F7F" w:sz="6" w:space="0"/>
            </w:tcBorders>
          </w:tcPr>
          <w:p w14:paraId="04F32C1A">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p>
        </w:tc>
        <w:tc>
          <w:tcPr>
            <w:tcW w:w="1822" w:type="dxa"/>
            <w:tcBorders>
              <w:top w:val="single" w:color="7F7F7F" w:sz="6" w:space="0"/>
            </w:tcBorders>
          </w:tcPr>
          <w:p w14:paraId="7FEF8B67">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b/>
                <w:bCs/>
                <w:sz w:val="20"/>
                <w:szCs w:val="20"/>
                <w:lang w:val="en-GB" w:eastAsia="en-GB"/>
              </w:rPr>
              <w:t>INTRODUCTION</w:t>
            </w:r>
          </w:p>
        </w:tc>
        <w:tc>
          <w:tcPr>
            <w:tcW w:w="7014" w:type="dxa"/>
            <w:tcBorders>
              <w:top w:val="single" w:color="7F7F7F" w:sz="6" w:space="0"/>
            </w:tcBorders>
          </w:tcPr>
          <w:p w14:paraId="23C3E3D5">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720" w:type="dxa"/>
            <w:tcBorders>
              <w:top w:val="single" w:color="7F7F7F" w:sz="6" w:space="0"/>
            </w:tcBorders>
          </w:tcPr>
          <w:p w14:paraId="2D082E22">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4318" w:type="dxa"/>
            <w:tcBorders>
              <w:top w:val="single" w:color="7F7F7F" w:sz="6" w:space="0"/>
            </w:tcBorders>
          </w:tcPr>
          <w:p w14:paraId="2DDE9A55">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r>
      <w:tr w14:paraId="6E1E0B8E">
        <w:tblPrEx>
          <w:tblCellMar>
            <w:top w:w="0" w:type="dxa"/>
            <w:left w:w="108" w:type="dxa"/>
            <w:bottom w:w="0" w:type="dxa"/>
            <w:right w:w="108" w:type="dxa"/>
          </w:tblCellMar>
        </w:tblPrEx>
        <w:tc>
          <w:tcPr>
            <w:tcW w:w="616" w:type="dxa"/>
            <w:shd w:val="clear" w:color="auto" w:fill="EEEEEE"/>
          </w:tcPr>
          <w:p w14:paraId="7C7F4292">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2</w:t>
            </w:r>
          </w:p>
        </w:tc>
        <w:tc>
          <w:tcPr>
            <w:tcW w:w="1822" w:type="dxa"/>
            <w:shd w:val="clear" w:color="auto" w:fill="EEEEEE"/>
          </w:tcPr>
          <w:p w14:paraId="3929D70C">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b/>
                <w:bCs/>
                <w:sz w:val="20"/>
                <w:szCs w:val="20"/>
                <w:lang w:val="en-GB" w:eastAsia="en-GB"/>
              </w:rPr>
              <w:t>Background</w:t>
            </w:r>
          </w:p>
        </w:tc>
        <w:tc>
          <w:tcPr>
            <w:tcW w:w="7014" w:type="dxa"/>
            <w:shd w:val="clear" w:color="auto" w:fill="EEEEEE"/>
          </w:tcPr>
          <w:p w14:paraId="152BB284">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Explain the scientific background and rationale for the reported study. What is the exposure? Is a potential causal relationship between exposure and outcome plausible? Justify why MR is a helpful method to address the study question</w:t>
            </w:r>
          </w:p>
        </w:tc>
        <w:tc>
          <w:tcPr>
            <w:tcW w:w="720" w:type="dxa"/>
            <w:shd w:val="clear" w:color="auto" w:fill="EEEEEE"/>
          </w:tcPr>
          <w:p w14:paraId="486C2C8C">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1-2</w:t>
            </w:r>
          </w:p>
        </w:tc>
        <w:tc>
          <w:tcPr>
            <w:tcW w:w="4318" w:type="dxa"/>
            <w:shd w:val="clear" w:color="auto" w:fill="EEEEEE"/>
          </w:tcPr>
          <w:p w14:paraId="78F5D258">
            <w:pPr>
              <w:keepNext w:val="0"/>
              <w:keepLines w:val="0"/>
              <w:widowControl/>
              <w:numPr>
                <w:ilvl w:val="0"/>
                <w:numId w:val="1"/>
              </w:numPr>
              <w:suppressLineNumbers w:val="0"/>
              <w:spacing w:before="96" w:beforeLines="40" w:beforeAutospacing="0" w:after="96" w:afterLines="40" w:afterAutospacing="0" w:line="24" w:lineRule="atLeast"/>
              <w:ind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Background: Spina bifida is a common and clinically significant subtype of neural tube defects.</w:t>
            </w:r>
            <w:r>
              <w:rPr>
                <w:rFonts w:hint="default" w:ascii="Times New Roman" w:hAnsi="Times New Roman" w:eastAsia="宋体" w:cs="Times New Roman"/>
                <w:sz w:val="20"/>
                <w:szCs w:val="20"/>
                <w:lang w:val="en-US" w:eastAsia="zh-CN"/>
              </w:rPr>
              <w:t xml:space="preserve"> </w:t>
            </w:r>
            <w:r>
              <w:rPr>
                <w:rFonts w:hint="default" w:ascii="Times New Roman" w:hAnsi="Times New Roman" w:eastAsia="Times New Roman" w:cs="Times New Roman"/>
                <w:sz w:val="20"/>
                <w:szCs w:val="20"/>
                <w:lang w:val="en-GB" w:eastAsia="en-GB"/>
              </w:rPr>
              <w:t xml:space="preserve">Current diagnostic tools have limited sensitivity and specificity, and surgical correction cannot reverse pre-existing neurological damage or target the underlying pathophysiology of </w:t>
            </w:r>
            <w:r>
              <w:rPr>
                <w:rFonts w:hint="eastAsia" w:ascii="Times New Roman" w:hAnsi="Times New Roman" w:eastAsia="宋体" w:cs="Times New Roman"/>
                <w:sz w:val="20"/>
                <w:szCs w:val="20"/>
                <w:lang w:val="en-US" w:eastAsia="zh-CN"/>
              </w:rPr>
              <w:t>s</w:t>
            </w:r>
            <w:r>
              <w:rPr>
                <w:rFonts w:hint="default" w:ascii="Times New Roman" w:hAnsi="Times New Roman" w:eastAsia="Times New Roman" w:cs="Times New Roman"/>
                <w:sz w:val="20"/>
                <w:szCs w:val="20"/>
                <w:lang w:val="en-GB" w:eastAsia="en-GB"/>
              </w:rPr>
              <w:t>pina bifida, creating an urgent need for reliable biomarkers and novel therapeutic targets.</w:t>
            </w:r>
          </w:p>
          <w:p w14:paraId="099371DC">
            <w:pPr>
              <w:keepNext w:val="0"/>
              <w:keepLines w:val="0"/>
              <w:widowControl/>
              <w:numPr>
                <w:ilvl w:val="0"/>
                <w:numId w:val="2"/>
              </w:numPr>
              <w:suppressLineNumbers w:val="0"/>
              <w:spacing w:before="96" w:beforeLines="40" w:beforeAutospacing="0" w:after="96" w:afterLines="40" w:afterAutospacing="0" w:line="24" w:lineRule="atLeast"/>
              <w:ind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Exposure: Circulating protein levels quantified by large-scale pQTL datasets</w:t>
            </w:r>
          </w:p>
          <w:p w14:paraId="7883AA02">
            <w:pPr>
              <w:keepNext w:val="0"/>
              <w:keepLines w:val="0"/>
              <w:widowControl/>
              <w:numPr>
                <w:ilvl w:val="0"/>
                <w:numId w:val="2"/>
              </w:numPr>
              <w:suppressLineNumbers w:val="0"/>
              <w:spacing w:before="96" w:beforeLines="40" w:beforeAutospacing="0" w:after="96" w:afterLines="40" w:afterAutospacing="0" w:line="24" w:lineRule="atLeast"/>
              <w:ind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xml:space="preserve">Integrated Rationale: There is strong biological plausibility for a causal link between circulating protein levels and </w:t>
            </w:r>
            <w:r>
              <w:rPr>
                <w:rFonts w:hint="eastAsia" w:ascii="Times New Roman" w:hAnsi="Times New Roman" w:eastAsia="宋体" w:cs="Times New Roman"/>
                <w:sz w:val="20"/>
                <w:szCs w:val="20"/>
                <w:lang w:val="en-US" w:eastAsia="zh-CN"/>
              </w:rPr>
              <w:t>s</w:t>
            </w:r>
            <w:r>
              <w:rPr>
                <w:rFonts w:hint="default" w:ascii="Times New Roman" w:hAnsi="Times New Roman" w:eastAsia="Times New Roman" w:cs="Times New Roman"/>
                <w:sz w:val="20"/>
                <w:szCs w:val="20"/>
                <w:lang w:val="en-GB" w:eastAsia="en-GB"/>
              </w:rPr>
              <w:t xml:space="preserve">pina bifida risk, as prior studies have confirmed that dysregulation of proteins governing cholesterol metabolism, cell adhesion and immune regulation drives neural tube closure defects and NTD pathogenesis. Mendelian randomization (MR) is the optimal method for this study: it uses genetic variants as </w:t>
            </w:r>
            <w:bookmarkStart w:id="0" w:name="_GoBack"/>
            <w:bookmarkEnd w:id="0"/>
            <w:r>
              <w:rPr>
                <w:rFonts w:hint="default" w:ascii="Times New Roman" w:hAnsi="Times New Roman" w:eastAsia="Times New Roman" w:cs="Times New Roman"/>
                <w:sz w:val="20"/>
                <w:szCs w:val="20"/>
                <w:lang w:val="en-GB" w:eastAsia="en-GB"/>
              </w:rPr>
              <w:t>instrumental variables to estimate causal exposure-outcome effects, simulating randomized controlled trials to mitigate confounding and reverse causation biases that limit conventional observational research.</w:t>
            </w:r>
          </w:p>
        </w:tc>
      </w:tr>
      <w:tr w14:paraId="375173B8">
        <w:tblPrEx>
          <w:tblCellMar>
            <w:top w:w="0" w:type="dxa"/>
            <w:left w:w="108" w:type="dxa"/>
            <w:bottom w:w="0" w:type="dxa"/>
            <w:right w:w="108" w:type="dxa"/>
          </w:tblCellMar>
        </w:tblPrEx>
        <w:tc>
          <w:tcPr>
            <w:tcW w:w="616" w:type="dxa"/>
            <w:tcBorders>
              <w:bottom w:val="single" w:color="7F7F7F" w:sz="6" w:space="0"/>
            </w:tcBorders>
          </w:tcPr>
          <w:p w14:paraId="11AE381B">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3</w:t>
            </w:r>
          </w:p>
        </w:tc>
        <w:tc>
          <w:tcPr>
            <w:tcW w:w="1822" w:type="dxa"/>
            <w:tcBorders>
              <w:bottom w:val="single" w:color="7F7F7F" w:sz="6" w:space="0"/>
            </w:tcBorders>
          </w:tcPr>
          <w:p w14:paraId="63AB1E7A">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b/>
                <w:bCs/>
                <w:sz w:val="20"/>
                <w:szCs w:val="20"/>
                <w:lang w:val="en-GB" w:eastAsia="en-GB"/>
              </w:rPr>
              <w:t>Objectives</w:t>
            </w:r>
          </w:p>
        </w:tc>
        <w:tc>
          <w:tcPr>
            <w:tcW w:w="7014" w:type="dxa"/>
            <w:tcBorders>
              <w:bottom w:val="single" w:color="7F7F7F" w:sz="6" w:space="0"/>
            </w:tcBorders>
          </w:tcPr>
          <w:p w14:paraId="36BD10C7">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color="7F7F7F" w:sz="6" w:space="0"/>
            </w:tcBorders>
          </w:tcPr>
          <w:p w14:paraId="0E396FB2">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2</w:t>
            </w:r>
          </w:p>
        </w:tc>
        <w:tc>
          <w:tcPr>
            <w:tcW w:w="4318" w:type="dxa"/>
            <w:tcBorders>
              <w:bottom w:val="single" w:color="7F7F7F" w:sz="6" w:space="0"/>
            </w:tcBorders>
          </w:tcPr>
          <w:p w14:paraId="4C7ECB7E">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rPr>
              <w:t xml:space="preserve">In this study, we conducted a MR analysis integrating pQTL-based proteomic data with gene expression data from the GEO database to explore the causal relationships and differential gene patterns associated with </w:t>
            </w:r>
            <w:r>
              <w:rPr>
                <w:rFonts w:hint="eastAsia" w:ascii="Times New Roman" w:hAnsi="Times New Roman" w:eastAsia="宋体" w:cs="Times New Roman"/>
                <w:sz w:val="20"/>
                <w:szCs w:val="20"/>
                <w:lang w:val="en-US" w:eastAsia="zh-CN"/>
              </w:rPr>
              <w:t>s</w:t>
            </w:r>
            <w:r>
              <w:rPr>
                <w:rFonts w:hint="default" w:ascii="Times New Roman" w:hAnsi="Times New Roman" w:eastAsia="Times New Roman" w:cs="Times New Roman"/>
                <w:sz w:val="20"/>
                <w:szCs w:val="20"/>
                <w:lang w:val="en-GB" w:eastAsia="en-GB"/>
              </w:rPr>
              <w:t>pina bifida</w:t>
            </w:r>
            <w:r>
              <w:rPr>
                <w:rFonts w:hint="default" w:ascii="Times New Roman" w:hAnsi="Times New Roman" w:cs="Times New Roman"/>
                <w:sz w:val="20"/>
                <w:szCs w:val="20"/>
              </w:rPr>
              <w:t xml:space="preserve">. Furthermore, we employed generalized summary-data-based Mendelian randomization (GSMR), single-gene gene set enrichment analysis (GSEA), and phenome-wide association study (PheWAS) to identify potential biomarkers of </w:t>
            </w:r>
            <w:r>
              <w:rPr>
                <w:rFonts w:hint="eastAsia" w:ascii="Times New Roman" w:hAnsi="Times New Roman" w:eastAsia="宋体" w:cs="Times New Roman"/>
                <w:sz w:val="20"/>
                <w:szCs w:val="20"/>
                <w:lang w:val="en-US" w:eastAsia="zh-CN"/>
              </w:rPr>
              <w:t>s</w:t>
            </w:r>
            <w:r>
              <w:rPr>
                <w:rFonts w:hint="default" w:ascii="Times New Roman" w:hAnsi="Times New Roman" w:eastAsia="Times New Roman" w:cs="Times New Roman"/>
                <w:sz w:val="20"/>
                <w:szCs w:val="20"/>
                <w:lang w:val="en-GB" w:eastAsia="en-GB"/>
              </w:rPr>
              <w:t>pina bifida</w:t>
            </w:r>
            <w:r>
              <w:rPr>
                <w:rFonts w:hint="default" w:ascii="Times New Roman" w:hAnsi="Times New Roman" w:cs="Times New Roman"/>
                <w:sz w:val="20"/>
                <w:szCs w:val="20"/>
              </w:rPr>
              <w:t xml:space="preserve"> and assess their potential as druggable targets.2. MR definition: MR is a method that, under specific assumptions (relevance, independence, exclusion restriction), intends to estimate causal effects between protein exposures and </w:t>
            </w:r>
            <w:r>
              <w:rPr>
                <w:rFonts w:hint="default" w:ascii="Times New Roman" w:hAnsi="Times New Roman" w:eastAsia="等线" w:cs="Times New Roman"/>
                <w:kern w:val="2"/>
                <w:sz w:val="20"/>
                <w:szCs w:val="20"/>
                <w:lang w:val="en-US" w:eastAsia="zh-CN" w:bidi="ar"/>
              </w:rPr>
              <w:t>spina bifida</w:t>
            </w:r>
            <w:r>
              <w:rPr>
                <w:rFonts w:hint="default" w:ascii="Times New Roman" w:hAnsi="Times New Roman" w:cs="Times New Roman"/>
                <w:sz w:val="20"/>
                <w:szCs w:val="20"/>
              </w:rPr>
              <w:t xml:space="preserve"> risk</w:t>
            </w:r>
            <w:r>
              <w:rPr>
                <w:rFonts w:hint="default" w:ascii="Times New Roman" w:hAnsi="Times New Roman" w:eastAsia="宋体" w:cs="Times New Roman"/>
                <w:sz w:val="20"/>
                <w:szCs w:val="20"/>
                <w:lang w:val="en-US" w:eastAsia="zh-CN"/>
              </w:rPr>
              <w:t>.</w:t>
            </w:r>
          </w:p>
        </w:tc>
      </w:tr>
      <w:tr w14:paraId="5A83835E">
        <w:tblPrEx>
          <w:tblCellMar>
            <w:top w:w="0" w:type="dxa"/>
            <w:left w:w="108" w:type="dxa"/>
            <w:bottom w:w="0" w:type="dxa"/>
            <w:right w:w="108" w:type="dxa"/>
          </w:tblCellMar>
        </w:tblPrEx>
        <w:tc>
          <w:tcPr>
            <w:tcW w:w="616" w:type="dxa"/>
            <w:tcBorders>
              <w:top w:val="single" w:color="7F7F7F" w:sz="6" w:space="0"/>
            </w:tcBorders>
            <w:shd w:val="clear" w:color="auto" w:fill="EEEEEE"/>
          </w:tcPr>
          <w:p w14:paraId="4AD1369B">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p>
        </w:tc>
        <w:tc>
          <w:tcPr>
            <w:tcW w:w="1822" w:type="dxa"/>
            <w:tcBorders>
              <w:top w:val="single" w:color="7F7F7F" w:sz="6" w:space="0"/>
            </w:tcBorders>
            <w:shd w:val="clear" w:color="auto" w:fill="EEEEEE"/>
          </w:tcPr>
          <w:p w14:paraId="5728AD34">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b/>
                <w:bCs/>
                <w:sz w:val="20"/>
                <w:szCs w:val="20"/>
                <w:lang w:val="en-GB" w:eastAsia="en-GB"/>
              </w:rPr>
              <w:t>METHODS</w:t>
            </w:r>
          </w:p>
        </w:tc>
        <w:tc>
          <w:tcPr>
            <w:tcW w:w="7014" w:type="dxa"/>
            <w:tcBorders>
              <w:top w:val="single" w:color="7F7F7F" w:sz="6" w:space="0"/>
            </w:tcBorders>
            <w:shd w:val="clear" w:color="auto" w:fill="EEEEEE"/>
          </w:tcPr>
          <w:p w14:paraId="4E897603">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720" w:type="dxa"/>
            <w:tcBorders>
              <w:top w:val="single" w:color="7F7F7F" w:sz="6" w:space="0"/>
            </w:tcBorders>
            <w:shd w:val="clear" w:color="auto" w:fill="EEEEEE"/>
          </w:tcPr>
          <w:p w14:paraId="0A812DEE">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4318" w:type="dxa"/>
            <w:tcBorders>
              <w:top w:val="single" w:color="7F7F7F" w:sz="6" w:space="0"/>
            </w:tcBorders>
            <w:shd w:val="clear" w:color="auto" w:fill="EEEEEE"/>
          </w:tcPr>
          <w:p w14:paraId="18CBB8F6">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r>
      <w:tr w14:paraId="51327873">
        <w:tblPrEx>
          <w:tblCellMar>
            <w:top w:w="0" w:type="dxa"/>
            <w:left w:w="108" w:type="dxa"/>
            <w:bottom w:w="0" w:type="dxa"/>
            <w:right w:w="108" w:type="dxa"/>
          </w:tblCellMar>
        </w:tblPrEx>
        <w:tc>
          <w:tcPr>
            <w:tcW w:w="616" w:type="dxa"/>
          </w:tcPr>
          <w:p w14:paraId="02538A5D">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4</w:t>
            </w:r>
          </w:p>
        </w:tc>
        <w:tc>
          <w:tcPr>
            <w:tcW w:w="1822" w:type="dxa"/>
          </w:tcPr>
          <w:p w14:paraId="59EFC3C3">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b/>
                <w:bCs/>
                <w:sz w:val="20"/>
                <w:szCs w:val="20"/>
                <w:lang w:val="en-GB" w:eastAsia="en-GB"/>
              </w:rPr>
              <w:t>Study design and data sources</w:t>
            </w:r>
          </w:p>
        </w:tc>
        <w:tc>
          <w:tcPr>
            <w:tcW w:w="7014" w:type="dxa"/>
          </w:tcPr>
          <w:p w14:paraId="5E35EF99">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5635B6AB">
            <w:pPr>
              <w:keepNext w:val="0"/>
              <w:keepLines w:val="0"/>
              <w:widowControl/>
              <w:suppressLineNumbers w:val="0"/>
              <w:spacing w:before="96" w:beforeLines="40" w:beforeAutospacing="0" w:after="96" w:afterLines="40" w:afterAutospacing="0" w:line="24" w:lineRule="atLeast"/>
              <w:ind w:left="0" w:right="0"/>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3</w:t>
            </w:r>
          </w:p>
        </w:tc>
        <w:tc>
          <w:tcPr>
            <w:tcW w:w="4318" w:type="dxa"/>
          </w:tcPr>
          <w:p w14:paraId="65ADA226">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GB" w:eastAsia="en-GB"/>
              </w:rPr>
              <w:t>The analysis flowchart is presented in Figure 1.</w:t>
            </w:r>
            <w:r>
              <w:rPr>
                <w:rFonts w:hint="default" w:ascii="Times New Roman" w:hAnsi="Times New Roman" w:eastAsia="宋体" w:cs="Times New Roman"/>
                <w:sz w:val="20"/>
                <w:szCs w:val="20"/>
                <w:lang w:val="en-US" w:eastAsia="zh-CN"/>
              </w:rPr>
              <w:t xml:space="preserve"> An overview of all datasets used is provided in Table S1.</w:t>
            </w:r>
          </w:p>
        </w:tc>
      </w:tr>
      <w:tr w14:paraId="72ACD604">
        <w:tblPrEx>
          <w:tblCellMar>
            <w:top w:w="0" w:type="dxa"/>
            <w:left w:w="108" w:type="dxa"/>
            <w:bottom w:w="0" w:type="dxa"/>
            <w:right w:w="108" w:type="dxa"/>
          </w:tblCellMar>
        </w:tblPrEx>
        <w:trPr>
          <w:trHeight w:val="824" w:hRule="atLeast"/>
        </w:trPr>
        <w:tc>
          <w:tcPr>
            <w:tcW w:w="616" w:type="dxa"/>
            <w:shd w:val="clear" w:color="auto" w:fill="EEEEEE"/>
          </w:tcPr>
          <w:p w14:paraId="1843BC28">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shd w:val="clear" w:color="auto" w:fill="EEEEEE"/>
          </w:tcPr>
          <w:p w14:paraId="7995FEFA">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a)</w:t>
            </w:r>
          </w:p>
        </w:tc>
        <w:tc>
          <w:tcPr>
            <w:tcW w:w="7014" w:type="dxa"/>
            <w:shd w:val="clear" w:color="auto" w:fill="EEEEEE"/>
          </w:tcPr>
          <w:p w14:paraId="0A63C2B9">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shd w:val="clear" w:color="auto" w:fill="FFFFFF"/>
                <w:lang w:val="en-GB" w:eastAsia="en-GB"/>
              </w:rPr>
              <w:t xml:space="preserve">Setting: </w:t>
            </w:r>
            <w:r>
              <w:rPr>
                <w:rFonts w:hint="default" w:ascii="Times New Roman" w:hAnsi="Times New Roman" w:eastAsia="Times New Roman" w:cs="Times New Roman"/>
                <w:sz w:val="20"/>
                <w:szCs w:val="20"/>
                <w:lang w:val="en-GB" w:eastAsia="en-GB"/>
              </w:rPr>
              <w:t xml:space="preserve">Describe the study design and the underlying population, if possible. </w:t>
            </w:r>
            <w:r>
              <w:rPr>
                <w:rFonts w:hint="default" w:ascii="Times New Roman" w:hAnsi="Times New Roman" w:eastAsia="Times New Roman" w:cs="Times New Roman"/>
                <w:sz w:val="20"/>
                <w:szCs w:val="20"/>
                <w:shd w:val="clear" w:color="auto" w:fill="FFFFFF"/>
                <w:lang w:val="en-GB" w:eastAsia="en-GB"/>
              </w:rPr>
              <w:t xml:space="preserve">Describe the setting, locations, and relevant dates, including periods </w:t>
            </w:r>
            <w:r>
              <w:rPr>
                <w:rFonts w:hint="default" w:ascii="Times New Roman" w:hAnsi="Times New Roman" w:eastAsia="Times New Roman" w:cs="Times New Roman"/>
                <w:color w:val="000000"/>
                <w:sz w:val="20"/>
                <w:szCs w:val="20"/>
                <w:shd w:val="clear" w:color="auto" w:fill="FFFFFF"/>
                <w:lang w:val="en-GB" w:eastAsia="en-GB"/>
              </w:rPr>
              <w:t>of recruitment, exposure, follow-up, and data collection, when available.</w:t>
            </w:r>
          </w:p>
        </w:tc>
        <w:tc>
          <w:tcPr>
            <w:tcW w:w="720" w:type="dxa"/>
            <w:shd w:val="clear" w:color="auto" w:fill="EEEEEE"/>
          </w:tcPr>
          <w:p w14:paraId="3031D719">
            <w:pPr>
              <w:keepNext w:val="0"/>
              <w:keepLines w:val="0"/>
              <w:widowControl/>
              <w:suppressLineNumbers w:val="0"/>
              <w:spacing w:before="96" w:beforeLines="40" w:beforeAutospacing="0" w:after="96" w:afterLines="40" w:afterAutospacing="0" w:line="24" w:lineRule="atLeast"/>
              <w:ind w:left="0" w:right="0"/>
              <w:rPr>
                <w:rFonts w:hint="eastAsia" w:ascii="Times New Roman" w:hAnsi="Times New Roman" w:eastAsia="宋体" w:cs="Times New Roman"/>
                <w:sz w:val="20"/>
                <w:szCs w:val="20"/>
                <w:shd w:val="clear" w:color="auto" w:fill="FFFFFF"/>
                <w:lang w:val="en-US" w:eastAsia="zh-CN"/>
              </w:rPr>
            </w:pPr>
            <w:r>
              <w:rPr>
                <w:rFonts w:hint="eastAsia" w:ascii="Times New Roman" w:hAnsi="Times New Roman" w:eastAsia="宋体" w:cs="Times New Roman"/>
                <w:sz w:val="20"/>
                <w:szCs w:val="20"/>
                <w:shd w:val="clear" w:color="auto" w:fill="FFFFFF"/>
                <w:lang w:val="en-US" w:eastAsia="zh-CN"/>
              </w:rPr>
              <w:t>3</w:t>
            </w:r>
          </w:p>
        </w:tc>
        <w:tc>
          <w:tcPr>
            <w:tcW w:w="4318" w:type="dxa"/>
            <w:shd w:val="clear" w:color="auto" w:fill="EEEEEE"/>
          </w:tcPr>
          <w:p w14:paraId="0315B426">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shd w:val="clear" w:color="auto" w:fill="FFFFFF"/>
                <w:lang w:val="en-GB" w:eastAsia="en-GB"/>
              </w:rPr>
            </w:pPr>
            <w:r>
              <w:rPr>
                <w:rFonts w:hint="default" w:ascii="Times New Roman" w:hAnsi="Times New Roman" w:cs="Times New Roman"/>
                <w:sz w:val="20"/>
                <w:szCs w:val="20"/>
                <w:lang w:val="en-GB" w:eastAsia="en-GB"/>
              </w:rPr>
              <w:t>The</w:t>
            </w:r>
            <w:r>
              <w:rPr>
                <w:rFonts w:hint="default" w:ascii="Times New Roman" w:hAnsi="Times New Roman" w:eastAsia="宋体" w:cs="Times New Roman"/>
                <w:sz w:val="20"/>
                <w:szCs w:val="20"/>
                <w:lang w:val="en-US" w:eastAsia="zh-CN"/>
              </w:rPr>
              <w:t xml:space="preserve"> </w:t>
            </w:r>
            <w:r>
              <w:rPr>
                <w:rFonts w:hint="default" w:ascii="Times New Roman" w:hAnsi="Times New Roman" w:cs="Times New Roman"/>
                <w:sz w:val="20"/>
                <w:szCs w:val="20"/>
                <w:lang w:val="en-GB" w:eastAsia="en-GB"/>
              </w:rPr>
              <w:t>samples</w:t>
            </w:r>
            <w:r>
              <w:rPr>
                <w:rFonts w:hint="default" w:ascii="Times New Roman" w:hAnsi="Times New Roman" w:eastAsia="宋体" w:cs="Times New Roman"/>
                <w:sz w:val="20"/>
                <w:szCs w:val="20"/>
                <w:lang w:val="en-US" w:eastAsia="zh-CN"/>
              </w:rPr>
              <w:t xml:space="preserve"> </w:t>
            </w:r>
            <w:r>
              <w:rPr>
                <w:rFonts w:hint="default" w:ascii="Times New Roman" w:hAnsi="Times New Roman" w:cs="Times New Roman"/>
                <w:sz w:val="20"/>
                <w:szCs w:val="20"/>
                <w:lang w:val="en-GB" w:eastAsia="en-GB"/>
              </w:rPr>
              <w:t>we</w:t>
            </w:r>
            <w:r>
              <w:rPr>
                <w:rFonts w:hint="default" w:ascii="Times New Roman" w:hAnsi="Times New Roman" w:eastAsia="宋体" w:cs="Times New Roman"/>
                <w:sz w:val="20"/>
                <w:szCs w:val="20"/>
                <w:lang w:val="en-US" w:eastAsia="zh-CN"/>
              </w:rPr>
              <w:t xml:space="preserve"> </w:t>
            </w:r>
            <w:r>
              <w:rPr>
                <w:rFonts w:hint="default" w:ascii="Times New Roman" w:hAnsi="Times New Roman" w:cs="Times New Roman"/>
                <w:sz w:val="20"/>
                <w:szCs w:val="20"/>
                <w:lang w:val="en-GB" w:eastAsia="en-GB"/>
              </w:rPr>
              <w:t>used</w:t>
            </w:r>
            <w:r>
              <w:rPr>
                <w:rFonts w:hint="default" w:ascii="Times New Roman" w:hAnsi="Times New Roman" w:eastAsia="宋体" w:cs="Times New Roman"/>
                <w:sz w:val="20"/>
                <w:szCs w:val="20"/>
                <w:lang w:val="en-US" w:eastAsia="zh-CN"/>
              </w:rPr>
              <w:t xml:space="preserve"> </w:t>
            </w:r>
            <w:r>
              <w:rPr>
                <w:rFonts w:hint="default" w:ascii="Times New Roman" w:hAnsi="Times New Roman" w:cs="Times New Roman"/>
                <w:sz w:val="20"/>
                <w:szCs w:val="20"/>
                <w:lang w:val="en-GB" w:eastAsia="en-GB"/>
              </w:rPr>
              <w:t>were</w:t>
            </w:r>
            <w:r>
              <w:rPr>
                <w:rFonts w:hint="default" w:ascii="Times New Roman" w:hAnsi="Times New Roman" w:eastAsia="宋体" w:cs="Times New Roman"/>
                <w:sz w:val="20"/>
                <w:szCs w:val="20"/>
                <w:lang w:val="en-US" w:eastAsia="zh-CN"/>
              </w:rPr>
              <w:t xml:space="preserve"> </w:t>
            </w:r>
            <w:r>
              <w:rPr>
                <w:rFonts w:hint="default" w:ascii="Times New Roman" w:hAnsi="Times New Roman" w:cs="Times New Roman"/>
                <w:sz w:val="20"/>
                <w:szCs w:val="20"/>
                <w:lang w:val="en-GB" w:eastAsia="en-GB"/>
              </w:rPr>
              <w:t>all</w:t>
            </w:r>
            <w:r>
              <w:rPr>
                <w:rFonts w:hint="default" w:ascii="Times New Roman" w:hAnsi="Times New Roman" w:eastAsia="宋体" w:cs="Times New Roman"/>
                <w:sz w:val="20"/>
                <w:szCs w:val="20"/>
                <w:lang w:val="en-US" w:eastAsia="zh-CN"/>
              </w:rPr>
              <w:t xml:space="preserve"> </w:t>
            </w:r>
            <w:r>
              <w:rPr>
                <w:rFonts w:hint="default" w:ascii="Times New Roman" w:hAnsi="Times New Roman" w:cs="Times New Roman"/>
                <w:sz w:val="20"/>
                <w:szCs w:val="20"/>
                <w:lang w:val="en-GB" w:eastAsia="en-GB"/>
              </w:rPr>
              <w:t>from</w:t>
            </w:r>
            <w:r>
              <w:rPr>
                <w:rFonts w:hint="default" w:ascii="Times New Roman" w:hAnsi="Times New Roman" w:eastAsia="宋体" w:cs="Times New Roman"/>
                <w:sz w:val="20"/>
                <w:szCs w:val="20"/>
                <w:lang w:val="en-US" w:eastAsia="zh-CN"/>
              </w:rPr>
              <w:t xml:space="preserve"> </w:t>
            </w:r>
            <w:r>
              <w:rPr>
                <w:rFonts w:hint="default" w:ascii="Times New Roman" w:hAnsi="Times New Roman" w:cs="Times New Roman"/>
                <w:sz w:val="20"/>
                <w:szCs w:val="20"/>
                <w:lang w:val="en-GB" w:eastAsia="en-GB"/>
              </w:rPr>
              <w:t>people</w:t>
            </w:r>
            <w:r>
              <w:rPr>
                <w:rFonts w:hint="default" w:ascii="Times New Roman" w:hAnsi="Times New Roman" w:eastAsia="宋体" w:cs="Times New Roman"/>
                <w:sz w:val="20"/>
                <w:szCs w:val="20"/>
                <w:lang w:val="en-US" w:eastAsia="zh-CN"/>
              </w:rPr>
              <w:t xml:space="preserve"> </w:t>
            </w:r>
            <w:r>
              <w:rPr>
                <w:rFonts w:hint="default" w:ascii="Times New Roman" w:hAnsi="Times New Roman" w:cs="Times New Roman"/>
                <w:sz w:val="20"/>
                <w:szCs w:val="20"/>
                <w:lang w:val="en-GB" w:eastAsia="en-GB"/>
              </w:rPr>
              <w:t>of</w:t>
            </w:r>
            <w:r>
              <w:rPr>
                <w:rFonts w:hint="default" w:ascii="Times New Roman" w:hAnsi="Times New Roman" w:eastAsia="宋体" w:cs="Times New Roman"/>
                <w:sz w:val="20"/>
                <w:szCs w:val="20"/>
                <w:lang w:val="en-US" w:eastAsia="zh-CN"/>
              </w:rPr>
              <w:t xml:space="preserve"> </w:t>
            </w:r>
            <w:r>
              <w:rPr>
                <w:rFonts w:hint="default" w:ascii="Times New Roman" w:hAnsi="Times New Roman" w:cs="Times New Roman"/>
                <w:sz w:val="20"/>
                <w:szCs w:val="20"/>
                <w:lang w:val="en-GB" w:eastAsia="en-GB"/>
              </w:rPr>
              <w:t>European</w:t>
            </w:r>
            <w:r>
              <w:rPr>
                <w:rFonts w:hint="default" w:ascii="Times New Roman" w:hAnsi="Times New Roman" w:eastAsia="宋体" w:cs="Times New Roman"/>
                <w:sz w:val="20"/>
                <w:szCs w:val="20"/>
                <w:lang w:val="en-US" w:eastAsia="zh-CN"/>
              </w:rPr>
              <w:t xml:space="preserve"> </w:t>
            </w:r>
            <w:r>
              <w:rPr>
                <w:rFonts w:hint="default" w:ascii="Times New Roman" w:hAnsi="Times New Roman" w:cs="Times New Roman"/>
                <w:sz w:val="20"/>
                <w:szCs w:val="20"/>
                <w:lang w:val="en-GB" w:eastAsia="en-GB"/>
              </w:rPr>
              <w:t>ancestry.</w:t>
            </w:r>
          </w:p>
        </w:tc>
      </w:tr>
      <w:tr w14:paraId="6D3C3863">
        <w:tblPrEx>
          <w:tblCellMar>
            <w:top w:w="0" w:type="dxa"/>
            <w:left w:w="108" w:type="dxa"/>
            <w:bottom w:w="0" w:type="dxa"/>
            <w:right w:w="108" w:type="dxa"/>
          </w:tblCellMar>
        </w:tblPrEx>
        <w:tc>
          <w:tcPr>
            <w:tcW w:w="616" w:type="dxa"/>
          </w:tcPr>
          <w:p w14:paraId="6B9B4AD8">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tcPr>
          <w:p w14:paraId="3F9326E5">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b)</w:t>
            </w:r>
          </w:p>
        </w:tc>
        <w:tc>
          <w:tcPr>
            <w:tcW w:w="7014" w:type="dxa"/>
          </w:tcPr>
          <w:p w14:paraId="0B4804B9">
            <w:pPr>
              <w:keepNext w:val="0"/>
              <w:keepLines w:val="0"/>
              <w:widowControl/>
              <w:suppressLineNumbers w:val="0"/>
              <w:spacing w:before="96" w:beforeLines="40" w:beforeAutospacing="0" w:after="96" w:afterLines="40" w:afterAutospacing="0" w:line="24" w:lineRule="atLeast"/>
              <w:ind w:left="0" w:right="0"/>
              <w:textAlignment w:val="baseline"/>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shd w:val="clear" w:color="auto" w:fill="FFFFFF"/>
                <w:lang w:val="en-GB" w:eastAsia="en-GB"/>
              </w:rPr>
              <w:t xml:space="preserve">Participants: Give the eligibility criteria, and the sources and methods of selection of participants. </w:t>
            </w:r>
            <w:r>
              <w:rPr>
                <w:rFonts w:hint="default" w:ascii="Times New Roman" w:hAnsi="Times New Roman" w:eastAsia="Times New Roman" w:cs="Times New Roman"/>
                <w:color w:val="000000"/>
                <w:sz w:val="20"/>
                <w:szCs w:val="20"/>
              </w:rPr>
              <w:t>Report the sample size, and whether any power or sample size calculations were carried out prior to the main analysis</w:t>
            </w:r>
            <w:r>
              <w:rPr>
                <w:rFonts w:hint="default" w:ascii="Times New Roman" w:hAnsi="Times New Roman" w:eastAsia="Times New Roman" w:cs="Times New Roman"/>
                <w:sz w:val="20"/>
                <w:szCs w:val="20"/>
                <w:lang w:val="en-GB" w:eastAsia="en-GB"/>
              </w:rPr>
              <w:t> </w:t>
            </w:r>
          </w:p>
        </w:tc>
        <w:tc>
          <w:tcPr>
            <w:tcW w:w="720" w:type="dxa"/>
          </w:tcPr>
          <w:p w14:paraId="64E9E567">
            <w:pPr>
              <w:keepNext w:val="0"/>
              <w:keepLines w:val="0"/>
              <w:widowControl/>
              <w:suppressLineNumbers w:val="0"/>
              <w:spacing w:before="96" w:beforeLines="40" w:beforeAutospacing="0" w:after="96" w:afterLines="40" w:afterAutospacing="0" w:line="24" w:lineRule="atLeast"/>
              <w:ind w:left="0" w:right="0"/>
              <w:textAlignment w:val="baseline"/>
              <w:rPr>
                <w:rFonts w:hint="eastAsia" w:ascii="Times New Roman" w:hAnsi="Times New Roman" w:eastAsia="宋体" w:cs="Times New Roman"/>
                <w:sz w:val="20"/>
                <w:szCs w:val="20"/>
                <w:shd w:val="clear" w:color="auto" w:fill="FFFFFF"/>
                <w:lang w:val="en-US" w:eastAsia="zh-CN"/>
              </w:rPr>
            </w:pPr>
            <w:r>
              <w:rPr>
                <w:rFonts w:hint="eastAsia" w:ascii="Times New Roman" w:hAnsi="Times New Roman" w:eastAsia="宋体" w:cs="Times New Roman"/>
                <w:sz w:val="20"/>
                <w:szCs w:val="20"/>
                <w:shd w:val="clear" w:color="auto" w:fill="FFFFFF"/>
                <w:lang w:val="en-US" w:eastAsia="zh-CN"/>
              </w:rPr>
              <w:t>3</w:t>
            </w:r>
          </w:p>
        </w:tc>
        <w:tc>
          <w:tcPr>
            <w:tcW w:w="4318" w:type="dxa"/>
          </w:tcPr>
          <w:p w14:paraId="7C128318">
            <w:pPr>
              <w:keepNext w:val="0"/>
              <w:keepLines w:val="0"/>
              <w:widowControl/>
              <w:suppressLineNumbers w:val="0"/>
              <w:spacing w:before="96" w:beforeLines="40" w:beforeAutospacing="0" w:after="96" w:afterLines="40" w:afterAutospacing="0" w:line="24" w:lineRule="atLeast"/>
              <w:ind w:left="0" w:right="0"/>
              <w:textAlignment w:val="baseline"/>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rPr>
              <w:t>Three large-scale pQTL datasets were utilized. The Decode dataset, generated using the SomaScan platform, included protein quantification for 4,719 targets in 35,559 Icelandic</w:t>
            </w:r>
            <w:r>
              <w:rPr>
                <w:rFonts w:hint="default" w:ascii="Times New Roman" w:hAnsi="Times New Roman" w:cs="Times New Roman" w:eastAsiaTheme="minorEastAsia"/>
                <w:sz w:val="20"/>
                <w:szCs w:val="20"/>
                <w:lang w:eastAsia="zh-CN"/>
              </w:rPr>
              <w:t xml:space="preserve"> </w:t>
            </w:r>
            <w:r>
              <w:rPr>
                <w:rFonts w:hint="default" w:ascii="Times New Roman" w:hAnsi="Times New Roman" w:cs="Times New Roman"/>
                <w:sz w:val="20"/>
                <w:szCs w:val="20"/>
              </w:rPr>
              <w:t>individuals</w:t>
            </w:r>
            <w:r>
              <w:rPr>
                <w:rFonts w:hint="default" w:ascii="Times New Roman" w:hAnsi="Times New Roman" w:cs="Times New Roman" w:eastAsiaTheme="minorEastAsia"/>
                <w:sz w:val="20"/>
                <w:szCs w:val="20"/>
                <w:lang w:eastAsia="zh-CN"/>
              </w:rPr>
              <w:t xml:space="preserve"> </w:t>
            </w:r>
            <w:r>
              <w:rPr>
                <w:rFonts w:hint="default" w:ascii="Times New Roman" w:hAnsi="Times New Roman" w:cs="Times New Roman"/>
                <w:sz w:val="20"/>
                <w:szCs w:val="20"/>
              </w:rPr>
              <w:t xml:space="preserve"> </w:t>
            </w:r>
            <w:r>
              <w:rPr>
                <w:rFonts w:hint="default" w:ascii="Times New Roman" w:hAnsi="Times New Roman" w:eastAsia="宋体" w:cs="Times New Roman"/>
                <w:sz w:val="20"/>
                <w:szCs w:val="20"/>
                <w:lang w:val="en-US" w:eastAsia="zh-CN"/>
              </w:rPr>
              <w:t>(</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HYPERLINK "https://www.decode.com/summarydata/"</w:instrText>
            </w:r>
            <w:r>
              <w:rPr>
                <w:rFonts w:hint="default" w:ascii="Times New Roman" w:hAnsi="Times New Roman" w:cs="Times New Roman"/>
                <w:sz w:val="20"/>
                <w:szCs w:val="20"/>
              </w:rPr>
              <w:fldChar w:fldCharType="separate"/>
            </w:r>
            <w:r>
              <w:rPr>
                <w:rStyle w:val="10"/>
                <w:rFonts w:hint="default" w:ascii="Times New Roman" w:hAnsi="Times New Roman" w:cs="Times New Roman"/>
                <w:sz w:val="20"/>
                <w:szCs w:val="20"/>
              </w:rPr>
              <w:t>https://www.decode.com/summarydata/</w:t>
            </w:r>
            <w:r>
              <w:rPr>
                <w:rFonts w:hint="default" w:ascii="Times New Roman" w:hAnsi="Times New Roman" w:cs="Times New Roman"/>
                <w:sz w:val="20"/>
                <w:szCs w:val="20"/>
              </w:rPr>
              <w:fldChar w:fldCharType="end"/>
            </w:r>
            <w:r>
              <w:rPr>
                <w:rFonts w:hint="default" w:ascii="Times New Roman" w:hAnsi="Times New Roman" w:eastAsia="宋体" w:cs="Times New Roman"/>
                <w:sz w:val="20"/>
                <w:szCs w:val="20"/>
                <w:lang w:val="en-US" w:eastAsia="zh-CN"/>
              </w:rPr>
              <w:t>)</w:t>
            </w:r>
            <w:r>
              <w:rPr>
                <w:rFonts w:hint="default" w:ascii="Times New Roman" w:hAnsi="Times New Roman" w:cs="Times New Roman"/>
                <w:sz w:val="20"/>
                <w:szCs w:val="20"/>
              </w:rPr>
              <w:t>. The UK Biobank Pharma Proteomics Project (UKB_PPP) dataset, based on the Olink platform, provided measurements of 2,923 proteins in 54,219 UK participants</w:t>
            </w:r>
            <w:r>
              <w:rPr>
                <w:rFonts w:hint="default" w:ascii="Times New Roman" w:hAnsi="Times New Roman" w:eastAsia="宋体" w:cs="Times New Roman"/>
                <w:sz w:val="20"/>
                <w:szCs w:val="20"/>
                <w:lang w:val="en-US" w:eastAsia="zh-CN"/>
              </w:rPr>
              <w:t xml:space="preserve">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"https://registry.opendata.aws/ukbppp/" </w:instrText>
            </w:r>
            <w:r>
              <w:rPr>
                <w:rFonts w:hint="default" w:ascii="Times New Roman" w:hAnsi="Times New Roman" w:cs="Times New Roman"/>
                <w:sz w:val="20"/>
                <w:szCs w:val="20"/>
              </w:rPr>
              <w:fldChar w:fldCharType="separate"/>
            </w:r>
            <w:r>
              <w:rPr>
                <w:rStyle w:val="10"/>
                <w:rFonts w:hint="default" w:ascii="Times New Roman" w:hAnsi="Times New Roman" w:eastAsia="宋体" w:cs="Times New Roman"/>
                <w:sz w:val="20"/>
                <w:szCs w:val="20"/>
                <w:lang w:val="en-US" w:eastAsia="zh-CN"/>
              </w:rPr>
              <w:t>https://registry.opendata.aws/ukbppp/</w:t>
            </w:r>
            <w:r>
              <w:rPr>
                <w:rStyle w:val="10"/>
                <w:rFonts w:hint="default" w:ascii="Times New Roman" w:hAnsi="Times New Roman" w:eastAsia="宋体" w:cs="Times New Roman"/>
                <w:sz w:val="20"/>
                <w:szCs w:val="20"/>
                <w:lang w:val="en-US" w:eastAsia="zh-CN"/>
              </w:rPr>
              <w:fldChar w:fldCharType="end"/>
            </w:r>
            <w:r>
              <w:rPr>
                <w:rFonts w:hint="default" w:ascii="Times New Roman" w:hAnsi="Times New Roman" w:eastAsia="宋体" w:cs="Times New Roman"/>
                <w:sz w:val="20"/>
                <w:szCs w:val="20"/>
                <w:lang w:val="en-US" w:eastAsia="zh-CN"/>
              </w:rPr>
              <w:t>)</w:t>
            </w:r>
            <w:r>
              <w:rPr>
                <w:rFonts w:hint="default" w:ascii="Times New Roman" w:hAnsi="Times New Roman" w:cs="Times New Roman"/>
                <w:sz w:val="20"/>
                <w:szCs w:val="20"/>
              </w:rPr>
              <w:t>. The Prot_a (SUN_BB) dataset, also using SomaScan, contained measurements of 2,994 proteins in 3,301 individuals of European ancestry</w:t>
            </w:r>
            <w:r>
              <w:rPr>
                <w:rFonts w:hint="default" w:ascii="Times New Roman" w:hAnsi="Times New Roman" w:eastAsia="宋体" w:cs="Times New Roman"/>
                <w:sz w:val="20"/>
                <w:szCs w:val="20"/>
                <w:lang w:val="en-US" w:eastAsia="zh-CN"/>
              </w:rPr>
              <w:t xml:space="preserve">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"https://gwas.mrcieu.ac.uk/" </w:instrText>
            </w:r>
            <w:r>
              <w:rPr>
                <w:rFonts w:hint="default" w:ascii="Times New Roman" w:hAnsi="Times New Roman" w:cs="Times New Roman"/>
                <w:sz w:val="20"/>
                <w:szCs w:val="20"/>
              </w:rPr>
              <w:fldChar w:fldCharType="separate"/>
            </w:r>
            <w:r>
              <w:rPr>
                <w:rStyle w:val="10"/>
                <w:rFonts w:hint="default" w:ascii="Times New Roman" w:hAnsi="Times New Roman" w:eastAsia="宋体" w:cs="Times New Roman"/>
                <w:sz w:val="20"/>
                <w:szCs w:val="20"/>
                <w:lang w:val="en-US" w:eastAsia="zh-CN"/>
              </w:rPr>
              <w:t>https://gwas.mrcieu.ac.uk/</w:t>
            </w:r>
            <w:r>
              <w:rPr>
                <w:rStyle w:val="10"/>
                <w:rFonts w:hint="default" w:ascii="Times New Roman" w:hAnsi="Times New Roman" w:eastAsia="宋体" w:cs="Times New Roman"/>
                <w:sz w:val="20"/>
                <w:szCs w:val="20"/>
                <w:lang w:val="en-US" w:eastAsia="zh-CN"/>
              </w:rPr>
              <w:fldChar w:fldCharType="end"/>
            </w:r>
            <w:r>
              <w:rPr>
                <w:rFonts w:hint="default" w:ascii="Times New Roman" w:hAnsi="Times New Roman" w:eastAsia="宋体" w:cs="Times New Roman"/>
                <w:sz w:val="20"/>
                <w:szCs w:val="20"/>
                <w:lang w:val="en-US" w:eastAsia="zh-CN"/>
              </w:rPr>
              <w:t>)</w:t>
            </w:r>
            <w:r>
              <w:rPr>
                <w:rFonts w:hint="default" w:ascii="Times New Roman" w:hAnsi="Times New Roman" w:cs="Times New Roman"/>
                <w:sz w:val="20"/>
                <w:szCs w:val="20"/>
              </w:rPr>
              <w:t xml:space="preserve">. Genetic association data for </w:t>
            </w:r>
            <w:r>
              <w:rPr>
                <w:rFonts w:hint="eastAsia" w:ascii="Times New Roman" w:hAnsi="Times New Roman" w:eastAsia="宋体" w:cs="Times New Roman"/>
                <w:sz w:val="20"/>
                <w:szCs w:val="20"/>
                <w:lang w:val="en-US" w:eastAsia="zh-CN"/>
              </w:rPr>
              <w:t>s</w:t>
            </w:r>
            <w:r>
              <w:rPr>
                <w:rFonts w:hint="default" w:ascii="Times New Roman" w:hAnsi="Times New Roman" w:eastAsia="Times New Roman" w:cs="Times New Roman"/>
                <w:sz w:val="20"/>
                <w:szCs w:val="20"/>
                <w:lang w:val="en-GB" w:eastAsia="en-GB"/>
              </w:rPr>
              <w:t>pina bifida</w:t>
            </w:r>
            <w:r>
              <w:rPr>
                <w:rFonts w:hint="default" w:ascii="Times New Roman" w:hAnsi="Times New Roman" w:cs="Times New Roman"/>
                <w:sz w:val="20"/>
                <w:szCs w:val="20"/>
              </w:rPr>
              <w:t xml:space="preserve"> were obtained from PAN_UKB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"https://pan.ukbb.broadinstitute.org/downloads" </w:instrText>
            </w:r>
            <w:r>
              <w:rPr>
                <w:rFonts w:hint="default" w:ascii="Times New Roman" w:hAnsi="Times New Roman" w:cs="Times New Roman"/>
                <w:sz w:val="20"/>
                <w:szCs w:val="20"/>
              </w:rPr>
              <w:fldChar w:fldCharType="separate"/>
            </w:r>
            <w:r>
              <w:rPr>
                <w:rStyle w:val="10"/>
                <w:rFonts w:hint="default" w:ascii="Times New Roman" w:hAnsi="Times New Roman" w:cs="Times New Roman"/>
                <w:sz w:val="20"/>
                <w:szCs w:val="20"/>
              </w:rPr>
              <w:t>https://pan.ukbb.broadinstitute.org/downloads</w:t>
            </w:r>
            <w:r>
              <w:rPr>
                <w:rStyle w:val="10"/>
                <w:rFonts w:hint="default" w:ascii="Times New Roman" w:hAnsi="Times New Roman" w:cs="Times New Roman"/>
                <w:sz w:val="20"/>
                <w:szCs w:val="20"/>
              </w:rPr>
              <w:fldChar w:fldCharType="end"/>
            </w:r>
            <w:r>
              <w:rPr>
                <w:rFonts w:hint="default" w:ascii="Times New Roman" w:hAnsi="Times New Roman" w:cs="Times New Roman"/>
                <w:sz w:val="20"/>
                <w:szCs w:val="20"/>
              </w:rPr>
              <w:t>), comprising 210 cases and 408,394 controls.</w:t>
            </w:r>
          </w:p>
        </w:tc>
      </w:tr>
      <w:tr w14:paraId="0E093632">
        <w:tblPrEx>
          <w:tblCellMar>
            <w:top w:w="0" w:type="dxa"/>
            <w:left w:w="108" w:type="dxa"/>
            <w:bottom w:w="0" w:type="dxa"/>
            <w:right w:w="108" w:type="dxa"/>
          </w:tblCellMar>
        </w:tblPrEx>
        <w:trPr>
          <w:trHeight w:val="774" w:hRule="atLeast"/>
        </w:trPr>
        <w:tc>
          <w:tcPr>
            <w:tcW w:w="616" w:type="dxa"/>
            <w:shd w:val="clear" w:color="auto" w:fill="EEEEEE"/>
          </w:tcPr>
          <w:p w14:paraId="3A4C13CB">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shd w:val="clear" w:color="auto" w:fill="EEEEEE"/>
          </w:tcPr>
          <w:p w14:paraId="13A026E5">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c)</w:t>
            </w:r>
          </w:p>
        </w:tc>
        <w:tc>
          <w:tcPr>
            <w:tcW w:w="7014" w:type="dxa"/>
            <w:shd w:val="clear" w:color="auto" w:fill="EEEEEE"/>
          </w:tcPr>
          <w:p w14:paraId="0200D1FF">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Describe measurement, quality control and selection of genetic variants</w:t>
            </w:r>
          </w:p>
        </w:tc>
        <w:tc>
          <w:tcPr>
            <w:tcW w:w="720" w:type="dxa"/>
            <w:shd w:val="clear" w:color="auto" w:fill="EEEEEE"/>
          </w:tcPr>
          <w:p w14:paraId="7484DCF4">
            <w:pPr>
              <w:keepNext w:val="0"/>
              <w:keepLines w:val="0"/>
              <w:widowControl/>
              <w:suppressLineNumbers w:val="0"/>
              <w:spacing w:before="96" w:beforeLines="40" w:beforeAutospacing="0" w:after="96" w:afterLines="40" w:afterAutospacing="0" w:line="24" w:lineRule="atLeast"/>
              <w:ind w:left="0" w:right="0"/>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3</w:t>
            </w:r>
          </w:p>
        </w:tc>
        <w:tc>
          <w:tcPr>
            <w:tcW w:w="4318" w:type="dxa"/>
            <w:shd w:val="clear" w:color="auto" w:fill="EEEEEE"/>
          </w:tcPr>
          <w:p w14:paraId="281D7B20">
            <w:pPr>
              <w:pStyle w:val="4"/>
              <w:keepNext w:val="0"/>
              <w:keepLines w:val="0"/>
              <w:widowControl/>
              <w:suppressLineNumbers w:val="0"/>
              <w:spacing w:line="300" w:lineRule="auto"/>
              <w:ind w:left="0" w:right="0"/>
              <w:rPr>
                <w:rFonts w:hint="default" w:ascii="Times New Roman" w:hAnsi="Times New Roman" w:eastAsia="Times New Roman" w:cs="Times New Roman"/>
                <w:sz w:val="20"/>
                <w:szCs w:val="20"/>
                <w:lang w:val="en-GB" w:eastAsia="en-GB"/>
              </w:rPr>
            </w:pPr>
            <w:r>
              <w:rPr>
                <w:rFonts w:hint="default" w:ascii="Times New Roman" w:hAnsi="Times New Roman" w:cs="Times New Roman"/>
                <w:sz w:val="20"/>
                <w:szCs w:val="20"/>
              </w:rPr>
              <w:t>Instrumental variables (IVs) were determined following standard GWAS criteria. SNPs that achieved genome-wide significance (p &lt; 5×10-8) were initially included, followed by LD pruning with a cutoff of R² &lt; 0.1 and a 10,000 kb distance threshold. Each instrument was assessed with the F statistic; SNPs with F values above 10 were retained to avoid weak-instrument bias.</w:t>
            </w:r>
          </w:p>
        </w:tc>
      </w:tr>
      <w:tr w14:paraId="1870B978">
        <w:tblPrEx>
          <w:tblCellMar>
            <w:top w:w="0" w:type="dxa"/>
            <w:left w:w="108" w:type="dxa"/>
            <w:bottom w:w="0" w:type="dxa"/>
            <w:right w:w="108" w:type="dxa"/>
          </w:tblCellMar>
        </w:tblPrEx>
        <w:tc>
          <w:tcPr>
            <w:tcW w:w="616" w:type="dxa"/>
          </w:tcPr>
          <w:p w14:paraId="1270DF27">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tcPr>
          <w:p w14:paraId="0F2D9D7C">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d)</w:t>
            </w:r>
          </w:p>
        </w:tc>
        <w:tc>
          <w:tcPr>
            <w:tcW w:w="7014" w:type="dxa"/>
          </w:tcPr>
          <w:p w14:paraId="63FF4801">
            <w:pPr>
              <w:keepNext w:val="0"/>
              <w:keepLines w:val="0"/>
              <w:widowControl/>
              <w:suppressLineNumbers w:val="0"/>
              <w:spacing w:before="96" w:beforeLines="40" w:beforeAutospacing="0" w:after="96" w:afterLines="40" w:afterAutospacing="0" w:line="24" w:lineRule="atLeast"/>
              <w:ind w:left="0" w:right="0"/>
              <w:textAlignment w:val="baseline"/>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shd w:val="clear" w:color="auto" w:fill="FFFFFF"/>
                <w:lang w:val="en-GB" w:eastAsia="en-GB"/>
              </w:rPr>
              <w:t>For each exposure, outcome, and other relevant variables, describe methods of assessment and diagnostic criteria for diseases</w:t>
            </w:r>
          </w:p>
        </w:tc>
        <w:tc>
          <w:tcPr>
            <w:tcW w:w="720" w:type="dxa"/>
          </w:tcPr>
          <w:p w14:paraId="537A43C6">
            <w:pPr>
              <w:keepNext w:val="0"/>
              <w:keepLines w:val="0"/>
              <w:widowControl/>
              <w:suppressLineNumbers w:val="0"/>
              <w:spacing w:before="96" w:beforeLines="40" w:beforeAutospacing="0" w:after="96" w:afterLines="40" w:afterAutospacing="0" w:line="24" w:lineRule="atLeast"/>
              <w:ind w:left="0" w:right="0"/>
              <w:textAlignment w:val="baseline"/>
              <w:rPr>
                <w:rFonts w:hint="default" w:ascii="Times New Roman" w:hAnsi="Times New Roman" w:eastAsia="Times New Roman" w:cs="Times New Roman"/>
                <w:sz w:val="20"/>
                <w:szCs w:val="20"/>
                <w:shd w:val="clear" w:color="auto" w:fill="FFFFFF"/>
                <w:lang w:val="en-GB" w:eastAsia="en-GB"/>
              </w:rPr>
            </w:pPr>
          </w:p>
        </w:tc>
        <w:tc>
          <w:tcPr>
            <w:tcW w:w="4318" w:type="dxa"/>
          </w:tcPr>
          <w:p w14:paraId="1486F4F9">
            <w:pPr>
              <w:keepNext w:val="0"/>
              <w:keepLines w:val="0"/>
              <w:widowControl/>
              <w:suppressLineNumbers w:val="0"/>
              <w:spacing w:before="96" w:beforeLines="40" w:beforeAutospacing="0" w:after="96" w:afterLines="40" w:afterAutospacing="0" w:line="24" w:lineRule="atLeast"/>
              <w:ind w:left="0" w:right="0"/>
              <w:textAlignment w:val="baseline"/>
              <w:rPr>
                <w:rFonts w:hint="default" w:ascii="Times New Roman" w:hAnsi="Times New Roman" w:eastAsia="Times New Roman" w:cs="Times New Roman"/>
                <w:sz w:val="20"/>
                <w:szCs w:val="20"/>
                <w:shd w:val="clear" w:color="auto" w:fill="FFFFFF"/>
                <w:lang w:val="en-GB" w:eastAsia="en-GB"/>
              </w:rPr>
            </w:pPr>
            <w:r>
              <w:rPr>
                <w:rFonts w:hint="default" w:ascii="Times New Roman" w:hAnsi="Times New Roman" w:eastAsia="宋体" w:cs="Times New Roman"/>
                <w:sz w:val="20"/>
                <w:szCs w:val="20"/>
                <w:shd w:val="clear" w:color="auto" w:fill="FFFFFF"/>
                <w:lang w:val="en-US" w:eastAsia="zh-CN"/>
              </w:rPr>
              <w:t>N.A.</w:t>
            </w:r>
          </w:p>
        </w:tc>
      </w:tr>
      <w:tr w14:paraId="27F7F662">
        <w:tblPrEx>
          <w:tblCellMar>
            <w:top w:w="0" w:type="dxa"/>
            <w:left w:w="108" w:type="dxa"/>
            <w:bottom w:w="0" w:type="dxa"/>
            <w:right w:w="108" w:type="dxa"/>
          </w:tblCellMar>
        </w:tblPrEx>
        <w:tc>
          <w:tcPr>
            <w:tcW w:w="616" w:type="dxa"/>
            <w:shd w:val="clear" w:color="auto" w:fill="EEEEEE"/>
          </w:tcPr>
          <w:p w14:paraId="3787EF3C">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shd w:val="clear" w:color="auto" w:fill="EEEEEE"/>
          </w:tcPr>
          <w:p w14:paraId="74F1A4F0">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e)</w:t>
            </w:r>
          </w:p>
        </w:tc>
        <w:tc>
          <w:tcPr>
            <w:tcW w:w="7014" w:type="dxa"/>
            <w:shd w:val="clear" w:color="auto" w:fill="EEEEEE"/>
          </w:tcPr>
          <w:p w14:paraId="75518AB6">
            <w:pPr>
              <w:keepNext w:val="0"/>
              <w:keepLines w:val="0"/>
              <w:widowControl/>
              <w:suppressLineNumbers w:val="0"/>
              <w:spacing w:before="96" w:beforeLines="40" w:beforeAutospacing="0" w:after="96" w:afterLines="40" w:afterAutospacing="0" w:line="24" w:lineRule="atLeast"/>
              <w:ind w:left="0" w:right="0"/>
              <w:textAlignment w:val="baseline"/>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shd w:val="clear" w:color="auto" w:fill="FFFFFF"/>
                <w:lang w:val="en-GB" w:eastAsia="en-GB"/>
              </w:rPr>
              <w:t>Provide details of ethics committee approval and participant informed consent, if relevant</w:t>
            </w:r>
          </w:p>
        </w:tc>
        <w:tc>
          <w:tcPr>
            <w:tcW w:w="720" w:type="dxa"/>
            <w:shd w:val="clear" w:color="auto" w:fill="EEEEEE"/>
          </w:tcPr>
          <w:p w14:paraId="54436E50">
            <w:pPr>
              <w:keepNext w:val="0"/>
              <w:keepLines w:val="0"/>
              <w:widowControl/>
              <w:suppressLineNumbers w:val="0"/>
              <w:spacing w:before="96" w:beforeLines="40" w:beforeAutospacing="0" w:after="96" w:afterLines="40" w:afterAutospacing="0" w:line="24" w:lineRule="atLeast"/>
              <w:ind w:left="0" w:right="0"/>
              <w:textAlignment w:val="baseline"/>
              <w:rPr>
                <w:rFonts w:hint="default" w:ascii="Times New Roman" w:hAnsi="Times New Roman" w:eastAsia="Times New Roman" w:cs="Times New Roman"/>
                <w:sz w:val="20"/>
                <w:szCs w:val="20"/>
                <w:shd w:val="clear" w:color="auto" w:fill="FFFFFF"/>
                <w:lang w:val="en-GB" w:eastAsia="en-GB"/>
              </w:rPr>
            </w:pPr>
          </w:p>
        </w:tc>
        <w:tc>
          <w:tcPr>
            <w:tcW w:w="4318" w:type="dxa"/>
            <w:shd w:val="clear" w:color="auto" w:fill="EEEEEE"/>
          </w:tcPr>
          <w:p w14:paraId="39EBD931">
            <w:pPr>
              <w:keepNext w:val="0"/>
              <w:keepLines w:val="0"/>
              <w:widowControl/>
              <w:suppressLineNumbers w:val="0"/>
              <w:spacing w:before="96" w:beforeLines="40" w:beforeAutospacing="0" w:after="96" w:afterLines="40" w:afterAutospacing="0" w:line="24" w:lineRule="atLeast"/>
              <w:ind w:left="0" w:right="0"/>
              <w:textAlignment w:val="baseline"/>
              <w:rPr>
                <w:rFonts w:hint="default" w:ascii="Times New Roman" w:hAnsi="Times New Roman" w:eastAsia="宋体" w:cs="Times New Roman"/>
                <w:sz w:val="20"/>
                <w:szCs w:val="20"/>
                <w:shd w:val="clear" w:color="auto" w:fill="FFFFFF"/>
                <w:lang w:val="en-US" w:eastAsia="zh-CN"/>
              </w:rPr>
            </w:pPr>
            <w:r>
              <w:rPr>
                <w:rFonts w:hint="default" w:ascii="Times New Roman" w:hAnsi="Times New Roman" w:eastAsia="宋体" w:cs="Times New Roman"/>
                <w:sz w:val="20"/>
                <w:szCs w:val="20"/>
                <w:shd w:val="clear" w:color="auto" w:fill="FFFFFF"/>
                <w:lang w:val="en-US" w:eastAsia="zh-CN"/>
              </w:rPr>
              <w:t>N.A.</w:t>
            </w:r>
          </w:p>
        </w:tc>
      </w:tr>
      <w:tr w14:paraId="4F6AB5AF">
        <w:tblPrEx>
          <w:tblCellMar>
            <w:top w:w="0" w:type="dxa"/>
            <w:left w:w="108" w:type="dxa"/>
            <w:bottom w:w="0" w:type="dxa"/>
            <w:right w:w="108" w:type="dxa"/>
          </w:tblCellMar>
        </w:tblPrEx>
        <w:tc>
          <w:tcPr>
            <w:tcW w:w="616" w:type="dxa"/>
          </w:tcPr>
          <w:p w14:paraId="6EB3CF50">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5</w:t>
            </w:r>
          </w:p>
        </w:tc>
        <w:tc>
          <w:tcPr>
            <w:tcW w:w="1822" w:type="dxa"/>
          </w:tcPr>
          <w:p w14:paraId="0325155F">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b/>
                <w:bCs/>
                <w:sz w:val="20"/>
                <w:szCs w:val="20"/>
                <w:lang w:val="en-GB" w:eastAsia="en-GB"/>
              </w:rPr>
              <w:t>Assumptions</w:t>
            </w:r>
          </w:p>
          <w:p w14:paraId="40B180CE">
            <w:pPr>
              <w:keepNext w:val="0"/>
              <w:keepLines w:val="0"/>
              <w:widowControl/>
              <w:suppressLineNumbers w:val="0"/>
              <w:spacing w:before="96" w:beforeLines="40" w:beforeAutospacing="0" w:after="96" w:afterLines="40" w:afterAutospacing="0" w:line="24" w:lineRule="atLeast"/>
              <w:ind w:left="0" w:right="0"/>
              <w:jc w:val="center"/>
              <w:rPr>
                <w:rFonts w:hint="default" w:ascii="Times New Roman" w:hAnsi="Times New Roman" w:eastAsia="Cambria" w:cs="Times New Roman"/>
                <w:sz w:val="20"/>
                <w:szCs w:val="20"/>
                <w:lang w:val="en-GB" w:eastAsia="en-US"/>
              </w:rPr>
            </w:pPr>
          </w:p>
        </w:tc>
        <w:tc>
          <w:tcPr>
            <w:tcW w:w="7014" w:type="dxa"/>
          </w:tcPr>
          <w:p w14:paraId="74A72784">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Explicitly state the three core IV assumptions for the main analysis (relevance, independence and exclusion restriction) as well assumptions for any additional or sensitivity analysis</w:t>
            </w:r>
          </w:p>
        </w:tc>
        <w:tc>
          <w:tcPr>
            <w:tcW w:w="720" w:type="dxa"/>
          </w:tcPr>
          <w:p w14:paraId="4BA3EB23">
            <w:pPr>
              <w:keepNext w:val="0"/>
              <w:keepLines w:val="0"/>
              <w:widowControl/>
              <w:suppressLineNumbers w:val="0"/>
              <w:spacing w:before="96" w:beforeLines="40" w:beforeAutospacing="0" w:after="96" w:afterLines="40" w:afterAutospacing="0" w:line="24" w:lineRule="atLeast"/>
              <w:ind w:left="0" w:right="0"/>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3</w:t>
            </w:r>
          </w:p>
        </w:tc>
        <w:tc>
          <w:tcPr>
            <w:tcW w:w="4318" w:type="dxa"/>
          </w:tcPr>
          <w:p w14:paraId="6A80850A">
            <w:pPr>
              <w:keepNext w:val="0"/>
              <w:keepLines w:val="0"/>
              <w:widowControl/>
              <w:numPr>
                <w:ilvl w:val="0"/>
                <w:numId w:val="2"/>
              </w:numPr>
              <w:suppressLineNumbers w:val="0"/>
              <w:spacing w:before="96" w:beforeLines="40" w:beforeAutospacing="0" w:after="96" w:afterLines="40" w:afterAutospacing="0" w:line="24" w:lineRule="atLeast"/>
              <w:ind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The MR analysis followed three main assumptions: (1) Instrumental variables (IVs) are significantly associated with the exposure; (2) IVs are not associated with confounding factors that influence both the exposure and outcome; (3) IVs affect the outcome solely through their impact on the exposure.</w:t>
            </w:r>
          </w:p>
          <w:p w14:paraId="5F7CBCFA">
            <w:pPr>
              <w:keepNext w:val="0"/>
              <w:keepLines w:val="0"/>
              <w:widowControl/>
              <w:numPr>
                <w:ilvl w:val="0"/>
                <w:numId w:val="2"/>
              </w:numPr>
              <w:suppressLineNumbers w:val="0"/>
              <w:spacing w:before="96" w:beforeLines="40" w:beforeAutospacing="0" w:after="96" w:afterLines="40" w:afterAutospacing="0" w:line="24" w:lineRule="atLeast"/>
              <w:ind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Additional analysis assumptions: GSMR assumes no residual horizontal pleiotropy after HEIDI outlier removal; Steiger test assumes the causal direction is from the exposure with larger phenotypic variance explained</w:t>
            </w:r>
            <w:r>
              <w:rPr>
                <w:rFonts w:hint="default" w:ascii="Times New Roman" w:hAnsi="Times New Roman" w:eastAsia="宋体" w:cs="Times New Roman"/>
                <w:sz w:val="20"/>
                <w:szCs w:val="20"/>
                <w:lang w:val="en-US" w:eastAsia="zh-CN"/>
              </w:rPr>
              <w:t>.</w:t>
            </w:r>
          </w:p>
        </w:tc>
      </w:tr>
      <w:tr w14:paraId="0DF22C1F">
        <w:tblPrEx>
          <w:tblCellMar>
            <w:top w:w="0" w:type="dxa"/>
            <w:left w:w="108" w:type="dxa"/>
            <w:bottom w:w="0" w:type="dxa"/>
            <w:right w:w="108" w:type="dxa"/>
          </w:tblCellMar>
        </w:tblPrEx>
        <w:trPr>
          <w:trHeight w:val="90" w:hRule="atLeast"/>
        </w:trPr>
        <w:tc>
          <w:tcPr>
            <w:tcW w:w="616" w:type="dxa"/>
            <w:shd w:val="clear" w:color="auto" w:fill="EEEEEE"/>
          </w:tcPr>
          <w:p w14:paraId="4BC8E5DF">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6</w:t>
            </w:r>
          </w:p>
        </w:tc>
        <w:tc>
          <w:tcPr>
            <w:tcW w:w="1822" w:type="dxa"/>
            <w:shd w:val="clear" w:color="auto" w:fill="EEEEEE"/>
          </w:tcPr>
          <w:p w14:paraId="75277A0B">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b/>
                <w:bCs/>
                <w:sz w:val="20"/>
                <w:szCs w:val="20"/>
                <w:lang w:val="en-GB" w:eastAsia="en-GB"/>
              </w:rPr>
              <w:t>Statistical methods: main analysis</w:t>
            </w:r>
          </w:p>
        </w:tc>
        <w:tc>
          <w:tcPr>
            <w:tcW w:w="7014" w:type="dxa"/>
            <w:shd w:val="clear" w:color="auto" w:fill="EEEEEE"/>
          </w:tcPr>
          <w:p w14:paraId="0681F6A1">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Describe statistical methods and statistics used</w:t>
            </w:r>
          </w:p>
        </w:tc>
        <w:tc>
          <w:tcPr>
            <w:tcW w:w="720" w:type="dxa"/>
            <w:shd w:val="clear" w:color="auto" w:fill="EEEEEE"/>
          </w:tcPr>
          <w:p w14:paraId="42DF3111">
            <w:pPr>
              <w:keepNext w:val="0"/>
              <w:keepLines w:val="0"/>
              <w:widowControl/>
              <w:suppressLineNumbers w:val="0"/>
              <w:spacing w:before="96" w:beforeLines="40" w:beforeAutospacing="0" w:after="96" w:afterLines="40" w:afterAutospacing="0" w:line="24" w:lineRule="atLeast"/>
              <w:ind w:left="0" w:right="0"/>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3</w:t>
            </w:r>
          </w:p>
        </w:tc>
        <w:tc>
          <w:tcPr>
            <w:tcW w:w="4318" w:type="dxa"/>
            <w:shd w:val="clear" w:color="auto" w:fill="EEEEEE"/>
          </w:tcPr>
          <w:p w14:paraId="076A23F5">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xml:space="preserve">For proteome-wide MR analyses, instrumental SNPs were selected by standard GWAS criteria (genome-wide significance p &lt; 5×10⁻⁸) followed by LD pruning (R² &lt; 0.1, 10,000 kb). F statistic (&gt;10) was used to exclude weak instruments. Cochran’s Q test assessed inter-instrument heterogeneity and </w:t>
            </w:r>
            <w:r>
              <w:rPr>
                <w:rFonts w:hint="default" w:ascii="Times New Roman" w:hAnsi="Times New Roman" w:eastAsia="宋体" w:cs="Times New Roman"/>
                <w:sz w:val="20"/>
                <w:szCs w:val="20"/>
                <w:lang w:val="en-US" w:eastAsia="zh-CN"/>
              </w:rPr>
              <w:t>s</w:t>
            </w:r>
            <w:r>
              <w:rPr>
                <w:rFonts w:hint="default" w:ascii="Times New Roman" w:hAnsi="Times New Roman" w:eastAsia="Times New Roman" w:cs="Times New Roman"/>
                <w:sz w:val="20"/>
                <w:szCs w:val="20"/>
                <w:lang w:val="en-GB" w:eastAsia="en-GB"/>
              </w:rPr>
              <w:t>teiger test confirmed causal direction. Wald ratio was used for single SNPs, with IVW as the primary method for multiple SNPs (supplemented by weighted median, MR-Egger, simple mode). MR-PRESSO detected outliers for sensitivity analysis; Bonferroni correction adjusted for multiple comparisons. All analyses were conducted in R via the TwoSampleMR package, with relevant statistics (effect sizes, p-values, 95% CIs) reported.</w:t>
            </w:r>
          </w:p>
        </w:tc>
      </w:tr>
      <w:tr w14:paraId="7218B30F">
        <w:tblPrEx>
          <w:tblCellMar>
            <w:top w:w="0" w:type="dxa"/>
            <w:left w:w="108" w:type="dxa"/>
            <w:bottom w:w="0" w:type="dxa"/>
            <w:right w:w="108" w:type="dxa"/>
          </w:tblCellMar>
        </w:tblPrEx>
        <w:tc>
          <w:tcPr>
            <w:tcW w:w="616" w:type="dxa"/>
          </w:tcPr>
          <w:p w14:paraId="1E936AFE">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tcPr>
          <w:p w14:paraId="187C61ED">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a)</w:t>
            </w:r>
          </w:p>
        </w:tc>
        <w:tc>
          <w:tcPr>
            <w:tcW w:w="7014" w:type="dxa"/>
          </w:tcPr>
          <w:p w14:paraId="76C577CB">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Describe how quantitative variables were handled in the analyses (i.e., scale, units, model)</w:t>
            </w:r>
          </w:p>
        </w:tc>
        <w:tc>
          <w:tcPr>
            <w:tcW w:w="720" w:type="dxa"/>
          </w:tcPr>
          <w:p w14:paraId="10919784">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p>
        </w:tc>
        <w:tc>
          <w:tcPr>
            <w:tcW w:w="4318" w:type="dxa"/>
          </w:tcPr>
          <w:p w14:paraId="3C6E64AA">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宋体" w:cs="Times New Roman"/>
                <w:sz w:val="20"/>
                <w:szCs w:val="20"/>
                <w:shd w:val="clear" w:color="auto" w:fill="FFFFFF"/>
                <w:lang w:val="en-US" w:eastAsia="zh-CN"/>
              </w:rPr>
              <w:t>N.A.</w:t>
            </w:r>
          </w:p>
        </w:tc>
      </w:tr>
      <w:tr w14:paraId="6CEC652F">
        <w:tblPrEx>
          <w:tblCellMar>
            <w:top w:w="0" w:type="dxa"/>
            <w:left w:w="108" w:type="dxa"/>
            <w:bottom w:w="0" w:type="dxa"/>
            <w:right w:w="108" w:type="dxa"/>
          </w:tblCellMar>
        </w:tblPrEx>
        <w:tc>
          <w:tcPr>
            <w:tcW w:w="616" w:type="dxa"/>
            <w:shd w:val="clear" w:color="auto" w:fill="EEEEEE"/>
          </w:tcPr>
          <w:p w14:paraId="389A3678">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shd w:val="clear" w:color="auto" w:fill="EEEEEE"/>
          </w:tcPr>
          <w:p w14:paraId="0F28625A">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b)</w:t>
            </w:r>
          </w:p>
        </w:tc>
        <w:tc>
          <w:tcPr>
            <w:tcW w:w="7014" w:type="dxa"/>
            <w:shd w:val="clear" w:color="auto" w:fill="EEEEEE"/>
          </w:tcPr>
          <w:p w14:paraId="1B51D87C">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Describe how genetic variants were handled in the analyses and, if applicable, how their weights were selected</w:t>
            </w:r>
          </w:p>
        </w:tc>
        <w:tc>
          <w:tcPr>
            <w:tcW w:w="720" w:type="dxa"/>
            <w:shd w:val="clear" w:color="auto" w:fill="EEEEEE"/>
          </w:tcPr>
          <w:p w14:paraId="2DEAD2F5">
            <w:pPr>
              <w:keepNext w:val="0"/>
              <w:keepLines w:val="0"/>
              <w:widowControl/>
              <w:suppressLineNumbers w:val="0"/>
              <w:spacing w:before="96" w:beforeLines="40" w:beforeAutospacing="0" w:after="96" w:afterLines="40" w:afterAutospacing="0" w:line="24" w:lineRule="atLeast"/>
              <w:ind w:left="0" w:right="0"/>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3</w:t>
            </w:r>
          </w:p>
        </w:tc>
        <w:tc>
          <w:tcPr>
            <w:tcW w:w="4318" w:type="dxa"/>
            <w:shd w:val="clear" w:color="auto" w:fill="EEEEEE"/>
          </w:tcPr>
          <w:p w14:paraId="24ABC68A">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eastAsia="Times New Roman" w:cs="Times New Roman"/>
                <w:sz w:val="20"/>
                <w:szCs w:val="20"/>
                <w:lang w:val="en-GB" w:eastAsia="en-GB"/>
              </w:rPr>
              <w:t>For duplicate proteins, the data with the larger F-statistic were selected. Based on the criteria for instrumental variables</w:t>
            </w:r>
            <w:r>
              <w:rPr>
                <w:rFonts w:hint="default" w:ascii="Times New Roman" w:hAnsi="Times New Roman" w:eastAsia="宋体" w:cs="Times New Roman"/>
                <w:sz w:val="20"/>
                <w:szCs w:val="20"/>
                <w:lang w:val="en-US" w:eastAsia="zh-CN"/>
              </w:rPr>
              <w:t>.</w:t>
            </w:r>
          </w:p>
        </w:tc>
      </w:tr>
      <w:tr w14:paraId="003B69B5">
        <w:tblPrEx>
          <w:tblCellMar>
            <w:top w:w="0" w:type="dxa"/>
            <w:left w:w="108" w:type="dxa"/>
            <w:bottom w:w="0" w:type="dxa"/>
            <w:right w:w="108" w:type="dxa"/>
          </w:tblCellMar>
        </w:tblPrEx>
        <w:tc>
          <w:tcPr>
            <w:tcW w:w="616" w:type="dxa"/>
          </w:tcPr>
          <w:p w14:paraId="43F2C019">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tcPr>
          <w:p w14:paraId="52C05B05">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c)</w:t>
            </w:r>
          </w:p>
        </w:tc>
        <w:tc>
          <w:tcPr>
            <w:tcW w:w="7014" w:type="dxa"/>
          </w:tcPr>
          <w:p w14:paraId="3870A3C9">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54482F1C">
            <w:pPr>
              <w:keepNext w:val="0"/>
              <w:keepLines w:val="0"/>
              <w:widowControl/>
              <w:suppressLineNumbers w:val="0"/>
              <w:spacing w:before="96" w:beforeLines="40" w:beforeAutospacing="0" w:after="96" w:afterLines="40" w:afterAutospacing="0" w:line="24" w:lineRule="atLeast"/>
              <w:ind w:left="0" w:right="0"/>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3</w:t>
            </w:r>
          </w:p>
        </w:tc>
        <w:tc>
          <w:tcPr>
            <w:tcW w:w="4318" w:type="dxa"/>
          </w:tcPr>
          <w:p w14:paraId="70441DE2">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I</w:t>
            </w:r>
            <w:r>
              <w:rPr>
                <w:rFonts w:hint="default" w:ascii="Times New Roman" w:hAnsi="Times New Roman" w:eastAsia="Times New Roman" w:cs="Times New Roman"/>
                <w:sz w:val="20"/>
                <w:szCs w:val="20"/>
                <w:lang w:val="en-GB" w:eastAsia="en-GB"/>
              </w:rPr>
              <w:t xml:space="preserve">nverse variance weighted </w:t>
            </w:r>
            <w:r>
              <w:rPr>
                <w:rFonts w:hint="default" w:ascii="Times New Roman" w:hAnsi="Times New Roman" w:eastAsia="宋体" w:cs="Times New Roman"/>
                <w:sz w:val="20"/>
                <w:szCs w:val="20"/>
                <w:lang w:val="en-US" w:eastAsia="zh-CN"/>
              </w:rPr>
              <w:t>method&amp;</w:t>
            </w:r>
            <w:r>
              <w:rPr>
                <w:rFonts w:hint="default" w:ascii="Times New Roman" w:hAnsi="Times New Roman" w:eastAsia="Times New Roman" w:cs="Times New Roman"/>
                <w:sz w:val="20"/>
                <w:szCs w:val="20"/>
                <w:lang w:val="en-GB" w:eastAsia="en-GB"/>
              </w:rPr>
              <w:t xml:space="preserve"> Wald ratio method</w:t>
            </w:r>
            <w:r>
              <w:rPr>
                <w:rFonts w:hint="default" w:ascii="Times New Roman" w:hAnsi="Times New Roman" w:eastAsia="宋体" w:cs="Times New Roman"/>
                <w:sz w:val="20"/>
                <w:szCs w:val="20"/>
                <w:lang w:val="en-US" w:eastAsia="zh-CN"/>
              </w:rPr>
              <w:t>.</w:t>
            </w:r>
          </w:p>
        </w:tc>
      </w:tr>
      <w:tr w14:paraId="351AFF7A">
        <w:tblPrEx>
          <w:tblCellMar>
            <w:top w:w="0" w:type="dxa"/>
            <w:left w:w="108" w:type="dxa"/>
            <w:bottom w:w="0" w:type="dxa"/>
            <w:right w:w="108" w:type="dxa"/>
          </w:tblCellMar>
        </w:tblPrEx>
        <w:tc>
          <w:tcPr>
            <w:tcW w:w="616" w:type="dxa"/>
            <w:shd w:val="clear" w:color="auto" w:fill="EEEEEE"/>
          </w:tcPr>
          <w:p w14:paraId="0252E8F3">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shd w:val="clear" w:color="auto" w:fill="EEEEEE"/>
          </w:tcPr>
          <w:p w14:paraId="41BF5B7D">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d)</w:t>
            </w:r>
          </w:p>
        </w:tc>
        <w:tc>
          <w:tcPr>
            <w:tcW w:w="7014" w:type="dxa"/>
            <w:shd w:val="clear" w:color="auto" w:fill="EEEEEE"/>
          </w:tcPr>
          <w:p w14:paraId="6525AEE0">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Explain how missing data were addressed</w:t>
            </w:r>
          </w:p>
        </w:tc>
        <w:tc>
          <w:tcPr>
            <w:tcW w:w="720" w:type="dxa"/>
            <w:shd w:val="clear" w:color="auto" w:fill="EEEEEE"/>
          </w:tcPr>
          <w:p w14:paraId="71B2B78A">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p>
        </w:tc>
        <w:tc>
          <w:tcPr>
            <w:tcW w:w="4318" w:type="dxa"/>
            <w:shd w:val="clear" w:color="auto" w:fill="EEEEEE"/>
          </w:tcPr>
          <w:p w14:paraId="7038261C">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宋体" w:cs="Times New Roman"/>
                <w:sz w:val="20"/>
                <w:szCs w:val="20"/>
                <w:shd w:val="clear" w:color="auto" w:fill="FFFFFF"/>
                <w:lang w:val="en-US" w:eastAsia="zh-CN"/>
              </w:rPr>
              <w:t>N.A.</w:t>
            </w:r>
          </w:p>
        </w:tc>
      </w:tr>
      <w:tr w14:paraId="6F57BC90">
        <w:tblPrEx>
          <w:tblCellMar>
            <w:top w:w="0" w:type="dxa"/>
            <w:left w:w="108" w:type="dxa"/>
            <w:bottom w:w="0" w:type="dxa"/>
            <w:right w:w="108" w:type="dxa"/>
          </w:tblCellMar>
        </w:tblPrEx>
        <w:tc>
          <w:tcPr>
            <w:tcW w:w="616" w:type="dxa"/>
          </w:tcPr>
          <w:p w14:paraId="67C7B62C">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tcPr>
          <w:p w14:paraId="73A4A16E">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e)</w:t>
            </w:r>
          </w:p>
        </w:tc>
        <w:tc>
          <w:tcPr>
            <w:tcW w:w="7014" w:type="dxa"/>
          </w:tcPr>
          <w:p w14:paraId="0DD1E4F0">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If applicable, indicate how multiple testing was addressed</w:t>
            </w:r>
          </w:p>
        </w:tc>
        <w:tc>
          <w:tcPr>
            <w:tcW w:w="720" w:type="dxa"/>
          </w:tcPr>
          <w:p w14:paraId="484874EC">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p>
        </w:tc>
        <w:tc>
          <w:tcPr>
            <w:tcW w:w="4318" w:type="dxa"/>
          </w:tcPr>
          <w:p w14:paraId="1EBA623F">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eastAsia="Times New Roman" w:cs="Times New Roman"/>
                <w:sz w:val="20"/>
                <w:szCs w:val="20"/>
                <w:lang w:val="en-GB" w:eastAsia="en-GB"/>
              </w:rPr>
              <w:t>Bonferroni correction was applied for multiple testing</w:t>
            </w:r>
            <w:r>
              <w:rPr>
                <w:rFonts w:hint="default" w:ascii="Times New Roman" w:hAnsi="Times New Roman" w:eastAsia="宋体" w:cs="Times New Roman"/>
                <w:sz w:val="20"/>
                <w:szCs w:val="20"/>
                <w:lang w:val="en-US" w:eastAsia="zh-CN"/>
              </w:rPr>
              <w:t>.</w:t>
            </w:r>
          </w:p>
        </w:tc>
      </w:tr>
      <w:tr w14:paraId="5BB0F15C">
        <w:tblPrEx>
          <w:tblCellMar>
            <w:top w:w="0" w:type="dxa"/>
            <w:left w:w="108" w:type="dxa"/>
            <w:bottom w:w="0" w:type="dxa"/>
            <w:right w:w="108" w:type="dxa"/>
          </w:tblCellMar>
        </w:tblPrEx>
        <w:tc>
          <w:tcPr>
            <w:tcW w:w="616" w:type="dxa"/>
            <w:shd w:val="clear" w:color="auto" w:fill="EEEEEE"/>
          </w:tcPr>
          <w:p w14:paraId="13E9CA90">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7</w:t>
            </w:r>
          </w:p>
        </w:tc>
        <w:tc>
          <w:tcPr>
            <w:tcW w:w="1822" w:type="dxa"/>
            <w:shd w:val="clear" w:color="auto" w:fill="EEEEEE"/>
          </w:tcPr>
          <w:p w14:paraId="0B0CBFAC">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b/>
                <w:bCs/>
                <w:sz w:val="20"/>
                <w:szCs w:val="20"/>
                <w:lang w:val="en-GB" w:eastAsia="en-GB"/>
              </w:rPr>
              <w:t>Assessment of assumptions</w:t>
            </w:r>
          </w:p>
        </w:tc>
        <w:tc>
          <w:tcPr>
            <w:tcW w:w="7014" w:type="dxa"/>
            <w:shd w:val="clear" w:color="auto" w:fill="EEEEEE"/>
          </w:tcPr>
          <w:p w14:paraId="0321D64C">
            <w:pPr>
              <w:keepNext w:val="0"/>
              <w:keepLines w:val="0"/>
              <w:widowControl/>
              <w:suppressLineNumbers w:val="0"/>
              <w:tabs>
                <w:tab w:val="left" w:pos="1620"/>
              </w:tabs>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Describe any methods or prior knowledge used to assess the assumptions or justify their validity</w:t>
            </w:r>
            <w:r>
              <w:rPr>
                <w:rFonts w:hint="default" w:ascii="Times New Roman" w:hAnsi="Times New Roman" w:eastAsia="Cambria" w:cs="Times New Roman"/>
                <w:sz w:val="20"/>
                <w:szCs w:val="20"/>
                <w:lang w:val="en-GB" w:eastAsia="en-US"/>
              </w:rPr>
              <w:tab/>
            </w:r>
          </w:p>
        </w:tc>
        <w:tc>
          <w:tcPr>
            <w:tcW w:w="720" w:type="dxa"/>
            <w:shd w:val="clear" w:color="auto" w:fill="EEEEEE"/>
          </w:tcPr>
          <w:p w14:paraId="4426C68D">
            <w:pPr>
              <w:keepNext w:val="0"/>
              <w:keepLines w:val="0"/>
              <w:widowControl/>
              <w:suppressLineNumbers w:val="0"/>
              <w:tabs>
                <w:tab w:val="left" w:pos="1620"/>
              </w:tabs>
              <w:spacing w:before="96" w:beforeLines="40" w:beforeAutospacing="0" w:after="96" w:afterLines="40" w:afterAutospacing="0" w:line="24" w:lineRule="atLeast"/>
              <w:ind w:left="0" w:right="0"/>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3</w:t>
            </w:r>
          </w:p>
        </w:tc>
        <w:tc>
          <w:tcPr>
            <w:tcW w:w="4318" w:type="dxa"/>
            <w:shd w:val="clear" w:color="auto" w:fill="EEEEEE"/>
          </w:tcPr>
          <w:p w14:paraId="1E9BD7C2">
            <w:pPr>
              <w:keepNext w:val="0"/>
              <w:keepLines w:val="0"/>
              <w:widowControl/>
              <w:suppressLineNumbers w:val="0"/>
              <w:tabs>
                <w:tab w:val="left" w:pos="1620"/>
              </w:tabs>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 xml:space="preserve">Methods for assumption validation: </w:t>
            </w:r>
            <w:r>
              <w:rPr>
                <w:rFonts w:hint="default" w:ascii="Times New Roman" w:hAnsi="Times New Roman" w:eastAsia="Times New Roman" w:cs="Times New Roman"/>
                <w:sz w:val="20"/>
                <w:szCs w:val="20"/>
                <w:lang w:val="en-GB" w:eastAsia="en-GB"/>
              </w:rPr>
              <w:t xml:space="preserve">(1) </w:t>
            </w:r>
            <w:r>
              <w:rPr>
                <w:rFonts w:hint="default" w:ascii="Times New Roman" w:hAnsi="Times New Roman" w:cs="Times New Roman"/>
                <w:sz w:val="20"/>
                <w:szCs w:val="20"/>
                <w:lang w:val="en-US" w:eastAsia="zh-CN"/>
              </w:rPr>
              <w:t xml:space="preserve">Relevance: F statistic calculation for each instrument </w:t>
            </w:r>
            <w:r>
              <w:rPr>
                <w:rFonts w:hint="default" w:ascii="Times New Roman" w:hAnsi="Times New Roman" w:eastAsia="Times New Roman" w:cs="Times New Roman"/>
                <w:sz w:val="20"/>
                <w:szCs w:val="20"/>
                <w:lang w:val="en-GB" w:eastAsia="en-GB"/>
              </w:rPr>
              <w:t>(</w:t>
            </w:r>
            <w:r>
              <w:rPr>
                <w:rFonts w:hint="default" w:ascii="Times New Roman" w:hAnsi="Times New Roman" w:eastAsia="宋体" w:cs="Times New Roman"/>
                <w:sz w:val="20"/>
                <w:szCs w:val="20"/>
                <w:lang w:val="en-US" w:eastAsia="zh-CN"/>
              </w:rPr>
              <w:t>2</w:t>
            </w:r>
            <w:r>
              <w:rPr>
                <w:rFonts w:hint="default" w:ascii="Times New Roman" w:hAnsi="Times New Roman" w:eastAsia="Times New Roman" w:cs="Times New Roman"/>
                <w:sz w:val="20"/>
                <w:szCs w:val="20"/>
                <w:lang w:val="en-GB" w:eastAsia="en-GB"/>
              </w:rPr>
              <w:t xml:space="preserve">) </w:t>
            </w:r>
            <w:r>
              <w:rPr>
                <w:rFonts w:hint="default" w:ascii="Times New Roman" w:hAnsi="Times New Roman" w:cs="Times New Roman"/>
                <w:sz w:val="20"/>
                <w:szCs w:val="20"/>
                <w:lang w:val="en-US" w:eastAsia="zh-CN"/>
              </w:rPr>
              <w:t xml:space="preserve">Heterogeneity: Cochran's Q test </w:t>
            </w:r>
            <w:r>
              <w:rPr>
                <w:rFonts w:hint="default" w:ascii="Times New Roman" w:hAnsi="Times New Roman" w:eastAsia="Times New Roman" w:cs="Times New Roman"/>
                <w:sz w:val="20"/>
                <w:szCs w:val="20"/>
                <w:lang w:val="en-GB" w:eastAsia="en-GB"/>
              </w:rPr>
              <w:t>(</w:t>
            </w:r>
            <w:r>
              <w:rPr>
                <w:rFonts w:hint="default" w:ascii="Times New Roman" w:hAnsi="Times New Roman" w:eastAsia="宋体" w:cs="Times New Roman"/>
                <w:sz w:val="20"/>
                <w:szCs w:val="20"/>
                <w:lang w:val="en-US" w:eastAsia="zh-CN"/>
              </w:rPr>
              <w:t>3</w:t>
            </w:r>
            <w:r>
              <w:rPr>
                <w:rFonts w:hint="default" w:ascii="Times New Roman" w:hAnsi="Times New Roman" w:eastAsia="Times New Roman" w:cs="Times New Roman"/>
                <w:sz w:val="20"/>
                <w:szCs w:val="20"/>
                <w:lang w:val="en-GB" w:eastAsia="en-GB"/>
              </w:rPr>
              <w:t xml:space="preserve">) </w:t>
            </w:r>
            <w:r>
              <w:rPr>
                <w:rFonts w:hint="default" w:ascii="Times New Roman" w:hAnsi="Times New Roman" w:cs="Times New Roman"/>
                <w:sz w:val="20"/>
                <w:szCs w:val="20"/>
                <w:lang w:val="en-US" w:eastAsia="zh-CN"/>
              </w:rPr>
              <w:t xml:space="preserve">Horizontal pleiotropy: MR-Egger regression, MR-PRESSO outlier detection, GSMR with HEIDI outlier correction </w:t>
            </w:r>
            <w:r>
              <w:rPr>
                <w:rFonts w:hint="default" w:ascii="Times New Roman" w:hAnsi="Times New Roman" w:eastAsia="Times New Roman" w:cs="Times New Roman"/>
                <w:sz w:val="20"/>
                <w:szCs w:val="20"/>
                <w:lang w:val="en-GB" w:eastAsia="en-GB"/>
              </w:rPr>
              <w:t>(</w:t>
            </w:r>
            <w:r>
              <w:rPr>
                <w:rFonts w:hint="default" w:ascii="Times New Roman" w:hAnsi="Times New Roman" w:eastAsia="宋体" w:cs="Times New Roman"/>
                <w:sz w:val="20"/>
                <w:szCs w:val="20"/>
                <w:lang w:val="en-US" w:eastAsia="zh-CN"/>
              </w:rPr>
              <w:t>4</w:t>
            </w:r>
            <w:r>
              <w:rPr>
                <w:rFonts w:hint="default" w:ascii="Times New Roman" w:hAnsi="Times New Roman" w:eastAsia="Times New Roman" w:cs="Times New Roman"/>
                <w:sz w:val="20"/>
                <w:szCs w:val="20"/>
                <w:lang w:val="en-GB" w:eastAsia="en-GB"/>
              </w:rPr>
              <w:t>)</w:t>
            </w:r>
            <w:r>
              <w:rPr>
                <w:rFonts w:hint="default" w:ascii="Times New Roman" w:hAnsi="Times New Roman" w:cs="Times New Roman"/>
                <w:sz w:val="20"/>
                <w:szCs w:val="20"/>
                <w:lang w:val="en-US" w:eastAsia="zh-CN"/>
              </w:rPr>
              <w:t xml:space="preserve"> Causal direction: Steiger directionality test </w:t>
            </w:r>
            <w:r>
              <w:rPr>
                <w:rFonts w:hint="default" w:ascii="Times New Roman" w:hAnsi="Times New Roman" w:eastAsia="Times New Roman" w:cs="Times New Roman"/>
                <w:sz w:val="20"/>
                <w:szCs w:val="20"/>
                <w:lang w:val="en-GB" w:eastAsia="en-GB"/>
              </w:rPr>
              <w:t>(</w:t>
            </w:r>
            <w:r>
              <w:rPr>
                <w:rFonts w:hint="default" w:ascii="Times New Roman" w:hAnsi="Times New Roman" w:eastAsia="宋体" w:cs="Times New Roman"/>
                <w:sz w:val="20"/>
                <w:szCs w:val="20"/>
                <w:lang w:val="en-US" w:eastAsia="zh-CN"/>
              </w:rPr>
              <w:t>5</w:t>
            </w:r>
            <w:r>
              <w:rPr>
                <w:rFonts w:hint="default" w:ascii="Times New Roman" w:hAnsi="Times New Roman" w:eastAsia="Times New Roman" w:cs="Times New Roman"/>
                <w:sz w:val="20"/>
                <w:szCs w:val="20"/>
                <w:lang w:val="en-GB" w:eastAsia="en-GB"/>
              </w:rPr>
              <w:t xml:space="preserve">) </w:t>
            </w:r>
            <w:r>
              <w:rPr>
                <w:rFonts w:hint="default" w:ascii="Times New Roman" w:hAnsi="Times New Roman" w:cs="Times New Roman"/>
                <w:sz w:val="20"/>
                <w:szCs w:val="20"/>
                <w:lang w:val="en-US" w:eastAsia="zh-CN"/>
              </w:rPr>
              <w:t>Biological plausibility: Prior literature evidence linking candidate genes to neural development, NTDs and related biological pathways</w:t>
            </w:r>
          </w:p>
        </w:tc>
      </w:tr>
      <w:tr w14:paraId="706961A3">
        <w:tblPrEx>
          <w:tblCellMar>
            <w:top w:w="0" w:type="dxa"/>
            <w:left w:w="108" w:type="dxa"/>
            <w:bottom w:w="0" w:type="dxa"/>
            <w:right w:w="108" w:type="dxa"/>
          </w:tblCellMar>
        </w:tblPrEx>
        <w:tc>
          <w:tcPr>
            <w:tcW w:w="616" w:type="dxa"/>
          </w:tcPr>
          <w:p w14:paraId="2E2845FE">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8</w:t>
            </w:r>
          </w:p>
        </w:tc>
        <w:tc>
          <w:tcPr>
            <w:tcW w:w="1822" w:type="dxa"/>
          </w:tcPr>
          <w:p w14:paraId="5A11E682">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b/>
                <w:bCs/>
                <w:sz w:val="20"/>
                <w:szCs w:val="20"/>
                <w:lang w:val="en-GB" w:eastAsia="en-GB"/>
              </w:rPr>
              <w:t>Sensitivity analyses and additional analyses</w:t>
            </w:r>
          </w:p>
        </w:tc>
        <w:tc>
          <w:tcPr>
            <w:tcW w:w="7014" w:type="dxa"/>
          </w:tcPr>
          <w:p w14:paraId="7BC4DCC5">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4A565FB6">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3-4</w:t>
            </w:r>
          </w:p>
        </w:tc>
        <w:tc>
          <w:tcPr>
            <w:tcW w:w="4318" w:type="dxa"/>
          </w:tcPr>
          <w:p w14:paraId="6EA2A38E">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cs="Times New Roman"/>
                <w:sz w:val="20"/>
                <w:szCs w:val="20"/>
              </w:rPr>
              <w:t>MR-Egger, and weighted median methods were used, ensuring consistent directional effects across all methods. MR-Egger intercept testing was performed to detect bias due to directional pleiotropy. Cochrane's Q test was used to assess heterogeneity</w:t>
            </w:r>
            <w:r>
              <w:rPr>
                <w:rFonts w:hint="default" w:ascii="Times New Roman" w:hAnsi="Times New Roman" w:eastAsia="宋体" w:cs="Times New Roman"/>
                <w:sz w:val="20"/>
                <w:szCs w:val="20"/>
                <w:lang w:val="en-US" w:eastAsia="zh-CN"/>
              </w:rPr>
              <w:t>.</w:t>
            </w:r>
            <w:r>
              <w:rPr>
                <w:rFonts w:hint="default" w:ascii="Times New Roman" w:hAnsi="Times New Roman" w:cs="Times New Roman"/>
                <w:sz w:val="20"/>
                <w:szCs w:val="20"/>
              </w:rPr>
              <w:t xml:space="preserve">Steiger filtering validation was conducted for both cis-pQTL and </w:t>
            </w:r>
            <w:r>
              <w:rPr>
                <w:rFonts w:hint="default" w:ascii="Times New Roman" w:hAnsi="Times New Roman" w:eastAsia="宋体" w:cs="Times New Roman"/>
                <w:sz w:val="20"/>
                <w:szCs w:val="20"/>
                <w:lang w:val="en-US" w:eastAsia="zh-CN"/>
              </w:rPr>
              <w:t>trans</w:t>
            </w:r>
            <w:r>
              <w:rPr>
                <w:rFonts w:hint="default" w:ascii="Times New Roman" w:hAnsi="Times New Roman" w:cs="Times New Roman"/>
                <w:sz w:val="20"/>
                <w:szCs w:val="20"/>
              </w:rPr>
              <w:t>-</w:t>
            </w:r>
            <w:r>
              <w:rPr>
                <w:rFonts w:hint="default" w:ascii="Times New Roman" w:hAnsi="Times New Roman" w:eastAsia="宋体" w:cs="Times New Roman"/>
                <w:sz w:val="20"/>
                <w:szCs w:val="20"/>
                <w:lang w:val="en-US" w:eastAsia="zh-CN"/>
              </w:rPr>
              <w:t>p</w:t>
            </w:r>
            <w:r>
              <w:rPr>
                <w:rFonts w:hint="default" w:ascii="Times New Roman" w:hAnsi="Times New Roman" w:cs="Times New Roman"/>
                <w:sz w:val="20"/>
                <w:szCs w:val="20"/>
              </w:rPr>
              <w:t>QTL data</w:t>
            </w:r>
            <w:r>
              <w:rPr>
                <w:rFonts w:hint="default" w:ascii="Times New Roman" w:hAnsi="Times New Roman" w:eastAsia="宋体" w:cs="Times New Roman"/>
                <w:sz w:val="20"/>
                <w:szCs w:val="20"/>
                <w:lang w:val="en-US" w:eastAsia="zh-CN"/>
              </w:rPr>
              <w:t>.</w:t>
            </w:r>
          </w:p>
        </w:tc>
      </w:tr>
      <w:tr w14:paraId="2188BEDB">
        <w:tblPrEx>
          <w:tblCellMar>
            <w:top w:w="0" w:type="dxa"/>
            <w:left w:w="108" w:type="dxa"/>
            <w:bottom w:w="0" w:type="dxa"/>
            <w:right w:w="108" w:type="dxa"/>
          </w:tblCellMar>
        </w:tblPrEx>
        <w:tc>
          <w:tcPr>
            <w:tcW w:w="616" w:type="dxa"/>
            <w:shd w:val="clear" w:color="auto" w:fill="EEEEEE"/>
          </w:tcPr>
          <w:p w14:paraId="15D3AF84">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9</w:t>
            </w:r>
          </w:p>
        </w:tc>
        <w:tc>
          <w:tcPr>
            <w:tcW w:w="1822" w:type="dxa"/>
            <w:shd w:val="clear" w:color="auto" w:fill="EEEEEE"/>
          </w:tcPr>
          <w:p w14:paraId="750113D2">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b/>
                <w:bCs/>
                <w:sz w:val="20"/>
                <w:szCs w:val="20"/>
                <w:lang w:val="en-GB" w:eastAsia="en-GB"/>
              </w:rPr>
              <w:t>Software and pre-registration</w:t>
            </w:r>
          </w:p>
        </w:tc>
        <w:tc>
          <w:tcPr>
            <w:tcW w:w="7014" w:type="dxa"/>
            <w:shd w:val="clear" w:color="auto" w:fill="EEEEEE"/>
          </w:tcPr>
          <w:p w14:paraId="45625A52">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720" w:type="dxa"/>
            <w:shd w:val="clear" w:color="auto" w:fill="EEEEEE"/>
          </w:tcPr>
          <w:p w14:paraId="692FDF84">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4318" w:type="dxa"/>
            <w:shd w:val="clear" w:color="auto" w:fill="EEEEEE"/>
          </w:tcPr>
          <w:p w14:paraId="6C9EC216">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r>
      <w:tr w14:paraId="0DA5B6E7">
        <w:tblPrEx>
          <w:tblCellMar>
            <w:top w:w="0" w:type="dxa"/>
            <w:left w:w="108" w:type="dxa"/>
            <w:bottom w:w="0" w:type="dxa"/>
            <w:right w:w="108" w:type="dxa"/>
          </w:tblCellMar>
        </w:tblPrEx>
        <w:tc>
          <w:tcPr>
            <w:tcW w:w="616" w:type="dxa"/>
          </w:tcPr>
          <w:p w14:paraId="160E8A96">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tcPr>
          <w:p w14:paraId="46E76AB8">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a)</w:t>
            </w:r>
          </w:p>
        </w:tc>
        <w:tc>
          <w:tcPr>
            <w:tcW w:w="7014" w:type="dxa"/>
          </w:tcPr>
          <w:p w14:paraId="36F5E099">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Name statistical software and package(s), including version and settings used </w:t>
            </w:r>
          </w:p>
        </w:tc>
        <w:tc>
          <w:tcPr>
            <w:tcW w:w="720" w:type="dxa"/>
          </w:tcPr>
          <w:p w14:paraId="11B61990">
            <w:pPr>
              <w:keepNext w:val="0"/>
              <w:keepLines w:val="0"/>
              <w:widowControl/>
              <w:suppressLineNumbers w:val="0"/>
              <w:spacing w:before="96" w:beforeLines="40" w:beforeAutospacing="0" w:after="96" w:afterLines="40" w:afterAutospacing="0" w:line="24" w:lineRule="atLeast"/>
              <w:ind w:left="0" w:right="0"/>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3</w:t>
            </w:r>
          </w:p>
        </w:tc>
        <w:tc>
          <w:tcPr>
            <w:tcW w:w="4318" w:type="dxa"/>
          </w:tcPr>
          <w:p w14:paraId="11FF63D6">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rPr>
              <w:t xml:space="preserve">The R package "TwosampleMR" </w:t>
            </w:r>
            <w:r>
              <w:rPr>
                <w:rFonts w:hint="default" w:ascii="Times New Roman" w:hAnsi="Times New Roman" w:eastAsia="宋体" w:cs="Times New Roman"/>
                <w:sz w:val="20"/>
                <w:szCs w:val="20"/>
                <w:lang w:val="en-US" w:eastAsia="zh-CN"/>
              </w:rPr>
              <w:t>(</w:t>
            </w:r>
            <w:r>
              <w:rPr>
                <w:rFonts w:hint="default" w:ascii="Times New Roman" w:hAnsi="Times New Roman" w:cs="Times New Roman"/>
                <w:sz w:val="20"/>
                <w:szCs w:val="20"/>
                <w:lang w:val="en-GB" w:eastAsia="en-GB"/>
              </w:rPr>
              <w:t>version</w:t>
            </w:r>
            <w:r>
              <w:rPr>
                <w:rFonts w:hint="default" w:ascii="Times New Roman" w:hAnsi="Times New Roman" w:cs="Times New Roman"/>
                <w:sz w:val="20"/>
                <w:szCs w:val="20"/>
                <w:lang w:val="en-US" w:eastAsia="zh-CN"/>
              </w:rPr>
              <w:t xml:space="preserve"> 4.3.2) </w:t>
            </w:r>
            <w:r>
              <w:rPr>
                <w:rFonts w:hint="default" w:ascii="Times New Roman" w:hAnsi="Times New Roman" w:cs="Times New Roman"/>
                <w:sz w:val="20"/>
                <w:szCs w:val="20"/>
              </w:rPr>
              <w:t>was used</w:t>
            </w:r>
            <w:r>
              <w:rPr>
                <w:rFonts w:hint="default" w:ascii="Times New Roman" w:hAnsi="Times New Roman" w:eastAsia="宋体" w:cs="Times New Roman"/>
                <w:sz w:val="20"/>
                <w:szCs w:val="20"/>
                <w:lang w:val="en-US" w:eastAsia="zh-CN"/>
              </w:rPr>
              <w:t>.</w:t>
            </w:r>
          </w:p>
        </w:tc>
      </w:tr>
      <w:tr w14:paraId="70469ED2">
        <w:tblPrEx>
          <w:tblCellMar>
            <w:top w:w="0" w:type="dxa"/>
            <w:left w:w="108" w:type="dxa"/>
            <w:bottom w:w="0" w:type="dxa"/>
            <w:right w:w="108" w:type="dxa"/>
          </w:tblCellMar>
        </w:tblPrEx>
        <w:tc>
          <w:tcPr>
            <w:tcW w:w="616" w:type="dxa"/>
            <w:tcBorders>
              <w:bottom w:val="single" w:color="7F7F7F" w:sz="6" w:space="0"/>
            </w:tcBorders>
            <w:shd w:val="clear" w:color="auto" w:fill="EEEEEE"/>
          </w:tcPr>
          <w:p w14:paraId="29666B33">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tcBorders>
              <w:bottom w:val="single" w:color="7F7F7F" w:sz="6" w:space="0"/>
            </w:tcBorders>
            <w:shd w:val="clear" w:color="auto" w:fill="EEEEEE"/>
          </w:tcPr>
          <w:p w14:paraId="592B4E9B">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b)</w:t>
            </w:r>
          </w:p>
        </w:tc>
        <w:tc>
          <w:tcPr>
            <w:tcW w:w="7014" w:type="dxa"/>
            <w:tcBorders>
              <w:bottom w:val="single" w:color="7F7F7F" w:sz="6" w:space="0"/>
            </w:tcBorders>
            <w:shd w:val="clear" w:color="auto" w:fill="EEEEEE"/>
          </w:tcPr>
          <w:p w14:paraId="6D736A4C">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State whether the study protocol and details were pre-registered (as well as when and where)</w:t>
            </w:r>
          </w:p>
        </w:tc>
        <w:tc>
          <w:tcPr>
            <w:tcW w:w="720" w:type="dxa"/>
            <w:tcBorders>
              <w:bottom w:val="single" w:color="7F7F7F" w:sz="6" w:space="0"/>
            </w:tcBorders>
            <w:shd w:val="clear" w:color="auto" w:fill="EEEEEE"/>
          </w:tcPr>
          <w:p w14:paraId="7FC1C537">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p>
        </w:tc>
        <w:tc>
          <w:tcPr>
            <w:tcW w:w="4318" w:type="dxa"/>
            <w:tcBorders>
              <w:bottom w:val="single" w:color="7F7F7F" w:sz="6" w:space="0"/>
            </w:tcBorders>
            <w:shd w:val="clear" w:color="auto" w:fill="EEEEEE"/>
          </w:tcPr>
          <w:p w14:paraId="47B7C67E">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N.A.</w:t>
            </w:r>
          </w:p>
        </w:tc>
      </w:tr>
      <w:tr w14:paraId="18AFC114">
        <w:tblPrEx>
          <w:tblCellMar>
            <w:top w:w="0" w:type="dxa"/>
            <w:left w:w="108" w:type="dxa"/>
            <w:bottom w:w="0" w:type="dxa"/>
            <w:right w:w="108" w:type="dxa"/>
          </w:tblCellMar>
        </w:tblPrEx>
        <w:tc>
          <w:tcPr>
            <w:tcW w:w="616" w:type="dxa"/>
            <w:tcBorders>
              <w:top w:val="single" w:color="7F7F7F" w:sz="6" w:space="0"/>
            </w:tcBorders>
          </w:tcPr>
          <w:p w14:paraId="6047D054">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p>
        </w:tc>
        <w:tc>
          <w:tcPr>
            <w:tcW w:w="1822" w:type="dxa"/>
            <w:tcBorders>
              <w:top w:val="single" w:color="7F7F7F" w:sz="6" w:space="0"/>
            </w:tcBorders>
          </w:tcPr>
          <w:p w14:paraId="3E10120A">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b/>
                <w:bCs/>
                <w:sz w:val="20"/>
                <w:szCs w:val="20"/>
                <w:lang w:val="en-GB" w:eastAsia="en-GB"/>
              </w:rPr>
              <w:t>RESULTS</w:t>
            </w:r>
          </w:p>
        </w:tc>
        <w:tc>
          <w:tcPr>
            <w:tcW w:w="7014" w:type="dxa"/>
            <w:tcBorders>
              <w:top w:val="single" w:color="7F7F7F" w:sz="6" w:space="0"/>
            </w:tcBorders>
          </w:tcPr>
          <w:p w14:paraId="0990D637">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720" w:type="dxa"/>
            <w:tcBorders>
              <w:top w:val="single" w:color="7F7F7F" w:sz="6" w:space="0"/>
            </w:tcBorders>
          </w:tcPr>
          <w:p w14:paraId="1476A186">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4318" w:type="dxa"/>
            <w:tcBorders>
              <w:top w:val="single" w:color="7F7F7F" w:sz="6" w:space="0"/>
            </w:tcBorders>
          </w:tcPr>
          <w:p w14:paraId="261F453B">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r>
      <w:tr w14:paraId="67E7DE9C">
        <w:tblPrEx>
          <w:tblCellMar>
            <w:top w:w="0" w:type="dxa"/>
            <w:left w:w="108" w:type="dxa"/>
            <w:bottom w:w="0" w:type="dxa"/>
            <w:right w:w="108" w:type="dxa"/>
          </w:tblCellMar>
        </w:tblPrEx>
        <w:tc>
          <w:tcPr>
            <w:tcW w:w="616" w:type="dxa"/>
            <w:shd w:val="clear" w:color="auto" w:fill="EEEEEE"/>
          </w:tcPr>
          <w:p w14:paraId="298ECB2C">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10</w:t>
            </w:r>
          </w:p>
        </w:tc>
        <w:tc>
          <w:tcPr>
            <w:tcW w:w="1822" w:type="dxa"/>
            <w:shd w:val="clear" w:color="auto" w:fill="EEEEEE"/>
          </w:tcPr>
          <w:p w14:paraId="66152595">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b/>
                <w:bCs/>
                <w:sz w:val="20"/>
                <w:szCs w:val="20"/>
                <w:lang w:val="en-GB" w:eastAsia="en-GB"/>
              </w:rPr>
              <w:t>Descriptive data</w:t>
            </w:r>
          </w:p>
        </w:tc>
        <w:tc>
          <w:tcPr>
            <w:tcW w:w="7014" w:type="dxa"/>
            <w:shd w:val="clear" w:color="auto" w:fill="EEEEEE"/>
          </w:tcPr>
          <w:p w14:paraId="544FB3B9">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720" w:type="dxa"/>
            <w:shd w:val="clear" w:color="auto" w:fill="EEEEEE"/>
          </w:tcPr>
          <w:p w14:paraId="10AE9DF2">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4318" w:type="dxa"/>
            <w:shd w:val="clear" w:color="auto" w:fill="EEEEEE"/>
          </w:tcPr>
          <w:p w14:paraId="15EE094F">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r>
      <w:tr w14:paraId="32E15354">
        <w:tblPrEx>
          <w:tblCellMar>
            <w:top w:w="0" w:type="dxa"/>
            <w:left w:w="108" w:type="dxa"/>
            <w:bottom w:w="0" w:type="dxa"/>
            <w:right w:w="108" w:type="dxa"/>
          </w:tblCellMar>
        </w:tblPrEx>
        <w:trPr>
          <w:trHeight w:val="894" w:hRule="atLeast"/>
        </w:trPr>
        <w:tc>
          <w:tcPr>
            <w:tcW w:w="616" w:type="dxa"/>
          </w:tcPr>
          <w:p w14:paraId="4553E861">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tcPr>
          <w:p w14:paraId="3F06A5AF">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a)</w:t>
            </w:r>
          </w:p>
        </w:tc>
        <w:tc>
          <w:tcPr>
            <w:tcW w:w="7014" w:type="dxa"/>
          </w:tcPr>
          <w:p w14:paraId="7D0EF93F">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Report the numbers of individuals at each stage of included studies and reasons for exclusion. Consider use of a flow diagram</w:t>
            </w:r>
          </w:p>
        </w:tc>
        <w:tc>
          <w:tcPr>
            <w:tcW w:w="720" w:type="dxa"/>
          </w:tcPr>
          <w:p w14:paraId="427CDB73">
            <w:pPr>
              <w:keepNext w:val="0"/>
              <w:keepLines w:val="0"/>
              <w:widowControl/>
              <w:suppressLineNumbers w:val="0"/>
              <w:spacing w:before="96" w:beforeLines="40" w:beforeAutospacing="0" w:after="96" w:afterLines="40" w:afterAutospacing="0" w:line="24" w:lineRule="atLeast"/>
              <w:ind w:left="0" w:right="0"/>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5</w:t>
            </w:r>
          </w:p>
        </w:tc>
        <w:tc>
          <w:tcPr>
            <w:tcW w:w="4318" w:type="dxa"/>
          </w:tcPr>
          <w:p w14:paraId="4AFBA477">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Supplementary Table S2</w:t>
            </w:r>
            <w:r>
              <w:rPr>
                <w:rFonts w:hint="default" w:ascii="Times New Roman" w:hAnsi="Times New Roman" w:eastAsia="宋体" w:cs="Times New Roman"/>
                <w:sz w:val="20"/>
                <w:szCs w:val="20"/>
                <w:lang w:val="en-US" w:eastAsia="zh-CN"/>
              </w:rPr>
              <w:t>-S4</w:t>
            </w:r>
            <w:r>
              <w:rPr>
                <w:rFonts w:hint="default" w:ascii="Times New Roman" w:hAnsi="Times New Roman" w:eastAsia="Times New Roman" w:cs="Times New Roman"/>
                <w:sz w:val="20"/>
                <w:szCs w:val="20"/>
                <w:lang w:val="en-GB" w:eastAsia="en-GB"/>
              </w:rPr>
              <w:t xml:space="preserve"> lists the SNPs of all proteins included in the analysis.</w:t>
            </w:r>
          </w:p>
        </w:tc>
      </w:tr>
      <w:tr w14:paraId="18B3207A">
        <w:tblPrEx>
          <w:tblCellMar>
            <w:top w:w="0" w:type="dxa"/>
            <w:left w:w="108" w:type="dxa"/>
            <w:bottom w:w="0" w:type="dxa"/>
            <w:right w:w="108" w:type="dxa"/>
          </w:tblCellMar>
        </w:tblPrEx>
        <w:tc>
          <w:tcPr>
            <w:tcW w:w="616" w:type="dxa"/>
            <w:shd w:val="clear" w:color="auto" w:fill="EEEEEE"/>
          </w:tcPr>
          <w:p w14:paraId="09469F27">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shd w:val="clear" w:color="auto" w:fill="EEEEEE"/>
          </w:tcPr>
          <w:p w14:paraId="75544247">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b)</w:t>
            </w:r>
          </w:p>
        </w:tc>
        <w:tc>
          <w:tcPr>
            <w:tcW w:w="7014" w:type="dxa"/>
            <w:shd w:val="clear" w:color="auto" w:fill="EEEEEE"/>
          </w:tcPr>
          <w:p w14:paraId="3C7F96F4">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Report summary statistics for phenotypic exposure(s), outcome(s), and other relevant variables (e.g. means, SDs, proportions)</w:t>
            </w:r>
          </w:p>
        </w:tc>
        <w:tc>
          <w:tcPr>
            <w:tcW w:w="720" w:type="dxa"/>
            <w:shd w:val="clear" w:color="auto" w:fill="EEEEEE"/>
          </w:tcPr>
          <w:p w14:paraId="05CEDD8B">
            <w:pPr>
              <w:keepNext w:val="0"/>
              <w:keepLines w:val="0"/>
              <w:widowControl/>
              <w:suppressLineNumbers w:val="0"/>
              <w:spacing w:before="96" w:beforeLines="40" w:beforeAutospacing="0" w:after="96" w:afterLines="40" w:afterAutospacing="0" w:line="24" w:lineRule="atLeast"/>
              <w:ind w:left="0" w:right="0"/>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5</w:t>
            </w:r>
          </w:p>
        </w:tc>
        <w:tc>
          <w:tcPr>
            <w:tcW w:w="4318" w:type="dxa"/>
            <w:shd w:val="clear" w:color="auto" w:fill="EEEEEE"/>
          </w:tcPr>
          <w:p w14:paraId="6C15DB3C">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eastAsia="Times New Roman" w:cs="Times New Roman"/>
                <w:sz w:val="20"/>
                <w:szCs w:val="20"/>
                <w:lang w:val="en-GB" w:eastAsia="en-GB"/>
              </w:rPr>
              <w:t xml:space="preserve">Summary statistics for </w:t>
            </w:r>
            <w:r>
              <w:rPr>
                <w:rFonts w:hint="default" w:ascii="Times New Roman" w:hAnsi="Times New Roman" w:eastAsia="等线" w:cs="Times New Roman"/>
                <w:kern w:val="2"/>
                <w:sz w:val="20"/>
                <w:szCs w:val="20"/>
                <w:lang w:val="en-US" w:eastAsia="zh-CN" w:bidi="ar"/>
              </w:rPr>
              <w:t>spina bifida</w:t>
            </w:r>
            <w:r>
              <w:rPr>
                <w:rFonts w:hint="default" w:ascii="Times New Roman" w:hAnsi="Times New Roman" w:eastAsia="Times New Roman" w:cs="Times New Roman"/>
                <w:sz w:val="20"/>
                <w:szCs w:val="20"/>
                <w:lang w:val="en-GB" w:eastAsia="en-GB"/>
              </w:rPr>
              <w:t xml:space="preserve"> are available on </w:t>
            </w:r>
            <w:r>
              <w:rPr>
                <w:rFonts w:hint="default" w:ascii="Times New Roman" w:hAnsi="Times New Roman" w:eastAsia="Arial" w:cs="Times New Roman"/>
                <w:sz w:val="20"/>
                <w:szCs w:val="20"/>
                <w:lang w:val="en-US" w:eastAsia="de-CH" w:bidi="ar"/>
              </w:rPr>
              <w:t>(</w:t>
            </w:r>
            <w:r>
              <w:rPr>
                <w:rFonts w:hint="default" w:ascii="Times New Roman" w:hAnsi="Times New Roman" w:eastAsia="Arial" w:cs="Times New Roman"/>
                <w:sz w:val="20"/>
                <w:szCs w:val="20"/>
                <w:lang w:val="en-US" w:eastAsia="de-CH" w:bidi="ar"/>
              </w:rPr>
              <w:fldChar w:fldCharType="begin"/>
            </w:r>
            <w:r>
              <w:rPr>
                <w:rFonts w:hint="default" w:ascii="Times New Roman" w:hAnsi="Times New Roman" w:eastAsia="Arial" w:cs="Times New Roman"/>
                <w:sz w:val="20"/>
                <w:szCs w:val="20"/>
                <w:lang w:val="en-US" w:eastAsia="de-CH" w:bidi="ar"/>
              </w:rPr>
              <w:instrText xml:space="preserve"> HYPERLINK "https://pan.ukbb.broadinstitute.org/downloads" </w:instrText>
            </w:r>
            <w:r>
              <w:rPr>
                <w:rFonts w:hint="default" w:ascii="Times New Roman" w:hAnsi="Times New Roman" w:eastAsia="Arial" w:cs="Times New Roman"/>
                <w:sz w:val="20"/>
                <w:szCs w:val="20"/>
                <w:lang w:val="en-US" w:eastAsia="de-CH" w:bidi="ar"/>
              </w:rPr>
              <w:fldChar w:fldCharType="separate"/>
            </w:r>
            <w:r>
              <w:rPr>
                <w:rStyle w:val="10"/>
                <w:rFonts w:hint="default" w:ascii="Times New Roman" w:hAnsi="Times New Roman" w:eastAsia="Arial" w:cs="Times New Roman"/>
                <w:sz w:val="20"/>
                <w:szCs w:val="20"/>
                <w:u w:val="single"/>
                <w:lang w:val="en-US" w:eastAsia="de-CH" w:bidi="ar"/>
              </w:rPr>
              <w:t>https://pan.ukbb.broadinstitute.org/downloads</w:t>
            </w:r>
            <w:r>
              <w:rPr>
                <w:rFonts w:hint="default" w:ascii="Times New Roman" w:hAnsi="Times New Roman" w:eastAsia="Arial" w:cs="Times New Roman"/>
                <w:sz w:val="20"/>
                <w:szCs w:val="20"/>
                <w:lang w:val="en-US" w:eastAsia="de-CH" w:bidi="ar"/>
              </w:rPr>
              <w:fldChar w:fldCharType="end"/>
            </w:r>
            <w:r>
              <w:rPr>
                <w:rFonts w:hint="default" w:ascii="Times New Roman" w:hAnsi="Times New Roman" w:eastAsia="Arial" w:cs="Times New Roman"/>
                <w:sz w:val="20"/>
                <w:szCs w:val="20"/>
                <w:lang w:val="en-US" w:eastAsia="de-CH" w:bidi="ar"/>
              </w:rPr>
              <w:t>),</w:t>
            </w:r>
            <w:r>
              <w:rPr>
                <w:rFonts w:hint="default" w:ascii="Times New Roman" w:hAnsi="Times New Roman" w:eastAsia="Times New Roman" w:cs="Times New Roman"/>
                <w:sz w:val="20"/>
                <w:szCs w:val="20"/>
                <w:lang w:val="en-GB" w:eastAsia="en-GB"/>
              </w:rPr>
              <w:t xml:space="preserve"> </w:t>
            </w:r>
          </w:p>
          <w:p w14:paraId="1D88806A">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rPr>
              <w:t>SUN_BB</w:t>
            </w:r>
            <w:r>
              <w:rPr>
                <w:rFonts w:hint="default" w:ascii="Times New Roman" w:hAnsi="Times New Roman" w:eastAsia="宋体" w:cs="Times New Roman"/>
                <w:sz w:val="20"/>
                <w:szCs w:val="20"/>
                <w:lang w:val="en-US" w:eastAsia="zh-CN"/>
              </w:rPr>
              <w:t xml:space="preserve"> proteins, </w:t>
            </w:r>
            <w:r>
              <w:rPr>
                <w:rFonts w:hint="default" w:ascii="Times New Roman" w:hAnsi="Times New Roman" w:cs="Times New Roman"/>
                <w:sz w:val="20"/>
                <w:szCs w:val="20"/>
              </w:rPr>
              <w:t>Decode study</w:t>
            </w:r>
            <w:r>
              <w:rPr>
                <w:rFonts w:hint="default" w:ascii="Times New Roman" w:hAnsi="Times New Roman" w:eastAsia="宋体" w:cs="Times New Roman"/>
                <w:sz w:val="20"/>
                <w:szCs w:val="20"/>
                <w:lang w:val="en-US" w:eastAsia="zh-CN"/>
              </w:rPr>
              <w:t xml:space="preserve">, </w:t>
            </w:r>
            <w:r>
              <w:rPr>
                <w:rFonts w:hint="default" w:ascii="Times New Roman" w:hAnsi="Times New Roman" w:cs="Times New Roman"/>
                <w:sz w:val="20"/>
                <w:szCs w:val="20"/>
              </w:rPr>
              <w:t>UKB_PPP</w:t>
            </w:r>
            <w:r>
              <w:rPr>
                <w:rFonts w:hint="default" w:ascii="Times New Roman" w:hAnsi="Times New Roman" w:eastAsia="宋体" w:cs="Times New Roman"/>
                <w:sz w:val="20"/>
                <w:szCs w:val="20"/>
                <w:lang w:val="en-US" w:eastAsia="zh-CN"/>
              </w:rPr>
              <w:t xml:space="preserve"> </w:t>
            </w:r>
            <w:r>
              <w:rPr>
                <w:rFonts w:hint="default" w:ascii="Times New Roman" w:hAnsi="Times New Roman" w:cs="Times New Roman"/>
                <w:sz w:val="20"/>
                <w:szCs w:val="20"/>
              </w:rPr>
              <w:t>proteins</w:t>
            </w:r>
            <w:r>
              <w:rPr>
                <w:rFonts w:hint="default" w:ascii="Times New Roman" w:hAnsi="Times New Roman" w:eastAsia="宋体" w:cs="Times New Roman"/>
                <w:sz w:val="20"/>
                <w:szCs w:val="20"/>
                <w:lang w:val="en-US" w:eastAsia="zh-CN"/>
              </w:rPr>
              <w:t xml:space="preserve"> </w:t>
            </w:r>
            <w:r>
              <w:rPr>
                <w:rFonts w:hint="default" w:ascii="Times New Roman" w:hAnsi="Times New Roman" w:eastAsia="Times New Roman" w:cs="Times New Roman"/>
                <w:sz w:val="20"/>
                <w:szCs w:val="20"/>
                <w:lang w:val="en-GB" w:eastAsia="en-GB"/>
              </w:rPr>
              <w:t>are available on</w:t>
            </w:r>
            <w:r>
              <w:rPr>
                <w:rFonts w:hint="default" w:ascii="Times New Roman" w:hAnsi="Times New Roman" w:eastAsia="宋体" w:cs="Times New Roman"/>
                <w:sz w:val="20"/>
                <w:szCs w:val="20"/>
                <w:lang w:val="en-US" w:eastAsia="zh-CN" w:bidi="ar"/>
              </w:rPr>
              <w:t xml:space="preserve"> (</w:t>
            </w:r>
            <w:r>
              <w:rPr>
                <w:rFonts w:hint="default" w:ascii="Times New Roman" w:hAnsi="Times New Roman" w:eastAsia="Arial" w:cs="Times New Roman"/>
                <w:sz w:val="20"/>
                <w:szCs w:val="20"/>
                <w:lang w:val="en-US" w:eastAsia="de-CH" w:bidi="ar"/>
              </w:rPr>
              <w:fldChar w:fldCharType="begin"/>
            </w:r>
            <w:r>
              <w:rPr>
                <w:rFonts w:hint="default" w:ascii="Times New Roman" w:hAnsi="Times New Roman" w:eastAsia="Arial" w:cs="Times New Roman"/>
                <w:sz w:val="20"/>
                <w:szCs w:val="20"/>
                <w:lang w:val="en-US" w:eastAsia="de-CH" w:bidi="ar"/>
              </w:rPr>
              <w:instrText xml:space="preserve"> HYPERLINK "https://gwas.mrcieu.ac.uk/" </w:instrText>
            </w:r>
            <w:r>
              <w:rPr>
                <w:rFonts w:hint="default" w:ascii="Times New Roman" w:hAnsi="Times New Roman" w:eastAsia="Arial" w:cs="Times New Roman"/>
                <w:sz w:val="20"/>
                <w:szCs w:val="20"/>
                <w:lang w:val="en-US" w:eastAsia="de-CH" w:bidi="ar"/>
              </w:rPr>
              <w:fldChar w:fldCharType="separate"/>
            </w:r>
            <w:r>
              <w:rPr>
                <w:rStyle w:val="10"/>
                <w:rFonts w:hint="default" w:ascii="Times New Roman" w:hAnsi="Times New Roman" w:eastAsia="宋体" w:cs="Times New Roman"/>
                <w:sz w:val="20"/>
                <w:szCs w:val="20"/>
                <w:u w:val="single"/>
                <w:lang w:val="en-US" w:eastAsia="zh-CN" w:bidi="ar"/>
              </w:rPr>
              <w:t>https://gwas.mrcieu.ac.uk/</w:t>
            </w:r>
            <w:r>
              <w:rPr>
                <w:rFonts w:hint="default" w:ascii="Times New Roman" w:hAnsi="Times New Roman" w:eastAsia="Arial" w:cs="Times New Roman"/>
                <w:sz w:val="20"/>
                <w:szCs w:val="20"/>
                <w:lang w:val="en-US" w:eastAsia="de-CH" w:bidi="ar"/>
              </w:rPr>
              <w:fldChar w:fldCharType="end"/>
            </w:r>
            <w:r>
              <w:rPr>
                <w:rFonts w:hint="default" w:ascii="Times New Roman" w:hAnsi="Times New Roman" w:eastAsia="宋体" w:cs="Times New Roman"/>
                <w:sz w:val="20"/>
                <w:szCs w:val="20"/>
                <w:lang w:val="en-US" w:eastAsia="zh-CN" w:bidi="ar"/>
              </w:rPr>
              <w:t>), (</w:t>
            </w:r>
            <w:r>
              <w:rPr>
                <w:rFonts w:hint="default" w:ascii="Times New Roman" w:hAnsi="Times New Roman" w:eastAsia="Arial" w:cs="Times New Roman"/>
                <w:sz w:val="20"/>
                <w:szCs w:val="20"/>
                <w:lang w:val="en-US" w:eastAsia="de-CH" w:bidi="ar"/>
              </w:rPr>
              <w:fldChar w:fldCharType="begin"/>
            </w:r>
            <w:r>
              <w:rPr>
                <w:rFonts w:hint="default" w:ascii="Times New Roman" w:hAnsi="Times New Roman" w:eastAsia="Arial" w:cs="Times New Roman"/>
                <w:sz w:val="20"/>
                <w:szCs w:val="20"/>
                <w:lang w:val="en-US" w:eastAsia="de-CH" w:bidi="ar"/>
              </w:rPr>
              <w:instrText xml:space="preserve"> HYPERLINK "https://www.decode.com/summarydata/" </w:instrText>
            </w:r>
            <w:r>
              <w:rPr>
                <w:rFonts w:hint="default" w:ascii="Times New Roman" w:hAnsi="Times New Roman" w:eastAsia="Arial" w:cs="Times New Roman"/>
                <w:sz w:val="20"/>
                <w:szCs w:val="20"/>
                <w:lang w:val="en-US" w:eastAsia="de-CH" w:bidi="ar"/>
              </w:rPr>
              <w:fldChar w:fldCharType="separate"/>
            </w:r>
            <w:r>
              <w:rPr>
                <w:rStyle w:val="10"/>
                <w:rFonts w:hint="default" w:ascii="Times New Roman" w:hAnsi="Times New Roman" w:eastAsia="Arial" w:cs="Times New Roman"/>
                <w:sz w:val="20"/>
                <w:szCs w:val="20"/>
                <w:u w:val="single"/>
                <w:lang w:val="en-US" w:eastAsia="de-CH" w:bidi="ar"/>
              </w:rPr>
              <w:t>https://www.decode.com/summarydata/</w:t>
            </w:r>
            <w:r>
              <w:rPr>
                <w:rFonts w:hint="default" w:ascii="Times New Roman" w:hAnsi="Times New Roman" w:eastAsia="Arial" w:cs="Times New Roman"/>
                <w:sz w:val="20"/>
                <w:szCs w:val="20"/>
                <w:lang w:val="en-US" w:eastAsia="de-CH" w:bidi="ar"/>
              </w:rPr>
              <w:fldChar w:fldCharType="end"/>
            </w:r>
            <w:r>
              <w:rPr>
                <w:rFonts w:hint="default" w:ascii="Times New Roman" w:hAnsi="Times New Roman" w:eastAsia="宋体" w:cs="Times New Roman"/>
                <w:sz w:val="20"/>
                <w:szCs w:val="20"/>
                <w:lang w:val="en-US" w:eastAsia="zh-CN" w:bidi="ar"/>
              </w:rPr>
              <w:t>) and (</w:t>
            </w:r>
            <w:r>
              <w:rPr>
                <w:rFonts w:hint="default" w:ascii="Times New Roman" w:hAnsi="Times New Roman" w:eastAsia="Arial" w:cs="Times New Roman"/>
                <w:sz w:val="20"/>
                <w:szCs w:val="20"/>
                <w:lang w:val="en-US" w:eastAsia="de-CH" w:bidi="ar"/>
              </w:rPr>
              <w:fldChar w:fldCharType="begin"/>
            </w:r>
            <w:r>
              <w:rPr>
                <w:rFonts w:hint="default" w:ascii="Times New Roman" w:hAnsi="Times New Roman" w:eastAsia="Arial" w:cs="Times New Roman"/>
                <w:sz w:val="20"/>
                <w:szCs w:val="20"/>
                <w:lang w:val="en-US" w:eastAsia="de-CH" w:bidi="ar"/>
              </w:rPr>
              <w:instrText xml:space="preserve"> HYPERLINK "https://registry.opendata.aws/ukbppp/" </w:instrText>
            </w:r>
            <w:r>
              <w:rPr>
                <w:rFonts w:hint="default" w:ascii="Times New Roman" w:hAnsi="Times New Roman" w:eastAsia="Arial" w:cs="Times New Roman"/>
                <w:sz w:val="20"/>
                <w:szCs w:val="20"/>
                <w:lang w:val="en-US" w:eastAsia="de-CH" w:bidi="ar"/>
              </w:rPr>
              <w:fldChar w:fldCharType="separate"/>
            </w:r>
            <w:r>
              <w:rPr>
                <w:rStyle w:val="10"/>
                <w:rFonts w:hint="default" w:ascii="Times New Roman" w:hAnsi="Times New Roman" w:eastAsia="宋体" w:cs="Times New Roman"/>
                <w:sz w:val="20"/>
                <w:szCs w:val="20"/>
                <w:u w:val="single"/>
                <w:lang w:val="en-US" w:eastAsia="zh-CN" w:bidi="ar"/>
              </w:rPr>
              <w:t>https://registry.opendata.aws/ukbppp/</w:t>
            </w:r>
            <w:r>
              <w:rPr>
                <w:rFonts w:hint="default" w:ascii="Times New Roman" w:hAnsi="Times New Roman" w:eastAsia="Arial" w:cs="Times New Roman"/>
                <w:sz w:val="20"/>
                <w:szCs w:val="20"/>
                <w:lang w:val="en-US" w:eastAsia="de-CH" w:bidi="ar"/>
              </w:rPr>
              <w:fldChar w:fldCharType="end"/>
            </w:r>
            <w:r>
              <w:rPr>
                <w:rFonts w:hint="default" w:ascii="Times New Roman" w:hAnsi="Times New Roman" w:eastAsia="宋体" w:cs="Times New Roman"/>
                <w:sz w:val="20"/>
                <w:szCs w:val="20"/>
                <w:lang w:val="en-US" w:eastAsia="zh-CN" w:bidi="ar"/>
              </w:rPr>
              <w:t>).</w:t>
            </w:r>
          </w:p>
        </w:tc>
      </w:tr>
      <w:tr w14:paraId="2274E35A">
        <w:tblPrEx>
          <w:tblCellMar>
            <w:top w:w="0" w:type="dxa"/>
            <w:left w:w="108" w:type="dxa"/>
            <w:bottom w:w="0" w:type="dxa"/>
            <w:right w:w="108" w:type="dxa"/>
          </w:tblCellMar>
        </w:tblPrEx>
        <w:tc>
          <w:tcPr>
            <w:tcW w:w="616" w:type="dxa"/>
          </w:tcPr>
          <w:p w14:paraId="2AF1A41D">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tcPr>
          <w:p w14:paraId="1331C46E">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c)</w:t>
            </w:r>
          </w:p>
        </w:tc>
        <w:tc>
          <w:tcPr>
            <w:tcW w:w="7014" w:type="dxa"/>
          </w:tcPr>
          <w:p w14:paraId="774965E8">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If the data sources include meta-analyses of previous studies, provide the assessments of heterogeneity across these studies</w:t>
            </w:r>
          </w:p>
        </w:tc>
        <w:tc>
          <w:tcPr>
            <w:tcW w:w="720" w:type="dxa"/>
          </w:tcPr>
          <w:p w14:paraId="55D76D17">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p>
        </w:tc>
        <w:tc>
          <w:tcPr>
            <w:tcW w:w="4318" w:type="dxa"/>
          </w:tcPr>
          <w:p w14:paraId="4480F647">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N.A.</w:t>
            </w:r>
          </w:p>
        </w:tc>
      </w:tr>
      <w:tr w14:paraId="798C0A7B">
        <w:tblPrEx>
          <w:tblCellMar>
            <w:top w:w="0" w:type="dxa"/>
            <w:left w:w="108" w:type="dxa"/>
            <w:bottom w:w="0" w:type="dxa"/>
            <w:right w:w="108" w:type="dxa"/>
          </w:tblCellMar>
        </w:tblPrEx>
        <w:tc>
          <w:tcPr>
            <w:tcW w:w="616" w:type="dxa"/>
            <w:shd w:val="clear" w:color="auto" w:fill="EEEEEE"/>
          </w:tcPr>
          <w:p w14:paraId="7942BA33">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shd w:val="clear" w:color="auto" w:fill="EEEEEE"/>
          </w:tcPr>
          <w:p w14:paraId="0FEE33D0">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d)</w:t>
            </w:r>
          </w:p>
        </w:tc>
        <w:tc>
          <w:tcPr>
            <w:tcW w:w="7014" w:type="dxa"/>
            <w:shd w:val="clear" w:color="auto" w:fill="EEEEEE"/>
          </w:tcPr>
          <w:p w14:paraId="40465AA6">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xml:space="preserve">For </w:t>
            </w:r>
            <w:r>
              <w:rPr>
                <w:rFonts w:hint="default" w:ascii="Times New Roman" w:hAnsi="Times New Roman" w:eastAsia="Times New Roman" w:cs="Times New Roman"/>
                <w:iCs/>
                <w:sz w:val="20"/>
                <w:szCs w:val="20"/>
                <w:lang w:val="en-GB" w:eastAsia="en-GB"/>
              </w:rPr>
              <w:t>two-sample</w:t>
            </w:r>
            <w:r>
              <w:rPr>
                <w:rFonts w:hint="default" w:ascii="Times New Roman" w:hAnsi="Times New Roman" w:eastAsia="Times New Roman" w:cs="Times New Roman"/>
                <w:sz w:val="20"/>
                <w:szCs w:val="20"/>
                <w:lang w:val="en-GB" w:eastAsia="en-GB"/>
              </w:rPr>
              <w:t xml:space="preserve"> MR:</w:t>
            </w:r>
          </w:p>
          <w:p w14:paraId="661072F6">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xml:space="preserve">   i.  Provide justification of the similarity of the genetic variant-exposure associations between the exposure and outcome samples</w:t>
            </w:r>
          </w:p>
          <w:p w14:paraId="20172D59">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 xml:space="preserve">   ii.  Provide information on the number of individuals who overlap between the exposure and outcome studies</w:t>
            </w:r>
          </w:p>
        </w:tc>
        <w:tc>
          <w:tcPr>
            <w:tcW w:w="720" w:type="dxa"/>
            <w:shd w:val="clear" w:color="auto" w:fill="EEEEEE"/>
          </w:tcPr>
          <w:p w14:paraId="34336AFA">
            <w:pPr>
              <w:keepNext w:val="0"/>
              <w:keepLines w:val="0"/>
              <w:widowControl/>
              <w:suppressLineNumbers w:val="0"/>
              <w:spacing w:before="96" w:beforeLines="40" w:beforeAutospacing="0" w:after="96" w:afterLines="40" w:afterAutospacing="0" w:line="24" w:lineRule="atLeast"/>
              <w:ind w:left="0" w:right="0"/>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5</w:t>
            </w:r>
          </w:p>
        </w:tc>
        <w:tc>
          <w:tcPr>
            <w:tcW w:w="4318" w:type="dxa"/>
            <w:shd w:val="clear" w:color="auto" w:fill="EEEEEE"/>
          </w:tcPr>
          <w:p w14:paraId="339BC2C7">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The samples do not overlap.</w:t>
            </w:r>
          </w:p>
        </w:tc>
      </w:tr>
      <w:tr w14:paraId="6EE31FCF">
        <w:tblPrEx>
          <w:tblCellMar>
            <w:top w:w="0" w:type="dxa"/>
            <w:left w:w="108" w:type="dxa"/>
            <w:bottom w:w="0" w:type="dxa"/>
            <w:right w:w="108" w:type="dxa"/>
          </w:tblCellMar>
        </w:tblPrEx>
        <w:tc>
          <w:tcPr>
            <w:tcW w:w="616" w:type="dxa"/>
          </w:tcPr>
          <w:p w14:paraId="0C7B07C0">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11</w:t>
            </w:r>
          </w:p>
        </w:tc>
        <w:tc>
          <w:tcPr>
            <w:tcW w:w="1822" w:type="dxa"/>
          </w:tcPr>
          <w:p w14:paraId="66E4F5FD">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b/>
                <w:bCs/>
                <w:sz w:val="20"/>
                <w:szCs w:val="20"/>
                <w:lang w:val="en-GB" w:eastAsia="en-GB"/>
              </w:rPr>
              <w:t>Main results</w:t>
            </w:r>
          </w:p>
        </w:tc>
        <w:tc>
          <w:tcPr>
            <w:tcW w:w="7014" w:type="dxa"/>
          </w:tcPr>
          <w:p w14:paraId="78BDCF50">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720" w:type="dxa"/>
          </w:tcPr>
          <w:p w14:paraId="24C71930">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4318" w:type="dxa"/>
          </w:tcPr>
          <w:p w14:paraId="051E1A49">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r>
      <w:tr w14:paraId="259989E7">
        <w:tblPrEx>
          <w:tblCellMar>
            <w:top w:w="0" w:type="dxa"/>
            <w:left w:w="108" w:type="dxa"/>
            <w:bottom w:w="0" w:type="dxa"/>
            <w:right w:w="108" w:type="dxa"/>
          </w:tblCellMar>
        </w:tblPrEx>
        <w:tc>
          <w:tcPr>
            <w:tcW w:w="616" w:type="dxa"/>
            <w:shd w:val="clear" w:color="auto" w:fill="EEEEEE"/>
          </w:tcPr>
          <w:p w14:paraId="1A48385F">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shd w:val="clear" w:color="auto" w:fill="EEEEEE"/>
          </w:tcPr>
          <w:p w14:paraId="5FA744D7">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a)</w:t>
            </w:r>
          </w:p>
        </w:tc>
        <w:tc>
          <w:tcPr>
            <w:tcW w:w="7014" w:type="dxa"/>
            <w:shd w:val="clear" w:color="auto" w:fill="EEEEEE"/>
          </w:tcPr>
          <w:p w14:paraId="2F08CC04">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Report the associations between genetic variant and exposure, and between genetic variant and outcome, preferably on an interpretable scale</w:t>
            </w:r>
          </w:p>
        </w:tc>
        <w:tc>
          <w:tcPr>
            <w:tcW w:w="720" w:type="dxa"/>
            <w:shd w:val="clear" w:color="auto" w:fill="EEEEEE"/>
          </w:tcPr>
          <w:p w14:paraId="7F877C1B">
            <w:pPr>
              <w:keepNext w:val="0"/>
              <w:keepLines w:val="0"/>
              <w:widowControl/>
              <w:suppressLineNumbers w:val="0"/>
              <w:spacing w:before="96" w:beforeLines="40" w:beforeAutospacing="0" w:after="96" w:afterLines="40" w:afterAutospacing="0" w:line="24" w:lineRule="atLeast"/>
              <w:ind w:left="0" w:right="0"/>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5</w:t>
            </w:r>
          </w:p>
        </w:tc>
        <w:tc>
          <w:tcPr>
            <w:tcW w:w="4318" w:type="dxa"/>
            <w:shd w:val="clear" w:color="auto" w:fill="EEEEEE"/>
          </w:tcPr>
          <w:p w14:paraId="0BB12307">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xml:space="preserve">The SNPs ultimately used for analysis are listed in Supplementary Table </w:t>
            </w:r>
            <w:r>
              <w:rPr>
                <w:rFonts w:hint="default" w:ascii="Times New Roman" w:hAnsi="Times New Roman" w:eastAsia="宋体" w:cs="Times New Roman"/>
                <w:sz w:val="20"/>
                <w:szCs w:val="20"/>
                <w:lang w:val="en-US" w:eastAsia="zh-CN"/>
              </w:rPr>
              <w:t>S2-S4</w:t>
            </w:r>
            <w:r>
              <w:rPr>
                <w:rFonts w:hint="default" w:ascii="Times New Roman" w:hAnsi="Times New Roman" w:eastAsia="Times New Roman" w:cs="Times New Roman"/>
                <w:sz w:val="20"/>
                <w:szCs w:val="20"/>
                <w:lang w:val="en-GB" w:eastAsia="en-GB"/>
              </w:rPr>
              <w:t>.</w:t>
            </w:r>
          </w:p>
        </w:tc>
      </w:tr>
      <w:tr w14:paraId="0289DED0">
        <w:tblPrEx>
          <w:tblCellMar>
            <w:top w:w="0" w:type="dxa"/>
            <w:left w:w="108" w:type="dxa"/>
            <w:bottom w:w="0" w:type="dxa"/>
            <w:right w:w="108" w:type="dxa"/>
          </w:tblCellMar>
        </w:tblPrEx>
        <w:tc>
          <w:tcPr>
            <w:tcW w:w="616" w:type="dxa"/>
          </w:tcPr>
          <w:p w14:paraId="0E4C2BE7">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tcPr>
          <w:p w14:paraId="1B3CED40">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b)</w:t>
            </w:r>
          </w:p>
        </w:tc>
        <w:tc>
          <w:tcPr>
            <w:tcW w:w="7014" w:type="dxa"/>
          </w:tcPr>
          <w:p w14:paraId="0B6669CC">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Report MR estimates of the relationship between exposure and outcome, and the measures of uncertainty from the MR analysis, on an interpretable scale, such as odds ratio or relative risk per SD difference</w:t>
            </w:r>
          </w:p>
        </w:tc>
        <w:tc>
          <w:tcPr>
            <w:tcW w:w="720" w:type="dxa"/>
          </w:tcPr>
          <w:p w14:paraId="72F57DC4">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5-6</w:t>
            </w:r>
          </w:p>
        </w:tc>
        <w:tc>
          <w:tcPr>
            <w:tcW w:w="4318" w:type="dxa"/>
          </w:tcPr>
          <w:p w14:paraId="4EE6AD0E">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rPr>
              <w:t xml:space="preserve">Prioritized candidate genes: </w:t>
            </w:r>
            <w:r>
              <w:rPr>
                <w:rFonts w:hint="default" w:ascii="Times New Roman" w:hAnsi="Times New Roman" w:eastAsia="等线" w:cs="Times New Roman"/>
                <w:kern w:val="2"/>
                <w:sz w:val="20"/>
                <w:szCs w:val="20"/>
                <w:lang w:val="en-US" w:eastAsia="zh-CN" w:bidi="ar"/>
              </w:rPr>
              <w:t>NPC2 (OR = 0.753, 95% CI: 0.646-0.879), PCDH12 (OR = 0.636, 95% CI: 0.507-0.798), and IL10RB (OR = 0.665, 95% CI: 0.549-0.805).</w:t>
            </w:r>
          </w:p>
        </w:tc>
      </w:tr>
      <w:tr w14:paraId="4C10974E">
        <w:tblPrEx>
          <w:tblCellMar>
            <w:top w:w="0" w:type="dxa"/>
            <w:left w:w="108" w:type="dxa"/>
            <w:bottom w:w="0" w:type="dxa"/>
            <w:right w:w="108" w:type="dxa"/>
          </w:tblCellMar>
        </w:tblPrEx>
        <w:tc>
          <w:tcPr>
            <w:tcW w:w="616" w:type="dxa"/>
            <w:shd w:val="clear" w:color="auto" w:fill="EEEEEE"/>
          </w:tcPr>
          <w:p w14:paraId="7E35742D">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shd w:val="clear" w:color="auto" w:fill="EEEEEE"/>
          </w:tcPr>
          <w:p w14:paraId="63B6DF67">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c)</w:t>
            </w:r>
          </w:p>
        </w:tc>
        <w:tc>
          <w:tcPr>
            <w:tcW w:w="7014" w:type="dxa"/>
            <w:shd w:val="clear" w:color="auto" w:fill="EEEEEE"/>
          </w:tcPr>
          <w:p w14:paraId="79A56953">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If relevant, consider translating estimates of relative risk into absolute risk for a meaningful time period</w:t>
            </w:r>
          </w:p>
        </w:tc>
        <w:tc>
          <w:tcPr>
            <w:tcW w:w="720" w:type="dxa"/>
            <w:shd w:val="clear" w:color="auto" w:fill="EEEEEE"/>
          </w:tcPr>
          <w:p w14:paraId="59C69F78">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p>
        </w:tc>
        <w:tc>
          <w:tcPr>
            <w:tcW w:w="4318" w:type="dxa"/>
            <w:shd w:val="clear" w:color="auto" w:fill="EEEEEE"/>
          </w:tcPr>
          <w:p w14:paraId="33E0A46C">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宋体" w:cs="Times New Roman"/>
                <w:sz w:val="20"/>
                <w:szCs w:val="20"/>
                <w:lang w:val="en-US" w:eastAsia="zh-CN"/>
              </w:rPr>
              <w:t>N.A.</w:t>
            </w:r>
          </w:p>
        </w:tc>
      </w:tr>
      <w:tr w14:paraId="52B30335">
        <w:tblPrEx>
          <w:tblCellMar>
            <w:top w:w="0" w:type="dxa"/>
            <w:left w:w="108" w:type="dxa"/>
            <w:bottom w:w="0" w:type="dxa"/>
            <w:right w:w="108" w:type="dxa"/>
          </w:tblCellMar>
        </w:tblPrEx>
        <w:tc>
          <w:tcPr>
            <w:tcW w:w="616" w:type="dxa"/>
          </w:tcPr>
          <w:p w14:paraId="33895D89">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tcPr>
          <w:p w14:paraId="37D60E36">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d)</w:t>
            </w:r>
          </w:p>
        </w:tc>
        <w:tc>
          <w:tcPr>
            <w:tcW w:w="7014" w:type="dxa"/>
          </w:tcPr>
          <w:p w14:paraId="29EC055C">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Consider plots to visualize results (e.g. forest plot, scatterplot of associations between genetic variants and outcome versus between genetic variants and exposure)</w:t>
            </w:r>
          </w:p>
        </w:tc>
        <w:tc>
          <w:tcPr>
            <w:tcW w:w="720" w:type="dxa"/>
          </w:tcPr>
          <w:p w14:paraId="5E9668CC">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5-6</w:t>
            </w:r>
          </w:p>
        </w:tc>
        <w:tc>
          <w:tcPr>
            <w:tcW w:w="4318" w:type="dxa"/>
          </w:tcPr>
          <w:p w14:paraId="4B3F33CC">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xml:space="preserve">These results are shown in Figures </w:t>
            </w:r>
            <w:r>
              <w:rPr>
                <w:rFonts w:hint="default" w:ascii="Times New Roman" w:hAnsi="Times New Roman" w:eastAsia="宋体" w:cs="Times New Roman"/>
                <w:sz w:val="20"/>
                <w:szCs w:val="20"/>
                <w:lang w:val="en-US" w:eastAsia="zh-CN"/>
              </w:rPr>
              <w:t xml:space="preserve">2 </w:t>
            </w:r>
            <w:r>
              <w:rPr>
                <w:rFonts w:hint="default" w:ascii="Times New Roman" w:hAnsi="Times New Roman" w:eastAsia="Times New Roman" w:cs="Times New Roman"/>
                <w:sz w:val="20"/>
                <w:szCs w:val="20"/>
                <w:lang w:val="en-GB" w:eastAsia="en-GB"/>
              </w:rPr>
              <w:t xml:space="preserve">and </w:t>
            </w:r>
            <w:r>
              <w:rPr>
                <w:rFonts w:hint="default" w:ascii="Times New Roman" w:hAnsi="Times New Roman" w:eastAsia="宋体" w:cs="Times New Roman"/>
                <w:sz w:val="20"/>
                <w:szCs w:val="20"/>
                <w:lang w:val="en-US" w:eastAsia="zh-CN"/>
              </w:rPr>
              <w:t>4</w:t>
            </w:r>
            <w:r>
              <w:rPr>
                <w:rFonts w:hint="default" w:ascii="Times New Roman" w:hAnsi="Times New Roman" w:eastAsia="Times New Roman" w:cs="Times New Roman"/>
                <w:sz w:val="20"/>
                <w:szCs w:val="20"/>
                <w:lang w:val="en-GB" w:eastAsia="en-GB"/>
              </w:rPr>
              <w:t>.</w:t>
            </w:r>
          </w:p>
        </w:tc>
      </w:tr>
      <w:tr w14:paraId="5588137E">
        <w:tblPrEx>
          <w:tblCellMar>
            <w:top w:w="0" w:type="dxa"/>
            <w:left w:w="108" w:type="dxa"/>
            <w:bottom w:w="0" w:type="dxa"/>
            <w:right w:w="108" w:type="dxa"/>
          </w:tblCellMar>
        </w:tblPrEx>
        <w:tc>
          <w:tcPr>
            <w:tcW w:w="616" w:type="dxa"/>
            <w:shd w:val="clear" w:color="auto" w:fill="EEEEEE"/>
          </w:tcPr>
          <w:p w14:paraId="388EE9E3">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12</w:t>
            </w:r>
          </w:p>
        </w:tc>
        <w:tc>
          <w:tcPr>
            <w:tcW w:w="1822" w:type="dxa"/>
            <w:shd w:val="clear" w:color="auto" w:fill="EEEEEE"/>
          </w:tcPr>
          <w:p w14:paraId="5DAF76F0">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b/>
                <w:bCs/>
                <w:sz w:val="20"/>
                <w:szCs w:val="20"/>
                <w:lang w:val="en-GB" w:eastAsia="en-GB"/>
              </w:rPr>
              <w:t>Assessment of assumptions</w:t>
            </w:r>
          </w:p>
        </w:tc>
        <w:tc>
          <w:tcPr>
            <w:tcW w:w="7014" w:type="dxa"/>
            <w:shd w:val="clear" w:color="auto" w:fill="EEEEEE"/>
          </w:tcPr>
          <w:p w14:paraId="2F72CE59">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720" w:type="dxa"/>
            <w:shd w:val="clear" w:color="auto" w:fill="EEEEEE"/>
          </w:tcPr>
          <w:p w14:paraId="6262FB28">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4318" w:type="dxa"/>
            <w:shd w:val="clear" w:color="auto" w:fill="EEEEEE"/>
          </w:tcPr>
          <w:p w14:paraId="0A4A0AAC">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r>
      <w:tr w14:paraId="45C41B94">
        <w:tc>
          <w:tcPr>
            <w:tcW w:w="616" w:type="dxa"/>
          </w:tcPr>
          <w:p w14:paraId="6060ACA7">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tcPr>
          <w:p w14:paraId="77CC6160">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a)</w:t>
            </w:r>
          </w:p>
        </w:tc>
        <w:tc>
          <w:tcPr>
            <w:tcW w:w="7014" w:type="dxa"/>
          </w:tcPr>
          <w:p w14:paraId="76C0907D">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Report the assessment of the validity of the assumptions</w:t>
            </w:r>
          </w:p>
        </w:tc>
        <w:tc>
          <w:tcPr>
            <w:tcW w:w="720" w:type="dxa"/>
          </w:tcPr>
          <w:p w14:paraId="54740BE9">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eastAsia" w:ascii="Times New Roman" w:hAnsi="Times New Roman" w:eastAsia="宋体" w:cs="Times New Roman"/>
                <w:sz w:val="20"/>
                <w:szCs w:val="20"/>
                <w:lang w:val="en-US" w:eastAsia="zh-CN"/>
              </w:rPr>
              <w:t>5</w:t>
            </w:r>
          </w:p>
        </w:tc>
        <w:tc>
          <w:tcPr>
            <w:tcW w:w="4318" w:type="dxa"/>
          </w:tcPr>
          <w:p w14:paraId="02F9D745">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eastAsia="Times New Roman" w:cs="Times New Roman"/>
                <w:sz w:val="20"/>
                <w:szCs w:val="20"/>
                <w:lang w:val="en-GB" w:eastAsia="en-GB"/>
              </w:rPr>
              <w:t>Cochrane's Q test (Supplementary Table S</w:t>
            </w:r>
            <w:r>
              <w:rPr>
                <w:rFonts w:hint="default" w:ascii="Times New Roman" w:hAnsi="Times New Roman" w:eastAsia="宋体" w:cs="Times New Roman"/>
                <w:sz w:val="20"/>
                <w:szCs w:val="20"/>
                <w:lang w:val="en-US" w:eastAsia="zh-CN"/>
              </w:rPr>
              <w:t>6</w:t>
            </w:r>
            <w:r>
              <w:rPr>
                <w:rFonts w:hint="default" w:ascii="Times New Roman" w:hAnsi="Times New Roman" w:eastAsia="Times New Roman" w:cs="Times New Roman"/>
                <w:sz w:val="20"/>
                <w:szCs w:val="20"/>
                <w:lang w:val="en-GB" w:eastAsia="en-GB"/>
              </w:rPr>
              <w:t xml:space="preserve">) and MR-Egger regression (Supplementary Table S5) showed no evidence of heterogeneity or horizontal pleiotropy for </w:t>
            </w:r>
            <w:r>
              <w:rPr>
                <w:rFonts w:hint="default" w:ascii="Times New Roman" w:hAnsi="Times New Roman" w:eastAsia="宋体" w:cs="Times New Roman"/>
                <w:sz w:val="20"/>
                <w:szCs w:val="20"/>
                <w:lang w:val="en-US" w:eastAsia="zh-CN"/>
              </w:rPr>
              <w:t xml:space="preserve">NPC2 </w:t>
            </w:r>
            <w:r>
              <w:rPr>
                <w:rFonts w:hint="default" w:ascii="Times New Roman" w:hAnsi="Times New Roman" w:eastAsia="等线" w:cs="Times New Roman"/>
                <w:kern w:val="2"/>
                <w:sz w:val="20"/>
                <w:szCs w:val="20"/>
                <w:lang w:val="en-US" w:eastAsia="zh-CN" w:bidi="ar"/>
              </w:rPr>
              <w:t>PCDH12</w:t>
            </w:r>
            <w:r>
              <w:rPr>
                <w:rFonts w:hint="default" w:ascii="Times New Roman" w:hAnsi="Times New Roman" w:eastAsia="Times New Roman" w:cs="Times New Roman"/>
                <w:sz w:val="20"/>
                <w:szCs w:val="20"/>
                <w:lang w:val="en-GB" w:eastAsia="en-GB"/>
              </w:rPr>
              <w:t xml:space="preserve"> or </w:t>
            </w:r>
            <w:r>
              <w:rPr>
                <w:rFonts w:hint="default" w:ascii="Times New Roman" w:hAnsi="Times New Roman" w:eastAsia="等线" w:cs="Times New Roman"/>
                <w:kern w:val="2"/>
                <w:sz w:val="20"/>
                <w:szCs w:val="20"/>
                <w:lang w:val="en-US" w:eastAsia="zh-CN" w:bidi="ar"/>
              </w:rPr>
              <w:t>IL10RB</w:t>
            </w:r>
            <w:r>
              <w:rPr>
                <w:rFonts w:hint="default" w:ascii="Times New Roman" w:hAnsi="Times New Roman" w:eastAsia="Times New Roman" w:cs="Times New Roman"/>
                <w:sz w:val="20"/>
                <w:szCs w:val="20"/>
                <w:lang w:val="en-GB" w:eastAsia="en-GB"/>
              </w:rPr>
              <w:t>. Additionally, the results of MR-PRESSO (Supplementary Table S</w:t>
            </w:r>
            <w:r>
              <w:rPr>
                <w:rFonts w:hint="default" w:ascii="Times New Roman" w:hAnsi="Times New Roman" w:eastAsia="宋体" w:cs="Times New Roman"/>
                <w:sz w:val="20"/>
                <w:szCs w:val="20"/>
                <w:lang w:val="en-US" w:eastAsia="zh-CN"/>
              </w:rPr>
              <w:t>7</w:t>
            </w:r>
            <w:r>
              <w:rPr>
                <w:rFonts w:hint="default" w:ascii="Times New Roman" w:hAnsi="Times New Roman" w:eastAsia="Times New Roman" w:cs="Times New Roman"/>
                <w:sz w:val="20"/>
                <w:szCs w:val="20"/>
                <w:lang w:val="en-GB" w:eastAsia="en-GB"/>
              </w:rPr>
              <w:t xml:space="preserve">) further confirmed the robustness of these </w:t>
            </w:r>
            <w:r>
              <w:rPr>
                <w:rFonts w:hint="default" w:ascii="Times New Roman" w:hAnsi="Times New Roman" w:eastAsia="宋体" w:cs="Times New Roman"/>
                <w:sz w:val="20"/>
                <w:szCs w:val="20"/>
                <w:lang w:val="en-US" w:eastAsia="zh-CN"/>
              </w:rPr>
              <w:t>three</w:t>
            </w:r>
            <w:r>
              <w:rPr>
                <w:rFonts w:hint="default" w:ascii="Times New Roman" w:hAnsi="Times New Roman" w:eastAsia="Times New Roman" w:cs="Times New Roman"/>
                <w:sz w:val="20"/>
                <w:szCs w:val="20"/>
                <w:lang w:val="en-GB" w:eastAsia="en-GB"/>
              </w:rPr>
              <w:t xml:space="preserve"> positive proteins</w:t>
            </w:r>
            <w:r>
              <w:rPr>
                <w:rFonts w:hint="default" w:ascii="Times New Roman" w:hAnsi="Times New Roman" w:eastAsia="宋体" w:cs="Times New Roman"/>
                <w:sz w:val="20"/>
                <w:szCs w:val="20"/>
                <w:lang w:val="en-US" w:eastAsia="zh-CN"/>
              </w:rPr>
              <w:t>.</w:t>
            </w:r>
          </w:p>
        </w:tc>
      </w:tr>
      <w:tr w14:paraId="20CD1490">
        <w:tblPrEx>
          <w:tblCellMar>
            <w:top w:w="0" w:type="dxa"/>
            <w:left w:w="108" w:type="dxa"/>
            <w:bottom w:w="0" w:type="dxa"/>
            <w:right w:w="108" w:type="dxa"/>
          </w:tblCellMar>
        </w:tblPrEx>
        <w:tc>
          <w:tcPr>
            <w:tcW w:w="616" w:type="dxa"/>
            <w:shd w:val="clear" w:color="auto" w:fill="EEEEEE"/>
          </w:tcPr>
          <w:p w14:paraId="0F62C860">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shd w:val="clear" w:color="auto" w:fill="EEEEEE"/>
          </w:tcPr>
          <w:p w14:paraId="5BADB98E">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b)</w:t>
            </w:r>
          </w:p>
        </w:tc>
        <w:tc>
          <w:tcPr>
            <w:tcW w:w="7014" w:type="dxa"/>
            <w:shd w:val="clear" w:color="auto" w:fill="EEEEEE"/>
          </w:tcPr>
          <w:p w14:paraId="32B45CA5">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 xml:space="preserve">Report any additional statistics (e.g., assessments of heterogeneity </w:t>
            </w:r>
            <w:r>
              <w:rPr>
                <w:rFonts w:hint="default" w:ascii="Times New Roman" w:hAnsi="Times New Roman" w:eastAsia="Times New Roman" w:cs="Times New Roman"/>
                <w:sz w:val="20"/>
                <w:szCs w:val="20"/>
                <w:lang w:eastAsia="en-GB"/>
              </w:rPr>
              <w:t>across genetic variants</w:t>
            </w:r>
            <w:r>
              <w:rPr>
                <w:rFonts w:hint="default" w:ascii="Times New Roman" w:hAnsi="Times New Roman" w:eastAsia="Times New Roman" w:cs="Times New Roman"/>
                <w:sz w:val="20"/>
                <w:szCs w:val="20"/>
                <w:lang w:val="en-GB" w:eastAsia="en-GB"/>
              </w:rPr>
              <w:t xml:space="preserve">, such as </w:t>
            </w:r>
            <w:r>
              <w:rPr>
                <w:rFonts w:hint="default" w:ascii="Times New Roman" w:hAnsi="Times New Roman" w:eastAsia="Times New Roman" w:cs="Times New Roman"/>
                <w:i/>
                <w:sz w:val="20"/>
                <w:szCs w:val="20"/>
                <w:lang w:val="en-GB" w:eastAsia="en-GB"/>
              </w:rPr>
              <w:t>I</w:t>
            </w:r>
            <w:r>
              <w:rPr>
                <w:rFonts w:hint="default" w:ascii="Times New Roman" w:hAnsi="Times New Roman" w:eastAsia="Times New Roman" w:cs="Times New Roman"/>
                <w:i/>
                <w:sz w:val="20"/>
                <w:szCs w:val="20"/>
                <w:vertAlign w:val="superscript"/>
                <w:lang w:val="en-GB" w:eastAsia="en-GB"/>
              </w:rPr>
              <w:t>2</w:t>
            </w:r>
            <w:r>
              <w:rPr>
                <w:rFonts w:hint="default" w:ascii="Times New Roman" w:hAnsi="Times New Roman" w:eastAsia="Times New Roman" w:cs="Times New Roman"/>
                <w:sz w:val="20"/>
                <w:szCs w:val="20"/>
                <w:lang w:val="en-GB" w:eastAsia="en-GB"/>
              </w:rPr>
              <w:t>, Q statistic or E-value)</w:t>
            </w:r>
          </w:p>
        </w:tc>
        <w:tc>
          <w:tcPr>
            <w:tcW w:w="720" w:type="dxa"/>
            <w:shd w:val="clear" w:color="auto" w:fill="EEEEEE"/>
          </w:tcPr>
          <w:p w14:paraId="4C52FA89">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eastAsia" w:ascii="Times New Roman" w:hAnsi="Times New Roman" w:eastAsia="宋体" w:cs="Times New Roman"/>
                <w:sz w:val="20"/>
                <w:szCs w:val="20"/>
                <w:lang w:val="en-US" w:eastAsia="zh-CN"/>
              </w:rPr>
              <w:t>5</w:t>
            </w:r>
          </w:p>
        </w:tc>
        <w:tc>
          <w:tcPr>
            <w:tcW w:w="4318" w:type="dxa"/>
            <w:shd w:val="clear" w:color="auto" w:fill="EEEEEE"/>
          </w:tcPr>
          <w:p w14:paraId="26623662">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Cochrane's Q test (Supplementary Table S</w:t>
            </w:r>
            <w:r>
              <w:rPr>
                <w:rFonts w:hint="default" w:ascii="Times New Roman" w:hAnsi="Times New Roman" w:eastAsia="宋体" w:cs="Times New Roman"/>
                <w:sz w:val="20"/>
                <w:szCs w:val="20"/>
                <w:lang w:val="en-US" w:eastAsia="zh-CN"/>
              </w:rPr>
              <w:t>6</w:t>
            </w:r>
            <w:r>
              <w:rPr>
                <w:rFonts w:hint="default" w:ascii="Times New Roman" w:hAnsi="Times New Roman" w:eastAsia="Times New Roman" w:cs="Times New Roman"/>
                <w:sz w:val="20"/>
                <w:szCs w:val="20"/>
                <w:lang w:val="en-GB" w:eastAsia="en-GB"/>
              </w:rPr>
              <w:t xml:space="preserve">) and MR-Egger regression (Supplementary Table S5) showed no evidence of heterogeneity or horizontal pleiotropy for </w:t>
            </w:r>
            <w:r>
              <w:rPr>
                <w:rFonts w:hint="default" w:ascii="Times New Roman" w:hAnsi="Times New Roman" w:eastAsia="宋体" w:cs="Times New Roman"/>
                <w:sz w:val="20"/>
                <w:szCs w:val="20"/>
                <w:lang w:val="en-US" w:eastAsia="zh-CN"/>
              </w:rPr>
              <w:t xml:space="preserve">NPC2 </w:t>
            </w:r>
            <w:r>
              <w:rPr>
                <w:rFonts w:hint="default" w:ascii="Times New Roman" w:hAnsi="Times New Roman" w:eastAsia="等线" w:cs="Times New Roman"/>
                <w:kern w:val="2"/>
                <w:sz w:val="20"/>
                <w:szCs w:val="20"/>
                <w:lang w:val="en-US" w:eastAsia="zh-CN" w:bidi="ar"/>
              </w:rPr>
              <w:t>PCDH12</w:t>
            </w:r>
            <w:r>
              <w:rPr>
                <w:rFonts w:hint="default" w:ascii="Times New Roman" w:hAnsi="Times New Roman" w:eastAsia="Times New Roman" w:cs="Times New Roman"/>
                <w:sz w:val="20"/>
                <w:szCs w:val="20"/>
                <w:lang w:val="en-GB" w:eastAsia="en-GB"/>
              </w:rPr>
              <w:t xml:space="preserve"> or </w:t>
            </w:r>
            <w:r>
              <w:rPr>
                <w:rFonts w:hint="default" w:ascii="Times New Roman" w:hAnsi="Times New Roman" w:eastAsia="等线" w:cs="Times New Roman"/>
                <w:kern w:val="2"/>
                <w:sz w:val="20"/>
                <w:szCs w:val="20"/>
                <w:lang w:val="en-US" w:eastAsia="zh-CN" w:bidi="ar"/>
              </w:rPr>
              <w:t>IL10RB</w:t>
            </w:r>
            <w:r>
              <w:rPr>
                <w:rFonts w:hint="default" w:ascii="Times New Roman" w:hAnsi="Times New Roman" w:eastAsia="Times New Roman" w:cs="Times New Roman"/>
                <w:sz w:val="20"/>
                <w:szCs w:val="20"/>
                <w:lang w:val="en-GB" w:eastAsia="en-GB"/>
              </w:rPr>
              <w:t>. Additionally, the results of MR-PRESSO (Supplementary Table S</w:t>
            </w:r>
            <w:r>
              <w:rPr>
                <w:rFonts w:hint="default" w:ascii="Times New Roman" w:hAnsi="Times New Roman" w:eastAsia="宋体" w:cs="Times New Roman"/>
                <w:sz w:val="20"/>
                <w:szCs w:val="20"/>
                <w:lang w:val="en-US" w:eastAsia="zh-CN"/>
              </w:rPr>
              <w:t>7</w:t>
            </w:r>
            <w:r>
              <w:rPr>
                <w:rFonts w:hint="default" w:ascii="Times New Roman" w:hAnsi="Times New Roman" w:eastAsia="Times New Roman" w:cs="Times New Roman"/>
                <w:sz w:val="20"/>
                <w:szCs w:val="20"/>
                <w:lang w:val="en-GB" w:eastAsia="en-GB"/>
              </w:rPr>
              <w:t xml:space="preserve">) further confirmed the robustness of these </w:t>
            </w:r>
            <w:r>
              <w:rPr>
                <w:rFonts w:hint="default" w:ascii="Times New Roman" w:hAnsi="Times New Roman" w:eastAsia="宋体" w:cs="Times New Roman"/>
                <w:sz w:val="20"/>
                <w:szCs w:val="20"/>
                <w:lang w:val="en-US" w:eastAsia="zh-CN"/>
              </w:rPr>
              <w:t>three</w:t>
            </w:r>
            <w:r>
              <w:rPr>
                <w:rFonts w:hint="default" w:ascii="Times New Roman" w:hAnsi="Times New Roman" w:eastAsia="Times New Roman" w:cs="Times New Roman"/>
                <w:sz w:val="20"/>
                <w:szCs w:val="20"/>
                <w:lang w:val="en-GB" w:eastAsia="en-GB"/>
              </w:rPr>
              <w:t xml:space="preserve"> positive proteins</w:t>
            </w:r>
            <w:r>
              <w:rPr>
                <w:rFonts w:hint="default" w:ascii="Times New Roman" w:hAnsi="Times New Roman" w:eastAsia="宋体" w:cs="Times New Roman"/>
                <w:sz w:val="20"/>
                <w:szCs w:val="20"/>
                <w:lang w:val="en-US" w:eastAsia="zh-CN"/>
              </w:rPr>
              <w:t>.</w:t>
            </w:r>
          </w:p>
        </w:tc>
      </w:tr>
      <w:tr w14:paraId="747BDB8F">
        <w:tblPrEx>
          <w:tblCellMar>
            <w:top w:w="0" w:type="dxa"/>
            <w:left w:w="108" w:type="dxa"/>
            <w:bottom w:w="0" w:type="dxa"/>
            <w:right w:w="108" w:type="dxa"/>
          </w:tblCellMar>
        </w:tblPrEx>
        <w:tc>
          <w:tcPr>
            <w:tcW w:w="616" w:type="dxa"/>
          </w:tcPr>
          <w:p w14:paraId="769A8C4F">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13</w:t>
            </w:r>
          </w:p>
        </w:tc>
        <w:tc>
          <w:tcPr>
            <w:tcW w:w="1822" w:type="dxa"/>
          </w:tcPr>
          <w:p w14:paraId="2205B527">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b/>
                <w:bCs/>
                <w:sz w:val="20"/>
                <w:szCs w:val="20"/>
                <w:lang w:val="en-GB" w:eastAsia="en-GB"/>
              </w:rPr>
              <w:t>Sensitivity analyses and additional analyses</w:t>
            </w:r>
          </w:p>
        </w:tc>
        <w:tc>
          <w:tcPr>
            <w:tcW w:w="7014" w:type="dxa"/>
          </w:tcPr>
          <w:p w14:paraId="500355C9">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720" w:type="dxa"/>
          </w:tcPr>
          <w:p w14:paraId="2AFED7D6">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4318" w:type="dxa"/>
          </w:tcPr>
          <w:p w14:paraId="0DAB0217">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r>
      <w:tr w14:paraId="5674029C">
        <w:tblPrEx>
          <w:tblCellMar>
            <w:top w:w="0" w:type="dxa"/>
            <w:left w:w="108" w:type="dxa"/>
            <w:bottom w:w="0" w:type="dxa"/>
            <w:right w:w="108" w:type="dxa"/>
          </w:tblCellMar>
        </w:tblPrEx>
        <w:tc>
          <w:tcPr>
            <w:tcW w:w="616" w:type="dxa"/>
            <w:shd w:val="clear" w:color="auto" w:fill="EEEEEE"/>
          </w:tcPr>
          <w:p w14:paraId="4EA2E76C">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shd w:val="clear" w:color="auto" w:fill="EEEEEE"/>
          </w:tcPr>
          <w:p w14:paraId="5A94F86B">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a)</w:t>
            </w:r>
          </w:p>
        </w:tc>
        <w:tc>
          <w:tcPr>
            <w:tcW w:w="7014" w:type="dxa"/>
            <w:shd w:val="clear" w:color="auto" w:fill="EEEEEE"/>
          </w:tcPr>
          <w:p w14:paraId="200B0713">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Report any sensitivity analyses to assess the robustness of the main results to violations of the assumptions</w:t>
            </w:r>
          </w:p>
        </w:tc>
        <w:tc>
          <w:tcPr>
            <w:tcW w:w="720" w:type="dxa"/>
            <w:shd w:val="clear" w:color="auto" w:fill="EEEEEE"/>
          </w:tcPr>
          <w:p w14:paraId="621B3473">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5-6</w:t>
            </w:r>
          </w:p>
        </w:tc>
        <w:tc>
          <w:tcPr>
            <w:tcW w:w="4318" w:type="dxa"/>
            <w:shd w:val="clear" w:color="auto" w:fill="EEEEEE"/>
          </w:tcPr>
          <w:p w14:paraId="48B803BB">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xml:space="preserve">We used the MR-Egger intercept test, the MR-PRESSO method, and the </w:t>
            </w:r>
            <w:r>
              <w:rPr>
                <w:rFonts w:hint="default" w:ascii="Times New Roman" w:hAnsi="Times New Roman" w:eastAsia="宋体" w:cs="Times New Roman"/>
                <w:sz w:val="20"/>
                <w:szCs w:val="20"/>
                <w:lang w:val="en-US" w:eastAsia="zh-CN"/>
              </w:rPr>
              <w:t>G</w:t>
            </w:r>
            <w:r>
              <w:rPr>
                <w:rFonts w:hint="default" w:ascii="Times New Roman" w:hAnsi="Times New Roman" w:eastAsia="Times New Roman" w:cs="Times New Roman"/>
                <w:sz w:val="20"/>
                <w:szCs w:val="20"/>
                <w:lang w:val="en-GB" w:eastAsia="en-GB"/>
              </w:rPr>
              <w:t>SMR method to detect horizontal pleiotropy and heterogeneity.</w:t>
            </w:r>
          </w:p>
        </w:tc>
      </w:tr>
      <w:tr w14:paraId="495399FC">
        <w:tblPrEx>
          <w:tblCellMar>
            <w:top w:w="0" w:type="dxa"/>
            <w:left w:w="108" w:type="dxa"/>
            <w:bottom w:w="0" w:type="dxa"/>
            <w:right w:w="108" w:type="dxa"/>
          </w:tblCellMar>
        </w:tblPrEx>
        <w:tc>
          <w:tcPr>
            <w:tcW w:w="616" w:type="dxa"/>
          </w:tcPr>
          <w:p w14:paraId="3B95072B">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tcPr>
          <w:p w14:paraId="5F40D70F">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b)</w:t>
            </w:r>
          </w:p>
        </w:tc>
        <w:tc>
          <w:tcPr>
            <w:tcW w:w="7014" w:type="dxa"/>
          </w:tcPr>
          <w:p w14:paraId="55873D81">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Report results from other sensitivity analyses or additional analyses</w:t>
            </w:r>
          </w:p>
        </w:tc>
        <w:tc>
          <w:tcPr>
            <w:tcW w:w="720" w:type="dxa"/>
          </w:tcPr>
          <w:p w14:paraId="404F5CA6">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eastAsia" w:ascii="Times New Roman" w:hAnsi="Times New Roman" w:eastAsia="宋体" w:cs="Times New Roman"/>
                <w:sz w:val="20"/>
                <w:szCs w:val="20"/>
                <w:lang w:val="en-US" w:eastAsia="zh-CN"/>
              </w:rPr>
              <w:t>5-6</w:t>
            </w:r>
          </w:p>
        </w:tc>
        <w:tc>
          <w:tcPr>
            <w:tcW w:w="4318" w:type="dxa"/>
          </w:tcPr>
          <w:p w14:paraId="3FA21D87">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MR-Egger regression (Supplementary Table S5) and MR-PRESSO (Supplementary Table S</w:t>
            </w:r>
            <w:r>
              <w:rPr>
                <w:rFonts w:hint="default" w:ascii="Times New Roman" w:hAnsi="Times New Roman" w:eastAsia="宋体" w:cs="Times New Roman"/>
                <w:sz w:val="20"/>
                <w:szCs w:val="20"/>
                <w:lang w:val="en-US" w:eastAsia="zh-CN"/>
              </w:rPr>
              <w:t>7</w:t>
            </w:r>
            <w:r>
              <w:rPr>
                <w:rFonts w:hint="default" w:ascii="Times New Roman" w:hAnsi="Times New Roman" w:eastAsia="Times New Roman" w:cs="Times New Roman"/>
                <w:sz w:val="20"/>
                <w:szCs w:val="20"/>
                <w:lang w:val="en-GB" w:eastAsia="en-GB"/>
              </w:rPr>
              <w:t xml:space="preserve">) showed no evidence of heterogeneity or horizontal pleiotropy. </w:t>
            </w:r>
            <w:r>
              <w:rPr>
                <w:rFonts w:hint="default" w:ascii="Times New Roman" w:hAnsi="Times New Roman" w:eastAsia="宋体" w:cs="Times New Roman"/>
                <w:sz w:val="20"/>
                <w:szCs w:val="20"/>
                <w:lang w:val="en-US" w:eastAsia="zh-CN"/>
              </w:rPr>
              <w:t>G</w:t>
            </w:r>
            <w:r>
              <w:rPr>
                <w:rFonts w:hint="default" w:ascii="Times New Roman" w:hAnsi="Times New Roman" w:eastAsia="Times New Roman" w:cs="Times New Roman"/>
                <w:sz w:val="20"/>
                <w:szCs w:val="20"/>
                <w:lang w:val="en-GB" w:eastAsia="en-GB"/>
              </w:rPr>
              <w:t xml:space="preserve">SMR results further confirmed the robustness of horizontal pleiotropy and heterogeneity ( Table </w:t>
            </w:r>
            <w:r>
              <w:rPr>
                <w:rFonts w:hint="default" w:ascii="Times New Roman" w:hAnsi="Times New Roman" w:eastAsia="宋体" w:cs="Times New Roman"/>
                <w:sz w:val="20"/>
                <w:szCs w:val="20"/>
                <w:lang w:val="en-US" w:eastAsia="zh-CN"/>
              </w:rPr>
              <w:t>1</w:t>
            </w:r>
            <w:r>
              <w:rPr>
                <w:rFonts w:hint="default" w:ascii="Times New Roman" w:hAnsi="Times New Roman" w:eastAsia="Times New Roman" w:cs="Times New Roman"/>
                <w:sz w:val="20"/>
                <w:szCs w:val="20"/>
                <w:lang w:val="en-GB" w:eastAsia="en-GB"/>
              </w:rPr>
              <w:t>).</w:t>
            </w:r>
          </w:p>
        </w:tc>
      </w:tr>
      <w:tr w14:paraId="63780B48">
        <w:tblPrEx>
          <w:tblCellMar>
            <w:top w:w="0" w:type="dxa"/>
            <w:left w:w="108" w:type="dxa"/>
            <w:bottom w:w="0" w:type="dxa"/>
            <w:right w:w="108" w:type="dxa"/>
          </w:tblCellMar>
        </w:tblPrEx>
        <w:tc>
          <w:tcPr>
            <w:tcW w:w="616" w:type="dxa"/>
            <w:shd w:val="clear" w:color="auto" w:fill="EEEEEE"/>
          </w:tcPr>
          <w:p w14:paraId="27473F80">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shd w:val="clear" w:color="auto" w:fill="EEEEEE"/>
          </w:tcPr>
          <w:p w14:paraId="735BDB00">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c)</w:t>
            </w:r>
          </w:p>
        </w:tc>
        <w:tc>
          <w:tcPr>
            <w:tcW w:w="7014" w:type="dxa"/>
            <w:shd w:val="clear" w:color="auto" w:fill="EEEEEE"/>
          </w:tcPr>
          <w:p w14:paraId="25ED9679">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Report any assessment of direction of causal relationship (e.g., bidirectional MR)</w:t>
            </w:r>
          </w:p>
        </w:tc>
        <w:tc>
          <w:tcPr>
            <w:tcW w:w="720" w:type="dxa"/>
            <w:shd w:val="clear" w:color="auto" w:fill="EEEEEE"/>
          </w:tcPr>
          <w:p w14:paraId="26B26305">
            <w:pPr>
              <w:keepNext w:val="0"/>
              <w:keepLines w:val="0"/>
              <w:widowControl/>
              <w:suppressLineNumbers w:val="0"/>
              <w:spacing w:before="96" w:beforeLines="40" w:beforeAutospacing="0" w:after="96" w:afterLines="40" w:afterAutospacing="0" w:line="24" w:lineRule="atLeast"/>
              <w:ind w:left="0" w:right="0"/>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5</w:t>
            </w:r>
          </w:p>
        </w:tc>
        <w:tc>
          <w:tcPr>
            <w:tcW w:w="4318" w:type="dxa"/>
            <w:shd w:val="clear" w:color="auto" w:fill="EEEEEE"/>
          </w:tcPr>
          <w:p w14:paraId="248D8019">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The Steiger filtering and directionality tests (Supplementary Table S</w:t>
            </w:r>
            <w:r>
              <w:rPr>
                <w:rFonts w:hint="default" w:ascii="Times New Roman" w:hAnsi="Times New Roman" w:eastAsia="宋体" w:cs="Times New Roman"/>
                <w:sz w:val="20"/>
                <w:szCs w:val="20"/>
                <w:lang w:val="en-US" w:eastAsia="zh-CN"/>
              </w:rPr>
              <w:t>8</w:t>
            </w:r>
            <w:r>
              <w:rPr>
                <w:rFonts w:hint="default" w:ascii="Times New Roman" w:hAnsi="Times New Roman" w:eastAsia="Times New Roman" w:cs="Times New Roman"/>
                <w:sz w:val="20"/>
                <w:szCs w:val="20"/>
                <w:lang w:val="en-GB" w:eastAsia="en-GB"/>
              </w:rPr>
              <w:t xml:space="preserve">) showed consistent results from both individual SNP tests and overall SNP results, confirming that the causal direction is from protein to </w:t>
            </w:r>
            <w:r>
              <w:rPr>
                <w:rFonts w:hint="default" w:ascii="Times New Roman" w:hAnsi="Times New Roman" w:eastAsia="等线" w:cs="Times New Roman"/>
                <w:kern w:val="2"/>
                <w:sz w:val="20"/>
                <w:szCs w:val="20"/>
                <w:lang w:val="en-US" w:eastAsia="zh-CN" w:bidi="ar"/>
              </w:rPr>
              <w:t>spina bifida</w:t>
            </w:r>
            <w:r>
              <w:rPr>
                <w:rFonts w:hint="default" w:ascii="Times New Roman" w:hAnsi="Times New Roman" w:eastAsia="Times New Roman" w:cs="Times New Roman"/>
                <w:sz w:val="20"/>
                <w:szCs w:val="20"/>
                <w:lang w:val="en-GB" w:eastAsia="en-GB"/>
              </w:rPr>
              <w:t>.</w:t>
            </w:r>
          </w:p>
        </w:tc>
      </w:tr>
      <w:tr w14:paraId="78A89B2E">
        <w:tblPrEx>
          <w:tblCellMar>
            <w:top w:w="0" w:type="dxa"/>
            <w:left w:w="108" w:type="dxa"/>
            <w:bottom w:w="0" w:type="dxa"/>
            <w:right w:w="108" w:type="dxa"/>
          </w:tblCellMar>
        </w:tblPrEx>
        <w:tc>
          <w:tcPr>
            <w:tcW w:w="616" w:type="dxa"/>
          </w:tcPr>
          <w:p w14:paraId="0F55BEF2">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tcPr>
          <w:p w14:paraId="678B1211">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d)</w:t>
            </w:r>
          </w:p>
        </w:tc>
        <w:tc>
          <w:tcPr>
            <w:tcW w:w="7014" w:type="dxa"/>
          </w:tcPr>
          <w:p w14:paraId="5D41134E">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When relevant, report and compare with estimates from non-MR analyses</w:t>
            </w:r>
          </w:p>
        </w:tc>
        <w:tc>
          <w:tcPr>
            <w:tcW w:w="720" w:type="dxa"/>
          </w:tcPr>
          <w:p w14:paraId="248E7E37">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p>
        </w:tc>
        <w:tc>
          <w:tcPr>
            <w:tcW w:w="4318" w:type="dxa"/>
          </w:tcPr>
          <w:p w14:paraId="098CC685">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宋体" w:cs="Times New Roman"/>
                <w:sz w:val="20"/>
                <w:szCs w:val="20"/>
                <w:lang w:val="en-US" w:eastAsia="zh-CN"/>
              </w:rPr>
              <w:t>N.A.</w:t>
            </w:r>
          </w:p>
        </w:tc>
      </w:tr>
      <w:tr w14:paraId="0675197E">
        <w:tblPrEx>
          <w:tblCellMar>
            <w:top w:w="0" w:type="dxa"/>
            <w:left w:w="108" w:type="dxa"/>
            <w:bottom w:w="0" w:type="dxa"/>
            <w:right w:w="108" w:type="dxa"/>
          </w:tblCellMar>
        </w:tblPrEx>
        <w:tc>
          <w:tcPr>
            <w:tcW w:w="616" w:type="dxa"/>
            <w:tcBorders>
              <w:bottom w:val="single" w:color="7F7F7F" w:sz="6" w:space="0"/>
            </w:tcBorders>
            <w:shd w:val="clear" w:color="auto" w:fill="EEEEEE"/>
          </w:tcPr>
          <w:p w14:paraId="77561CC2">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tcBorders>
              <w:bottom w:val="single" w:color="7F7F7F" w:sz="6" w:space="0"/>
            </w:tcBorders>
            <w:shd w:val="clear" w:color="auto" w:fill="EEEEEE"/>
          </w:tcPr>
          <w:p w14:paraId="3D9A31CB">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e)</w:t>
            </w:r>
          </w:p>
        </w:tc>
        <w:tc>
          <w:tcPr>
            <w:tcW w:w="7014" w:type="dxa"/>
            <w:tcBorders>
              <w:bottom w:val="single" w:color="7F7F7F" w:sz="6" w:space="0"/>
            </w:tcBorders>
            <w:shd w:val="clear" w:color="auto" w:fill="EEEEEE"/>
          </w:tcPr>
          <w:p w14:paraId="5F750133">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Consider additional plots to visualize results (e.g., leave-one-out analyses)</w:t>
            </w:r>
          </w:p>
        </w:tc>
        <w:tc>
          <w:tcPr>
            <w:tcW w:w="720" w:type="dxa"/>
            <w:tcBorders>
              <w:bottom w:val="single" w:color="7F7F7F" w:sz="6" w:space="0"/>
            </w:tcBorders>
            <w:shd w:val="clear" w:color="auto" w:fill="EEEEEE"/>
          </w:tcPr>
          <w:p w14:paraId="26BBF42B">
            <w:pPr>
              <w:keepNext w:val="0"/>
              <w:keepLines w:val="0"/>
              <w:widowControl/>
              <w:suppressLineNumbers w:val="0"/>
              <w:spacing w:before="96" w:beforeLines="40" w:beforeAutospacing="0" w:after="96" w:afterLines="40" w:afterAutospacing="0" w:line="24" w:lineRule="atLeast"/>
              <w:ind w:left="0" w:right="0"/>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6</w:t>
            </w:r>
          </w:p>
        </w:tc>
        <w:tc>
          <w:tcPr>
            <w:tcW w:w="4318" w:type="dxa"/>
            <w:tcBorders>
              <w:bottom w:val="single" w:color="7F7F7F" w:sz="6" w:space="0"/>
            </w:tcBorders>
            <w:shd w:val="clear" w:color="auto" w:fill="EEEEEE"/>
          </w:tcPr>
          <w:p w14:paraId="1392EC04">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eastAsia="Times New Roman" w:cs="Times New Roman"/>
                <w:sz w:val="20"/>
                <w:szCs w:val="20"/>
                <w:lang w:val="en-GB" w:eastAsia="en-GB"/>
              </w:rPr>
              <w:t xml:space="preserve">Supplementary Figure </w:t>
            </w:r>
            <w:r>
              <w:rPr>
                <w:rFonts w:hint="default" w:ascii="Times New Roman" w:hAnsi="Times New Roman" w:eastAsia="宋体" w:cs="Times New Roman"/>
                <w:sz w:val="20"/>
                <w:szCs w:val="20"/>
                <w:lang w:val="en-US" w:eastAsia="zh-CN"/>
              </w:rPr>
              <w:t>1 and 2.</w:t>
            </w:r>
          </w:p>
        </w:tc>
      </w:tr>
      <w:tr w14:paraId="7112299F">
        <w:tblPrEx>
          <w:tblCellMar>
            <w:top w:w="0" w:type="dxa"/>
            <w:left w:w="108" w:type="dxa"/>
            <w:bottom w:w="0" w:type="dxa"/>
            <w:right w:w="108" w:type="dxa"/>
          </w:tblCellMar>
        </w:tblPrEx>
        <w:tc>
          <w:tcPr>
            <w:tcW w:w="616" w:type="dxa"/>
            <w:tcBorders>
              <w:top w:val="single" w:color="7F7F7F" w:sz="6" w:space="0"/>
            </w:tcBorders>
          </w:tcPr>
          <w:p w14:paraId="555FA78D">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p>
        </w:tc>
        <w:tc>
          <w:tcPr>
            <w:tcW w:w="1822" w:type="dxa"/>
            <w:tcBorders>
              <w:top w:val="single" w:color="7F7F7F" w:sz="6" w:space="0"/>
            </w:tcBorders>
          </w:tcPr>
          <w:p w14:paraId="51ABAF94">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b/>
                <w:bCs/>
                <w:sz w:val="20"/>
                <w:szCs w:val="20"/>
                <w:lang w:val="en-GB" w:eastAsia="en-GB"/>
              </w:rPr>
              <w:t>DISCUSSION</w:t>
            </w:r>
          </w:p>
        </w:tc>
        <w:tc>
          <w:tcPr>
            <w:tcW w:w="7014" w:type="dxa"/>
            <w:tcBorders>
              <w:top w:val="single" w:color="7F7F7F" w:sz="6" w:space="0"/>
            </w:tcBorders>
          </w:tcPr>
          <w:p w14:paraId="427B950F">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720" w:type="dxa"/>
            <w:tcBorders>
              <w:top w:val="single" w:color="7F7F7F" w:sz="6" w:space="0"/>
            </w:tcBorders>
          </w:tcPr>
          <w:p w14:paraId="1A12478E">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4318" w:type="dxa"/>
            <w:tcBorders>
              <w:top w:val="single" w:color="7F7F7F" w:sz="6" w:space="0"/>
            </w:tcBorders>
          </w:tcPr>
          <w:p w14:paraId="4A4FC3AA">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r>
      <w:tr w14:paraId="4D45968C">
        <w:tblPrEx>
          <w:tblCellMar>
            <w:top w:w="0" w:type="dxa"/>
            <w:left w:w="108" w:type="dxa"/>
            <w:bottom w:w="0" w:type="dxa"/>
            <w:right w:w="108" w:type="dxa"/>
          </w:tblCellMar>
        </w:tblPrEx>
        <w:tc>
          <w:tcPr>
            <w:tcW w:w="616" w:type="dxa"/>
            <w:shd w:val="clear" w:color="auto" w:fill="EEEEEE"/>
          </w:tcPr>
          <w:p w14:paraId="60D3A2EF">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14</w:t>
            </w:r>
          </w:p>
        </w:tc>
        <w:tc>
          <w:tcPr>
            <w:tcW w:w="1822" w:type="dxa"/>
            <w:shd w:val="clear" w:color="auto" w:fill="EEEEEE"/>
          </w:tcPr>
          <w:p w14:paraId="321E9380">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b/>
                <w:bCs/>
                <w:sz w:val="20"/>
                <w:szCs w:val="20"/>
                <w:lang w:val="en-GB" w:eastAsia="en-GB"/>
              </w:rPr>
              <w:t>Key results </w:t>
            </w:r>
          </w:p>
        </w:tc>
        <w:tc>
          <w:tcPr>
            <w:tcW w:w="7014" w:type="dxa"/>
            <w:shd w:val="clear" w:color="auto" w:fill="EEEEEE"/>
          </w:tcPr>
          <w:p w14:paraId="5A0D65D2">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Summarize key results with reference to study objectives</w:t>
            </w:r>
          </w:p>
        </w:tc>
        <w:tc>
          <w:tcPr>
            <w:tcW w:w="720" w:type="dxa"/>
            <w:shd w:val="clear" w:color="auto" w:fill="EEEEEE"/>
          </w:tcPr>
          <w:p w14:paraId="4F081EB3">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7-8</w:t>
            </w:r>
          </w:p>
        </w:tc>
        <w:tc>
          <w:tcPr>
            <w:tcW w:w="4318" w:type="dxa"/>
            <w:shd w:val="clear" w:color="auto" w:fill="EEEEEE"/>
          </w:tcPr>
          <w:p w14:paraId="058EAB12">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等线" w:cs="Times New Roman"/>
                <w:kern w:val="2"/>
                <w:sz w:val="20"/>
                <w:szCs w:val="20"/>
                <w:lang w:val="en-US" w:eastAsia="zh-CN" w:bidi="ar"/>
              </w:rPr>
              <w:t>we prioritized three downregulated genes-NPC2, PCDH12, and IL10RB-as candidate genes. We further evaluated potential adverse effects using PheWAS and assessed druggability through compound screening, molecular docking, and MD simulations, providing a foundation for future drug development in spina bifida.</w:t>
            </w:r>
          </w:p>
        </w:tc>
      </w:tr>
      <w:tr w14:paraId="2C762FFA">
        <w:tblPrEx>
          <w:tblCellMar>
            <w:top w:w="0" w:type="dxa"/>
            <w:left w:w="108" w:type="dxa"/>
            <w:bottom w:w="0" w:type="dxa"/>
            <w:right w:w="108" w:type="dxa"/>
          </w:tblCellMar>
        </w:tblPrEx>
        <w:tc>
          <w:tcPr>
            <w:tcW w:w="616" w:type="dxa"/>
          </w:tcPr>
          <w:p w14:paraId="01AD5DDE">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15</w:t>
            </w:r>
          </w:p>
        </w:tc>
        <w:tc>
          <w:tcPr>
            <w:tcW w:w="1822" w:type="dxa"/>
          </w:tcPr>
          <w:p w14:paraId="72F6BB6D">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b/>
                <w:bCs/>
                <w:sz w:val="20"/>
                <w:szCs w:val="20"/>
                <w:lang w:val="en-GB" w:eastAsia="en-GB"/>
              </w:rPr>
              <w:t>Limitations</w:t>
            </w:r>
          </w:p>
        </w:tc>
        <w:tc>
          <w:tcPr>
            <w:tcW w:w="7014" w:type="dxa"/>
          </w:tcPr>
          <w:p w14:paraId="7E814420">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Discuss limitations of the study, taking into account the validity of the IV assumptions, other sources of potential bias, and imprecision. Discuss both direction and magnitude of any potential bias and any efforts to address them</w:t>
            </w:r>
            <w:r>
              <w:rPr>
                <w:rFonts w:hint="default" w:ascii="Times New Roman" w:hAnsi="Times New Roman" w:eastAsia="Times New Roman" w:cs="Times New Roman"/>
                <w:sz w:val="20"/>
                <w:szCs w:val="20"/>
                <w:shd w:val="clear" w:color="auto" w:fill="FFFFFF"/>
                <w:lang w:val="en-GB" w:eastAsia="en-GB"/>
              </w:rPr>
              <w:t> </w:t>
            </w:r>
          </w:p>
        </w:tc>
        <w:tc>
          <w:tcPr>
            <w:tcW w:w="720" w:type="dxa"/>
          </w:tcPr>
          <w:p w14:paraId="401F7663">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10</w:t>
            </w:r>
          </w:p>
        </w:tc>
        <w:tc>
          <w:tcPr>
            <w:tcW w:w="4318" w:type="dxa"/>
          </w:tcPr>
          <w:p w14:paraId="120D8A10">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eastAsia="Times New Roman" w:cs="Times New Roman"/>
                <w:sz w:val="20"/>
                <w:szCs w:val="20"/>
                <w:lang w:val="en-GB" w:eastAsia="en-GB"/>
              </w:rPr>
              <w:t xml:space="preserve">First, the MR analysis had limited statistical power due to a small number of </w:t>
            </w:r>
            <w:r>
              <w:rPr>
                <w:rFonts w:hint="default" w:ascii="Times New Roman" w:hAnsi="Times New Roman" w:eastAsia="等线" w:cs="Times New Roman"/>
                <w:kern w:val="2"/>
                <w:sz w:val="20"/>
                <w:szCs w:val="20"/>
                <w:lang w:val="en-US" w:eastAsia="zh-CN" w:bidi="ar"/>
              </w:rPr>
              <w:t>spina bifida</w:t>
            </w:r>
            <w:r>
              <w:rPr>
                <w:rFonts w:hint="default" w:ascii="Times New Roman" w:hAnsi="Times New Roman" w:eastAsia="Times New Roman" w:cs="Times New Roman"/>
                <w:sz w:val="20"/>
                <w:szCs w:val="20"/>
                <w:lang w:val="en-GB" w:eastAsia="en-GB"/>
              </w:rPr>
              <w:t xml:space="preserve"> cases (n=210), increasing false negative risk; a relaxed LD threshold (R² &lt; 0.1) for SNP inclusion may also have weakened instrumental variable strength and compromised causal estimate robustness. Second, some GEO datasets (e.g., GSE33111: 6 cases, 8 controls) had small sample sizes, reducing statistical power, and GEO data included European and Chinese populations while MR outcome data was restricted to Europeans, limiting generalizability. Additionally, though tamibarotene showed favorable docking scores with NPC2 and IL10RB, no prior evidence supports its functional interaction with these genes, making its clinical applicability unconfirmed. Finally, the study is based solely on bioinformatic analyses, lacking in vitro/in vivo experimental validation of the candidate genes and their mechanistic roles in </w:t>
            </w:r>
            <w:r>
              <w:rPr>
                <w:rFonts w:hint="default" w:ascii="Times New Roman" w:hAnsi="Times New Roman" w:eastAsia="等线" w:cs="Times New Roman"/>
                <w:kern w:val="2"/>
                <w:sz w:val="20"/>
                <w:szCs w:val="20"/>
                <w:lang w:val="en-US" w:eastAsia="zh-CN" w:bidi="ar"/>
              </w:rPr>
              <w:t>spina bifida</w:t>
            </w:r>
            <w:r>
              <w:rPr>
                <w:rFonts w:hint="default" w:ascii="Times New Roman" w:hAnsi="Times New Roman" w:eastAsia="Times New Roman" w:cs="Times New Roman"/>
                <w:sz w:val="20"/>
                <w:szCs w:val="20"/>
                <w:lang w:val="en-GB" w:eastAsia="en-GB"/>
              </w:rPr>
              <w:t xml:space="preserve"> pathogenesis.</w:t>
            </w:r>
          </w:p>
        </w:tc>
      </w:tr>
      <w:tr w14:paraId="3FBF9B26">
        <w:tblPrEx>
          <w:tblCellMar>
            <w:top w:w="0" w:type="dxa"/>
            <w:left w:w="108" w:type="dxa"/>
            <w:bottom w:w="0" w:type="dxa"/>
            <w:right w:w="108" w:type="dxa"/>
          </w:tblCellMar>
        </w:tblPrEx>
        <w:tc>
          <w:tcPr>
            <w:tcW w:w="616" w:type="dxa"/>
            <w:shd w:val="clear" w:color="auto" w:fill="EEEEEE"/>
          </w:tcPr>
          <w:p w14:paraId="4D1B4B15">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16</w:t>
            </w:r>
          </w:p>
        </w:tc>
        <w:tc>
          <w:tcPr>
            <w:tcW w:w="1822" w:type="dxa"/>
            <w:shd w:val="clear" w:color="auto" w:fill="EEEEEE"/>
          </w:tcPr>
          <w:p w14:paraId="2B1C467D">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b/>
                <w:bCs/>
                <w:sz w:val="20"/>
                <w:szCs w:val="20"/>
                <w:lang w:val="en-GB" w:eastAsia="en-GB"/>
              </w:rPr>
              <w:t>Interpretation</w:t>
            </w:r>
          </w:p>
        </w:tc>
        <w:tc>
          <w:tcPr>
            <w:tcW w:w="7014" w:type="dxa"/>
            <w:shd w:val="clear" w:color="auto" w:fill="EEEEEE"/>
          </w:tcPr>
          <w:p w14:paraId="76C8E56D">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720" w:type="dxa"/>
            <w:shd w:val="clear" w:color="auto" w:fill="EEEEEE"/>
          </w:tcPr>
          <w:p w14:paraId="14167366">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4318" w:type="dxa"/>
            <w:shd w:val="clear" w:color="auto" w:fill="EEEEEE"/>
          </w:tcPr>
          <w:p w14:paraId="3C55B9A4">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r>
      <w:tr w14:paraId="1C40C575">
        <w:tblPrEx>
          <w:tblCellMar>
            <w:top w:w="0" w:type="dxa"/>
            <w:left w:w="108" w:type="dxa"/>
            <w:bottom w:w="0" w:type="dxa"/>
            <w:right w:w="108" w:type="dxa"/>
          </w:tblCellMar>
        </w:tblPrEx>
        <w:tc>
          <w:tcPr>
            <w:tcW w:w="616" w:type="dxa"/>
          </w:tcPr>
          <w:p w14:paraId="34AFE117">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tcPr>
          <w:p w14:paraId="5A5AF27D">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a)</w:t>
            </w:r>
          </w:p>
        </w:tc>
        <w:tc>
          <w:tcPr>
            <w:tcW w:w="7014" w:type="dxa"/>
          </w:tcPr>
          <w:p w14:paraId="6E159C05">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Meaning: Give a cautious overall interpretation of results in the context of their limitations and in comparison with other studies</w:t>
            </w:r>
          </w:p>
        </w:tc>
        <w:tc>
          <w:tcPr>
            <w:tcW w:w="720" w:type="dxa"/>
          </w:tcPr>
          <w:p w14:paraId="4E0F5A43">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8-9</w:t>
            </w:r>
          </w:p>
        </w:tc>
        <w:tc>
          <w:tcPr>
            <w:tcW w:w="4318" w:type="dxa"/>
          </w:tcPr>
          <w:p w14:paraId="3E068C4A">
            <w:pPr>
              <w:keepNext w:val="0"/>
              <w:keepLines w:val="0"/>
              <w:widowControl w:val="0"/>
              <w:suppressLineNumbers w:val="0"/>
              <w:spacing w:before="0" w:beforeAutospacing="0" w:after="0" w:afterAutospacing="0" w:line="300" w:lineRule="auto"/>
              <w:ind w:left="0" w:right="0"/>
              <w:jc w:val="left"/>
              <w:rPr>
                <w:rFonts w:hint="default" w:ascii="Times New Roman" w:hAnsi="Times New Roman" w:eastAsia="Times New Roman" w:cs="Times New Roman"/>
                <w:sz w:val="20"/>
                <w:szCs w:val="20"/>
                <w:lang w:val="en-GB" w:eastAsia="en-GB"/>
              </w:rPr>
            </w:pPr>
            <w:r>
              <w:rPr>
                <w:rFonts w:hint="default" w:ascii="Times New Roman" w:hAnsi="Times New Roman" w:eastAsia="等线" w:cs="Times New Roman"/>
                <w:kern w:val="2"/>
                <w:sz w:val="20"/>
                <w:szCs w:val="20"/>
                <w:lang w:val="en-US" w:eastAsia="zh-CN" w:bidi="ar"/>
              </w:rPr>
              <w:t xml:space="preserve">Our study integrated MR and GEO transcriptomic data to identify NPC2, PCDH12, and IL10RB as downregulated protective factors in </w:t>
            </w:r>
            <w:r>
              <w:rPr>
                <w:rFonts w:hint="eastAsia" w:ascii="Times New Roman" w:hAnsi="Times New Roman" w:eastAsia="宋体" w:cs="Times New Roman"/>
                <w:sz w:val="20"/>
                <w:szCs w:val="20"/>
                <w:lang w:val="en-US" w:eastAsia="zh-CN"/>
              </w:rPr>
              <w:t>s</w:t>
            </w:r>
            <w:r>
              <w:rPr>
                <w:rFonts w:hint="default" w:ascii="Times New Roman" w:hAnsi="Times New Roman" w:eastAsia="Times New Roman" w:cs="Times New Roman"/>
                <w:sz w:val="20"/>
                <w:szCs w:val="20"/>
                <w:lang w:val="en-GB" w:eastAsia="en-GB"/>
              </w:rPr>
              <w:t>pina bifida</w:t>
            </w:r>
            <w:r>
              <w:rPr>
                <w:rFonts w:hint="default" w:ascii="Times New Roman" w:hAnsi="Times New Roman" w:eastAsia="等线" w:cs="Times New Roman"/>
                <w:kern w:val="2"/>
                <w:sz w:val="20"/>
                <w:szCs w:val="20"/>
                <w:lang w:val="en-US" w:eastAsia="zh-CN" w:bidi="ar"/>
              </w:rPr>
              <w:t xml:space="preserve">. These genes are enriched in key pathways including JAK-STAT, CAMs, and CCRI. Docking and MD simulations validated NPC2-cholesterol binding as an endogenous positive control, while highlighting tamibarotene as a promising IL10RB-targeting compound. The findings shed light on the molecular mechanisms and targeted therapies of </w:t>
            </w:r>
            <w:r>
              <w:rPr>
                <w:rFonts w:hint="eastAsia" w:ascii="Times New Roman" w:hAnsi="Times New Roman" w:eastAsia="宋体" w:cs="Times New Roman"/>
                <w:sz w:val="20"/>
                <w:szCs w:val="20"/>
                <w:lang w:val="en-US" w:eastAsia="zh-CN"/>
              </w:rPr>
              <w:t>s</w:t>
            </w:r>
            <w:r>
              <w:rPr>
                <w:rFonts w:hint="default" w:ascii="Times New Roman" w:hAnsi="Times New Roman" w:eastAsia="Times New Roman" w:cs="Times New Roman"/>
                <w:sz w:val="20"/>
                <w:szCs w:val="20"/>
                <w:lang w:val="en-GB" w:eastAsia="en-GB"/>
              </w:rPr>
              <w:t>pina bifida</w:t>
            </w:r>
            <w:r>
              <w:rPr>
                <w:rFonts w:hint="default" w:ascii="Times New Roman" w:hAnsi="Times New Roman" w:eastAsia="等线" w:cs="Times New Roman"/>
                <w:kern w:val="2"/>
                <w:sz w:val="20"/>
                <w:szCs w:val="20"/>
                <w:lang w:val="en-US" w:eastAsia="zh-CN" w:bidi="ar"/>
              </w:rPr>
              <w:t>, though further experimental work is needed to confirm gene functions and assess the bioactivity of candidate compounds.</w:t>
            </w:r>
          </w:p>
        </w:tc>
      </w:tr>
      <w:tr w14:paraId="2803F139">
        <w:tblPrEx>
          <w:tblCellMar>
            <w:top w:w="0" w:type="dxa"/>
            <w:left w:w="108" w:type="dxa"/>
            <w:bottom w:w="0" w:type="dxa"/>
            <w:right w:w="108" w:type="dxa"/>
          </w:tblCellMar>
        </w:tblPrEx>
        <w:tc>
          <w:tcPr>
            <w:tcW w:w="616" w:type="dxa"/>
            <w:shd w:val="clear" w:color="auto" w:fill="EEEEEE"/>
          </w:tcPr>
          <w:p w14:paraId="7BE3D36C">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shd w:val="clear" w:color="auto" w:fill="EEEEEE"/>
          </w:tcPr>
          <w:p w14:paraId="6E32BFBB">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b)</w:t>
            </w:r>
          </w:p>
        </w:tc>
        <w:tc>
          <w:tcPr>
            <w:tcW w:w="7014" w:type="dxa"/>
            <w:shd w:val="clear" w:color="auto" w:fill="EEEEEE"/>
          </w:tcPr>
          <w:p w14:paraId="2BF25F8C">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shd w:val="clear" w:color="auto" w:fill="EEEEEE"/>
          </w:tcPr>
          <w:p w14:paraId="0C484605">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eastAsia" w:ascii="Times New Roman" w:hAnsi="Times New Roman" w:eastAsia="宋体" w:cs="Times New Roman"/>
                <w:sz w:val="20"/>
                <w:szCs w:val="20"/>
                <w:lang w:val="en-US" w:eastAsia="zh-CN"/>
              </w:rPr>
              <w:t>8-9</w:t>
            </w:r>
          </w:p>
        </w:tc>
        <w:tc>
          <w:tcPr>
            <w:tcW w:w="4318" w:type="dxa"/>
            <w:shd w:val="clear" w:color="auto" w:fill="EEEEEE"/>
          </w:tcPr>
          <w:p w14:paraId="4BB2DE38">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宋体" w:cs="Times New Roman"/>
                <w:sz w:val="20"/>
                <w:szCs w:val="20"/>
                <w:lang w:val="en-US" w:eastAsia="zh-CN"/>
              </w:rPr>
              <w:t xml:space="preserve">Under MR’s core IV assumptions, IV estimates may suggest potential causal effects of the three prioritized proteins on </w:t>
            </w:r>
            <w:r>
              <w:rPr>
                <w:rFonts w:hint="default" w:ascii="Times New Roman" w:hAnsi="Times New Roman" w:eastAsia="等线" w:cs="Times New Roman"/>
                <w:kern w:val="2"/>
                <w:sz w:val="20"/>
                <w:szCs w:val="20"/>
                <w:lang w:val="en-US" w:eastAsia="zh-CN" w:bidi="ar"/>
              </w:rPr>
              <w:t>spina bifida</w:t>
            </w:r>
            <w:r>
              <w:rPr>
                <w:rFonts w:hint="default" w:ascii="Times New Roman" w:hAnsi="Times New Roman" w:eastAsia="宋体" w:cs="Times New Roman"/>
                <w:sz w:val="20"/>
                <w:szCs w:val="20"/>
                <w:lang w:val="en-US" w:eastAsia="zh-CN"/>
              </w:rPr>
              <w:t xml:space="preserve"> risk: NPC2 downregulation disrupts neural cholesterol transport and JAK-STAT-mediated neuroinflammation; PCDH12 dysfunction impairs the neural tube closure-essential CAM pathway; IL10RB dysregulation alters anti-inflammatory JAK-STAT signaling and the </w:t>
            </w:r>
            <w:r>
              <w:rPr>
                <w:rFonts w:hint="default" w:ascii="Times New Roman" w:hAnsi="Times New Roman" w:eastAsia="等线" w:cs="Times New Roman"/>
                <w:kern w:val="2"/>
                <w:sz w:val="20"/>
                <w:szCs w:val="20"/>
                <w:lang w:val="en-US" w:eastAsia="zh-CN" w:bidi="ar"/>
              </w:rPr>
              <w:t>spina bifida</w:t>
            </w:r>
            <w:r>
              <w:rPr>
                <w:rFonts w:hint="default" w:ascii="Times New Roman" w:hAnsi="Times New Roman" w:eastAsia="宋体" w:cs="Times New Roman"/>
                <w:sz w:val="20"/>
                <w:szCs w:val="20"/>
                <w:lang w:val="en-US" w:eastAsia="zh-CN"/>
              </w:rPr>
              <w:t>-linked CCRI pathway. The gene-environment equivalence assumption is reasonable, as genetically driven protein changes mirror the neurodevelopmental perturbations seen with environmental/pathological protein alterations. All causal interpretations are conditional on valid IV assumptions, with experimental validation still required.</w:t>
            </w:r>
          </w:p>
        </w:tc>
      </w:tr>
      <w:tr w14:paraId="66201BB5">
        <w:tblPrEx>
          <w:tblCellMar>
            <w:top w:w="0" w:type="dxa"/>
            <w:left w:w="108" w:type="dxa"/>
            <w:bottom w:w="0" w:type="dxa"/>
            <w:right w:w="108" w:type="dxa"/>
          </w:tblCellMar>
        </w:tblPrEx>
        <w:tc>
          <w:tcPr>
            <w:tcW w:w="616" w:type="dxa"/>
          </w:tcPr>
          <w:p w14:paraId="3A49DA3E">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b/>
                <w:bCs/>
                <w:sz w:val="20"/>
                <w:szCs w:val="20"/>
                <w:lang w:val="en-GB" w:eastAsia="en-US"/>
              </w:rPr>
            </w:pPr>
          </w:p>
        </w:tc>
        <w:tc>
          <w:tcPr>
            <w:tcW w:w="1822" w:type="dxa"/>
          </w:tcPr>
          <w:p w14:paraId="3E4661C1">
            <w:pPr>
              <w:keepNext w:val="0"/>
              <w:keepLines w:val="0"/>
              <w:widowControl/>
              <w:suppressLineNumbers w:val="0"/>
              <w:spacing w:before="96" w:beforeLines="40" w:beforeAutospacing="0" w:after="96" w:afterLines="40" w:afterAutospacing="0" w:line="24" w:lineRule="atLeast"/>
              <w:ind w:left="0" w:right="0"/>
              <w:jc w:val="right"/>
              <w:rPr>
                <w:rFonts w:hint="default" w:ascii="Times New Roman" w:hAnsi="Times New Roman" w:eastAsia="Cambria" w:cs="Times New Roman"/>
                <w:sz w:val="20"/>
                <w:szCs w:val="20"/>
                <w:lang w:val="en-GB" w:eastAsia="en-US"/>
              </w:rPr>
            </w:pPr>
            <w:r>
              <w:rPr>
                <w:rFonts w:hint="default" w:ascii="Times New Roman" w:hAnsi="Times New Roman" w:eastAsia="Cambria" w:cs="Times New Roman"/>
                <w:sz w:val="20"/>
                <w:szCs w:val="20"/>
                <w:lang w:val="en-GB" w:eastAsia="en-US"/>
              </w:rPr>
              <w:t>c)</w:t>
            </w:r>
          </w:p>
        </w:tc>
        <w:tc>
          <w:tcPr>
            <w:tcW w:w="7014" w:type="dxa"/>
          </w:tcPr>
          <w:p w14:paraId="2D20EBCD">
            <w:pPr>
              <w:keepNext w:val="0"/>
              <w:keepLines w:val="0"/>
              <w:widowControl/>
              <w:suppressLineNumbers w:val="0"/>
              <w:tabs>
                <w:tab w:val="left" w:pos="1350"/>
              </w:tabs>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 xml:space="preserve">Clinical relevance: Discuss whether the results have clinical or public policy relevance, and </w:t>
            </w:r>
            <w:r>
              <w:rPr>
                <w:rFonts w:hint="default" w:ascii="Times New Roman" w:hAnsi="Times New Roman" w:eastAsia="Times New Roman" w:cs="Times New Roman"/>
                <w:color w:val="000000"/>
                <w:sz w:val="20"/>
                <w:szCs w:val="20"/>
                <w:lang w:eastAsia="en-GB"/>
              </w:rPr>
              <w:t>to what extent they inform effect sizes of possible interventions</w:t>
            </w:r>
          </w:p>
        </w:tc>
        <w:tc>
          <w:tcPr>
            <w:tcW w:w="720" w:type="dxa"/>
          </w:tcPr>
          <w:p w14:paraId="6302E446">
            <w:pPr>
              <w:keepNext w:val="0"/>
              <w:keepLines w:val="0"/>
              <w:widowControl/>
              <w:suppressLineNumbers w:val="0"/>
              <w:tabs>
                <w:tab w:val="left" w:pos="1350"/>
              </w:tabs>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p>
        </w:tc>
        <w:tc>
          <w:tcPr>
            <w:tcW w:w="4318" w:type="dxa"/>
          </w:tcPr>
          <w:p w14:paraId="00FC323E">
            <w:pPr>
              <w:keepNext w:val="0"/>
              <w:keepLines w:val="0"/>
              <w:widowControl/>
              <w:suppressLineNumbers w:val="0"/>
              <w:tabs>
                <w:tab w:val="left" w:pos="1350"/>
              </w:tabs>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xml:space="preserve">The identified genes are potential novel biomarkers for early prenatal detection of </w:t>
            </w:r>
            <w:r>
              <w:rPr>
                <w:rFonts w:hint="default" w:ascii="Times New Roman" w:hAnsi="Times New Roman" w:eastAsia="等线" w:cs="Times New Roman"/>
                <w:kern w:val="2"/>
                <w:sz w:val="20"/>
                <w:szCs w:val="20"/>
                <w:lang w:val="en-US" w:eastAsia="zh-CN" w:bidi="ar"/>
              </w:rPr>
              <w:t>spina bifida</w:t>
            </w:r>
            <w:r>
              <w:rPr>
                <w:rFonts w:hint="default" w:ascii="Times New Roman" w:hAnsi="Times New Roman" w:eastAsia="Times New Roman" w:cs="Times New Roman"/>
                <w:sz w:val="20"/>
                <w:szCs w:val="20"/>
                <w:lang w:val="en-GB" w:eastAsia="en-GB"/>
              </w:rPr>
              <w:t xml:space="preserve">, and tamibarotene is a promising therapeutic candidate for </w:t>
            </w:r>
            <w:r>
              <w:rPr>
                <w:rFonts w:hint="default" w:ascii="Times New Roman" w:hAnsi="Times New Roman" w:eastAsia="等线" w:cs="Times New Roman"/>
                <w:kern w:val="2"/>
                <w:sz w:val="20"/>
                <w:szCs w:val="20"/>
                <w:lang w:val="en-US" w:eastAsia="zh-CN" w:bidi="ar"/>
              </w:rPr>
              <w:t>spina bifida</w:t>
            </w:r>
            <w:r>
              <w:rPr>
                <w:rFonts w:hint="default" w:ascii="Times New Roman" w:hAnsi="Times New Roman" w:eastAsia="Times New Roman" w:cs="Times New Roman"/>
                <w:sz w:val="20"/>
                <w:szCs w:val="20"/>
                <w:lang w:val="en-GB" w:eastAsia="en-GB"/>
              </w:rPr>
              <w:t xml:space="preserve"> intervention, providing a foundation for future drug development and clinical translation</w:t>
            </w:r>
            <w:r>
              <w:rPr>
                <w:rFonts w:hint="default" w:ascii="Times New Roman" w:hAnsi="Times New Roman" w:eastAsia="宋体" w:cs="Times New Roman"/>
                <w:sz w:val="20"/>
                <w:szCs w:val="20"/>
                <w:lang w:val="en-US" w:eastAsia="zh-CN"/>
              </w:rPr>
              <w:t>.</w:t>
            </w:r>
            <w:r>
              <w:rPr>
                <w:rFonts w:hint="default" w:ascii="Times New Roman" w:hAnsi="Times New Roman" w:eastAsia="Times New Roman" w:cs="Times New Roman"/>
                <w:sz w:val="20"/>
                <w:szCs w:val="20"/>
                <w:lang w:val="en-GB" w:eastAsia="en-GB"/>
              </w:rPr>
              <w:t xml:space="preserve"> </w:t>
            </w:r>
          </w:p>
        </w:tc>
      </w:tr>
      <w:tr w14:paraId="1F2B98AB">
        <w:tblPrEx>
          <w:tblCellMar>
            <w:top w:w="0" w:type="dxa"/>
            <w:left w:w="108" w:type="dxa"/>
            <w:bottom w:w="0" w:type="dxa"/>
            <w:right w:w="108" w:type="dxa"/>
          </w:tblCellMar>
        </w:tblPrEx>
        <w:tc>
          <w:tcPr>
            <w:tcW w:w="616" w:type="dxa"/>
            <w:tcBorders>
              <w:bottom w:val="single" w:color="7F7F7F" w:sz="6" w:space="0"/>
            </w:tcBorders>
            <w:shd w:val="clear" w:color="auto" w:fill="EEEEEE"/>
          </w:tcPr>
          <w:p w14:paraId="78D3EEE1">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17</w:t>
            </w:r>
          </w:p>
        </w:tc>
        <w:tc>
          <w:tcPr>
            <w:tcW w:w="1822" w:type="dxa"/>
            <w:tcBorders>
              <w:bottom w:val="single" w:color="7F7F7F" w:sz="6" w:space="0"/>
            </w:tcBorders>
            <w:shd w:val="clear" w:color="auto" w:fill="EEEEEE"/>
          </w:tcPr>
          <w:p w14:paraId="75802A44">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b/>
                <w:bCs/>
                <w:sz w:val="20"/>
                <w:szCs w:val="20"/>
                <w:lang w:val="en-GB" w:eastAsia="en-GB"/>
              </w:rPr>
              <w:t xml:space="preserve">Generalizability  </w:t>
            </w:r>
            <w:r>
              <w:rPr>
                <w:rFonts w:hint="default" w:ascii="Times New Roman" w:hAnsi="Times New Roman" w:eastAsia="Times New Roman" w:cs="Times New Roman"/>
                <w:sz w:val="20"/>
                <w:szCs w:val="20"/>
                <w:lang w:val="en-GB" w:eastAsia="en-GB"/>
              </w:rPr>
              <w:t> </w:t>
            </w:r>
          </w:p>
        </w:tc>
        <w:tc>
          <w:tcPr>
            <w:tcW w:w="7014" w:type="dxa"/>
            <w:tcBorders>
              <w:bottom w:val="single" w:color="7F7F7F" w:sz="6" w:space="0"/>
            </w:tcBorders>
            <w:shd w:val="clear" w:color="auto" w:fill="EEEEEE"/>
          </w:tcPr>
          <w:p w14:paraId="50E26EB5">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sz w:val="20"/>
                <w:szCs w:val="20"/>
                <w:lang w:val="en-GB" w:eastAsia="en-GB"/>
              </w:rPr>
              <w:t>Discuss the generalizability of the study results (a) to other populations, (b) across other exposure periods/timings, and (c) across other levels of exposure</w:t>
            </w:r>
          </w:p>
        </w:tc>
        <w:tc>
          <w:tcPr>
            <w:tcW w:w="720" w:type="dxa"/>
            <w:tcBorders>
              <w:bottom w:val="single" w:color="7F7F7F" w:sz="6" w:space="0"/>
            </w:tcBorders>
            <w:shd w:val="clear" w:color="auto" w:fill="EEEEEE"/>
          </w:tcPr>
          <w:p w14:paraId="19BE0746">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p>
        </w:tc>
        <w:tc>
          <w:tcPr>
            <w:tcW w:w="4318" w:type="dxa"/>
            <w:tcBorders>
              <w:bottom w:val="single" w:color="7F7F7F" w:sz="6" w:space="0"/>
            </w:tcBorders>
            <w:shd w:val="clear" w:color="auto" w:fill="EEEEEE"/>
          </w:tcPr>
          <w:p w14:paraId="2A29C306">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eastAsia="Times New Roman" w:cs="Times New Roman"/>
                <w:sz w:val="20"/>
                <w:szCs w:val="20"/>
                <w:lang w:val="en-GB" w:eastAsia="en-GB"/>
              </w:rPr>
              <w:t>The data used in this study were primarily derived from European ancestry cohorts</w:t>
            </w:r>
            <w:r>
              <w:rPr>
                <w:rFonts w:hint="default" w:ascii="Times New Roman" w:hAnsi="Times New Roman" w:eastAsia="宋体" w:cs="Times New Roman"/>
                <w:sz w:val="20"/>
                <w:szCs w:val="20"/>
                <w:lang w:val="en-US" w:eastAsia="zh-CN"/>
              </w:rPr>
              <w:t>.</w:t>
            </w:r>
          </w:p>
        </w:tc>
      </w:tr>
      <w:tr w14:paraId="272D3B01">
        <w:tblPrEx>
          <w:tblCellMar>
            <w:top w:w="0" w:type="dxa"/>
            <w:left w:w="108" w:type="dxa"/>
            <w:bottom w:w="0" w:type="dxa"/>
            <w:right w:w="108" w:type="dxa"/>
          </w:tblCellMar>
        </w:tblPrEx>
        <w:tc>
          <w:tcPr>
            <w:tcW w:w="616" w:type="dxa"/>
            <w:tcBorders>
              <w:top w:val="single" w:color="7F7F7F" w:sz="6" w:space="0"/>
            </w:tcBorders>
          </w:tcPr>
          <w:p w14:paraId="668CA9A4">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p>
        </w:tc>
        <w:tc>
          <w:tcPr>
            <w:tcW w:w="1822" w:type="dxa"/>
            <w:tcBorders>
              <w:top w:val="single" w:color="7F7F7F" w:sz="6" w:space="0"/>
            </w:tcBorders>
          </w:tcPr>
          <w:p w14:paraId="3D54EA65">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b/>
                <w:bCs/>
                <w:sz w:val="20"/>
                <w:szCs w:val="20"/>
                <w:lang w:val="en-GB" w:eastAsia="en-GB"/>
              </w:rPr>
              <w:t>OTHER INFORMATION</w:t>
            </w:r>
          </w:p>
        </w:tc>
        <w:tc>
          <w:tcPr>
            <w:tcW w:w="7014" w:type="dxa"/>
            <w:tcBorders>
              <w:top w:val="single" w:color="7F7F7F" w:sz="6" w:space="0"/>
            </w:tcBorders>
          </w:tcPr>
          <w:p w14:paraId="7DB0FB28">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720" w:type="dxa"/>
            <w:tcBorders>
              <w:top w:val="single" w:color="7F7F7F" w:sz="6" w:space="0"/>
            </w:tcBorders>
          </w:tcPr>
          <w:p w14:paraId="09A01EE7">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c>
          <w:tcPr>
            <w:tcW w:w="4318" w:type="dxa"/>
            <w:tcBorders>
              <w:top w:val="single" w:color="7F7F7F" w:sz="6" w:space="0"/>
            </w:tcBorders>
          </w:tcPr>
          <w:p w14:paraId="5ECE30A6">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p>
        </w:tc>
      </w:tr>
      <w:tr w14:paraId="3FF0189D">
        <w:tblPrEx>
          <w:tblCellMar>
            <w:top w:w="0" w:type="dxa"/>
            <w:left w:w="108" w:type="dxa"/>
            <w:bottom w:w="0" w:type="dxa"/>
            <w:right w:w="108" w:type="dxa"/>
          </w:tblCellMar>
        </w:tblPrEx>
        <w:tc>
          <w:tcPr>
            <w:tcW w:w="616" w:type="dxa"/>
            <w:shd w:val="clear" w:color="auto" w:fill="EEEEEE"/>
          </w:tcPr>
          <w:p w14:paraId="0D3D6205">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18</w:t>
            </w:r>
          </w:p>
        </w:tc>
        <w:tc>
          <w:tcPr>
            <w:tcW w:w="1822" w:type="dxa"/>
            <w:shd w:val="clear" w:color="auto" w:fill="EEEEEE"/>
          </w:tcPr>
          <w:p w14:paraId="06E60654">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Cambria" w:cs="Times New Roman"/>
                <w:sz w:val="20"/>
                <w:szCs w:val="20"/>
                <w:lang w:val="en-GB" w:eastAsia="en-US"/>
              </w:rPr>
            </w:pPr>
            <w:r>
              <w:rPr>
                <w:rFonts w:hint="default" w:ascii="Times New Roman" w:hAnsi="Times New Roman" w:eastAsia="Times New Roman" w:cs="Times New Roman"/>
                <w:b/>
                <w:bCs/>
                <w:sz w:val="20"/>
                <w:szCs w:val="20"/>
                <w:lang w:val="en-GB" w:eastAsia="en-GB"/>
              </w:rPr>
              <w:t>Funding</w:t>
            </w:r>
          </w:p>
        </w:tc>
        <w:tc>
          <w:tcPr>
            <w:tcW w:w="7014" w:type="dxa"/>
            <w:shd w:val="clear" w:color="auto" w:fill="EEEEEE"/>
          </w:tcPr>
          <w:p w14:paraId="418D73F2">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6AA5E3ED">
            <w:pPr>
              <w:keepNext w:val="0"/>
              <w:keepLines w:val="0"/>
              <w:widowControl/>
              <w:suppressLineNumbers w:val="0"/>
              <w:spacing w:before="96" w:beforeLines="40" w:beforeAutospacing="0" w:after="96" w:afterLines="40" w:afterAutospacing="0" w:line="480" w:lineRule="auto"/>
              <w:ind w:left="0" w:right="0"/>
              <w:jc w:val="left"/>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11</w:t>
            </w:r>
          </w:p>
        </w:tc>
        <w:tc>
          <w:tcPr>
            <w:tcW w:w="4318" w:type="dxa"/>
            <w:shd w:val="clear" w:color="auto" w:fill="EEEEEE"/>
          </w:tcPr>
          <w:p w14:paraId="7925F334">
            <w:pPr>
              <w:keepNext w:val="0"/>
              <w:keepLines w:val="0"/>
              <w:widowControl/>
              <w:suppressLineNumbers w:val="0"/>
              <w:spacing w:before="96" w:beforeLines="40" w:beforeAutospacing="0" w:after="96" w:afterLines="40" w:afterAutospacing="0" w:line="480" w:lineRule="auto"/>
              <w:ind w:left="0" w:right="0"/>
              <w:jc w:val="left"/>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This work was supported by the National Natural Science Foundation of China (No. 82160592).</w:t>
            </w:r>
          </w:p>
        </w:tc>
      </w:tr>
      <w:tr w14:paraId="78B61387">
        <w:tblPrEx>
          <w:tblCellMar>
            <w:top w:w="0" w:type="dxa"/>
            <w:left w:w="108" w:type="dxa"/>
            <w:bottom w:w="0" w:type="dxa"/>
            <w:right w:w="108" w:type="dxa"/>
          </w:tblCellMar>
        </w:tblPrEx>
        <w:tc>
          <w:tcPr>
            <w:tcW w:w="616" w:type="dxa"/>
          </w:tcPr>
          <w:p w14:paraId="78ED0949">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19</w:t>
            </w:r>
          </w:p>
        </w:tc>
        <w:tc>
          <w:tcPr>
            <w:tcW w:w="1822" w:type="dxa"/>
          </w:tcPr>
          <w:p w14:paraId="388A35F3">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b/>
                <w:bCs/>
                <w:sz w:val="20"/>
                <w:szCs w:val="20"/>
                <w:lang w:val="en-GB" w:eastAsia="en-GB"/>
              </w:rPr>
              <w:t>Data and data sharing </w:t>
            </w:r>
          </w:p>
        </w:tc>
        <w:tc>
          <w:tcPr>
            <w:tcW w:w="7014" w:type="dxa"/>
          </w:tcPr>
          <w:p w14:paraId="29446BA4">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720" w:type="dxa"/>
          </w:tcPr>
          <w:p w14:paraId="40E24D8B">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eastAsia" w:ascii="Times New Roman" w:hAnsi="Times New Roman" w:eastAsia="宋体" w:cs="Times New Roman"/>
                <w:sz w:val="20"/>
                <w:szCs w:val="20"/>
                <w:lang w:val="en-US" w:eastAsia="zh-CN"/>
              </w:rPr>
              <w:t>12</w:t>
            </w:r>
          </w:p>
        </w:tc>
        <w:tc>
          <w:tcPr>
            <w:tcW w:w="4318" w:type="dxa"/>
          </w:tcPr>
          <w:p w14:paraId="3B593595">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eastAsia="Times New Roman" w:cs="Times New Roman"/>
                <w:sz w:val="20"/>
                <w:szCs w:val="20"/>
                <w:lang w:val="en-GB" w:eastAsia="en-GB"/>
              </w:rPr>
              <w:t xml:space="preserve">Summary statistics for </w:t>
            </w:r>
            <w:r>
              <w:rPr>
                <w:rFonts w:hint="default" w:ascii="Times New Roman" w:hAnsi="Times New Roman" w:eastAsia="等线" w:cs="Times New Roman"/>
                <w:kern w:val="2"/>
                <w:sz w:val="20"/>
                <w:szCs w:val="20"/>
                <w:lang w:val="en-US" w:eastAsia="zh-CN" w:bidi="ar"/>
              </w:rPr>
              <w:t>spina bifida</w:t>
            </w:r>
            <w:r>
              <w:rPr>
                <w:rFonts w:hint="default" w:ascii="Times New Roman" w:hAnsi="Times New Roman" w:eastAsia="Times New Roman" w:cs="Times New Roman"/>
                <w:sz w:val="20"/>
                <w:szCs w:val="20"/>
                <w:lang w:val="en-GB" w:eastAsia="en-GB"/>
              </w:rPr>
              <w:t xml:space="preserve"> are available on </w:t>
            </w:r>
            <w:r>
              <w:rPr>
                <w:rFonts w:hint="default" w:ascii="Times New Roman" w:hAnsi="Times New Roman" w:eastAsia="Arial" w:cs="Times New Roman"/>
                <w:sz w:val="20"/>
                <w:szCs w:val="20"/>
                <w:lang w:val="en-US" w:eastAsia="de-CH" w:bidi="ar"/>
              </w:rPr>
              <w:t>(</w:t>
            </w:r>
            <w:r>
              <w:rPr>
                <w:rFonts w:hint="default" w:ascii="Times New Roman" w:hAnsi="Times New Roman" w:eastAsia="Arial" w:cs="Times New Roman"/>
                <w:sz w:val="20"/>
                <w:szCs w:val="20"/>
                <w:lang w:val="en-US" w:eastAsia="de-CH" w:bidi="ar"/>
              </w:rPr>
              <w:fldChar w:fldCharType="begin"/>
            </w:r>
            <w:r>
              <w:rPr>
                <w:rFonts w:hint="default" w:ascii="Times New Roman" w:hAnsi="Times New Roman" w:eastAsia="Arial" w:cs="Times New Roman"/>
                <w:sz w:val="20"/>
                <w:szCs w:val="20"/>
                <w:lang w:val="en-US" w:eastAsia="de-CH" w:bidi="ar"/>
              </w:rPr>
              <w:instrText xml:space="preserve"> HYPERLINK "https://pan.ukbb.broadinstitute.org/downloads" </w:instrText>
            </w:r>
            <w:r>
              <w:rPr>
                <w:rFonts w:hint="default" w:ascii="Times New Roman" w:hAnsi="Times New Roman" w:eastAsia="Arial" w:cs="Times New Roman"/>
                <w:sz w:val="20"/>
                <w:szCs w:val="20"/>
                <w:lang w:val="en-US" w:eastAsia="de-CH" w:bidi="ar"/>
              </w:rPr>
              <w:fldChar w:fldCharType="separate"/>
            </w:r>
            <w:r>
              <w:rPr>
                <w:rStyle w:val="10"/>
                <w:rFonts w:hint="default" w:ascii="Times New Roman" w:hAnsi="Times New Roman" w:eastAsia="Arial" w:cs="Times New Roman"/>
                <w:sz w:val="20"/>
                <w:szCs w:val="20"/>
                <w:u w:val="single"/>
                <w:lang w:val="en-US" w:eastAsia="de-CH" w:bidi="ar"/>
              </w:rPr>
              <w:t>https://pan.ukbb.broadinstitute.org/downloads</w:t>
            </w:r>
            <w:r>
              <w:rPr>
                <w:rFonts w:hint="default" w:ascii="Times New Roman" w:hAnsi="Times New Roman" w:eastAsia="Arial" w:cs="Times New Roman"/>
                <w:sz w:val="20"/>
                <w:szCs w:val="20"/>
                <w:lang w:val="en-US" w:eastAsia="de-CH" w:bidi="ar"/>
              </w:rPr>
              <w:fldChar w:fldCharType="end"/>
            </w:r>
            <w:r>
              <w:rPr>
                <w:rFonts w:hint="default" w:ascii="Times New Roman" w:hAnsi="Times New Roman" w:eastAsia="Arial" w:cs="Times New Roman"/>
                <w:sz w:val="20"/>
                <w:szCs w:val="20"/>
                <w:lang w:val="en-US" w:eastAsia="de-CH" w:bidi="ar"/>
              </w:rPr>
              <w:t>),</w:t>
            </w:r>
            <w:r>
              <w:rPr>
                <w:rFonts w:hint="default" w:ascii="Times New Roman" w:hAnsi="Times New Roman" w:eastAsia="Times New Roman" w:cs="Times New Roman"/>
                <w:sz w:val="20"/>
                <w:szCs w:val="20"/>
                <w:lang w:val="en-GB" w:eastAsia="en-GB"/>
              </w:rPr>
              <w:t xml:space="preserve"> </w:t>
            </w:r>
          </w:p>
          <w:p w14:paraId="54205DAA">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cs="Times New Roman"/>
                <w:sz w:val="20"/>
                <w:szCs w:val="20"/>
              </w:rPr>
              <w:t>SUN_BB</w:t>
            </w:r>
            <w:r>
              <w:rPr>
                <w:rFonts w:hint="default" w:ascii="Times New Roman" w:hAnsi="Times New Roman" w:eastAsia="宋体" w:cs="Times New Roman"/>
                <w:sz w:val="20"/>
                <w:szCs w:val="20"/>
                <w:lang w:val="en-US" w:eastAsia="zh-CN"/>
              </w:rPr>
              <w:t xml:space="preserve"> proteins, </w:t>
            </w:r>
            <w:r>
              <w:rPr>
                <w:rFonts w:hint="default" w:ascii="Times New Roman" w:hAnsi="Times New Roman" w:cs="Times New Roman"/>
                <w:sz w:val="20"/>
                <w:szCs w:val="20"/>
              </w:rPr>
              <w:t>Decode study</w:t>
            </w:r>
            <w:r>
              <w:rPr>
                <w:rFonts w:hint="default" w:ascii="Times New Roman" w:hAnsi="Times New Roman" w:eastAsia="宋体" w:cs="Times New Roman"/>
                <w:sz w:val="20"/>
                <w:szCs w:val="20"/>
                <w:lang w:val="en-US" w:eastAsia="zh-CN"/>
              </w:rPr>
              <w:t xml:space="preserve">, </w:t>
            </w:r>
            <w:r>
              <w:rPr>
                <w:rFonts w:hint="default" w:ascii="Times New Roman" w:hAnsi="Times New Roman" w:cs="Times New Roman"/>
                <w:sz w:val="20"/>
                <w:szCs w:val="20"/>
              </w:rPr>
              <w:t>UKB_PPP</w:t>
            </w:r>
            <w:r>
              <w:rPr>
                <w:rFonts w:hint="default" w:ascii="Times New Roman" w:hAnsi="Times New Roman" w:eastAsia="宋体" w:cs="Times New Roman"/>
                <w:sz w:val="20"/>
                <w:szCs w:val="20"/>
                <w:lang w:val="en-US" w:eastAsia="zh-CN"/>
              </w:rPr>
              <w:t xml:space="preserve"> </w:t>
            </w:r>
            <w:r>
              <w:rPr>
                <w:rFonts w:hint="default" w:ascii="Times New Roman" w:hAnsi="Times New Roman" w:cs="Times New Roman"/>
                <w:sz w:val="20"/>
                <w:szCs w:val="20"/>
              </w:rPr>
              <w:t>proteins</w:t>
            </w:r>
            <w:r>
              <w:rPr>
                <w:rFonts w:hint="default" w:ascii="Times New Roman" w:hAnsi="Times New Roman" w:eastAsia="宋体" w:cs="Times New Roman"/>
                <w:sz w:val="20"/>
                <w:szCs w:val="20"/>
                <w:lang w:val="en-US" w:eastAsia="zh-CN"/>
              </w:rPr>
              <w:t xml:space="preserve"> </w:t>
            </w:r>
            <w:r>
              <w:rPr>
                <w:rFonts w:hint="default" w:ascii="Times New Roman" w:hAnsi="Times New Roman" w:eastAsia="Times New Roman" w:cs="Times New Roman"/>
                <w:sz w:val="20"/>
                <w:szCs w:val="20"/>
                <w:lang w:val="en-GB" w:eastAsia="en-GB"/>
              </w:rPr>
              <w:t>are available on</w:t>
            </w:r>
            <w:r>
              <w:rPr>
                <w:rFonts w:hint="default" w:ascii="Times New Roman" w:hAnsi="Times New Roman" w:eastAsia="宋体" w:cs="Times New Roman"/>
                <w:sz w:val="20"/>
                <w:szCs w:val="20"/>
                <w:lang w:val="en-US" w:eastAsia="zh-CN" w:bidi="ar"/>
              </w:rPr>
              <w:t xml:space="preserve"> (</w:t>
            </w:r>
            <w:r>
              <w:rPr>
                <w:rFonts w:hint="default" w:ascii="Times New Roman" w:hAnsi="Times New Roman" w:eastAsia="Arial" w:cs="Times New Roman"/>
                <w:sz w:val="20"/>
                <w:szCs w:val="20"/>
                <w:lang w:val="en-US" w:eastAsia="de-CH" w:bidi="ar"/>
              </w:rPr>
              <w:fldChar w:fldCharType="begin"/>
            </w:r>
            <w:r>
              <w:rPr>
                <w:rFonts w:hint="default" w:ascii="Times New Roman" w:hAnsi="Times New Roman" w:eastAsia="Arial" w:cs="Times New Roman"/>
                <w:sz w:val="20"/>
                <w:szCs w:val="20"/>
                <w:lang w:val="en-US" w:eastAsia="de-CH" w:bidi="ar"/>
              </w:rPr>
              <w:instrText xml:space="preserve"> HYPERLINK "https://gwas.mrcieu.ac.uk/" </w:instrText>
            </w:r>
            <w:r>
              <w:rPr>
                <w:rFonts w:hint="default" w:ascii="Times New Roman" w:hAnsi="Times New Roman" w:eastAsia="Arial" w:cs="Times New Roman"/>
                <w:sz w:val="20"/>
                <w:szCs w:val="20"/>
                <w:lang w:val="en-US" w:eastAsia="de-CH" w:bidi="ar"/>
              </w:rPr>
              <w:fldChar w:fldCharType="separate"/>
            </w:r>
            <w:r>
              <w:rPr>
                <w:rStyle w:val="10"/>
                <w:rFonts w:hint="default" w:ascii="Times New Roman" w:hAnsi="Times New Roman" w:eastAsia="宋体" w:cs="Times New Roman"/>
                <w:sz w:val="20"/>
                <w:szCs w:val="20"/>
                <w:u w:val="single"/>
                <w:lang w:val="en-US" w:eastAsia="zh-CN" w:bidi="ar"/>
              </w:rPr>
              <w:t>https://gwas.mrcieu.ac.uk/</w:t>
            </w:r>
            <w:r>
              <w:rPr>
                <w:rFonts w:hint="default" w:ascii="Times New Roman" w:hAnsi="Times New Roman" w:eastAsia="Arial" w:cs="Times New Roman"/>
                <w:sz w:val="20"/>
                <w:szCs w:val="20"/>
                <w:lang w:val="en-US" w:eastAsia="de-CH" w:bidi="ar"/>
              </w:rPr>
              <w:fldChar w:fldCharType="end"/>
            </w:r>
            <w:r>
              <w:rPr>
                <w:rFonts w:hint="default" w:ascii="Times New Roman" w:hAnsi="Times New Roman" w:eastAsia="宋体" w:cs="Times New Roman"/>
                <w:sz w:val="20"/>
                <w:szCs w:val="20"/>
                <w:lang w:val="en-US" w:eastAsia="zh-CN" w:bidi="ar"/>
              </w:rPr>
              <w:t>), (</w:t>
            </w:r>
            <w:r>
              <w:rPr>
                <w:rFonts w:hint="default" w:ascii="Times New Roman" w:hAnsi="Times New Roman" w:eastAsia="Arial" w:cs="Times New Roman"/>
                <w:sz w:val="20"/>
                <w:szCs w:val="20"/>
                <w:lang w:val="en-US" w:eastAsia="de-CH" w:bidi="ar"/>
              </w:rPr>
              <w:fldChar w:fldCharType="begin"/>
            </w:r>
            <w:r>
              <w:rPr>
                <w:rFonts w:hint="default" w:ascii="Times New Roman" w:hAnsi="Times New Roman" w:eastAsia="Arial" w:cs="Times New Roman"/>
                <w:sz w:val="20"/>
                <w:szCs w:val="20"/>
                <w:lang w:val="en-US" w:eastAsia="de-CH" w:bidi="ar"/>
              </w:rPr>
              <w:instrText xml:space="preserve"> HYPERLINK "https://www.decode.com/summarydata/" </w:instrText>
            </w:r>
            <w:r>
              <w:rPr>
                <w:rFonts w:hint="default" w:ascii="Times New Roman" w:hAnsi="Times New Roman" w:eastAsia="Arial" w:cs="Times New Roman"/>
                <w:sz w:val="20"/>
                <w:szCs w:val="20"/>
                <w:lang w:val="en-US" w:eastAsia="de-CH" w:bidi="ar"/>
              </w:rPr>
              <w:fldChar w:fldCharType="separate"/>
            </w:r>
            <w:r>
              <w:rPr>
                <w:rStyle w:val="10"/>
                <w:rFonts w:hint="default" w:ascii="Times New Roman" w:hAnsi="Times New Roman" w:eastAsia="Arial" w:cs="Times New Roman"/>
                <w:sz w:val="20"/>
                <w:szCs w:val="20"/>
                <w:u w:val="single"/>
                <w:lang w:val="en-US" w:eastAsia="de-CH" w:bidi="ar"/>
              </w:rPr>
              <w:t>https://www.decode.com/summarydata/</w:t>
            </w:r>
            <w:r>
              <w:rPr>
                <w:rFonts w:hint="default" w:ascii="Times New Roman" w:hAnsi="Times New Roman" w:eastAsia="Arial" w:cs="Times New Roman"/>
                <w:sz w:val="20"/>
                <w:szCs w:val="20"/>
                <w:lang w:val="en-US" w:eastAsia="de-CH" w:bidi="ar"/>
              </w:rPr>
              <w:fldChar w:fldCharType="end"/>
            </w:r>
            <w:r>
              <w:rPr>
                <w:rFonts w:hint="default" w:ascii="Times New Roman" w:hAnsi="Times New Roman" w:eastAsia="宋体" w:cs="Times New Roman"/>
                <w:sz w:val="20"/>
                <w:szCs w:val="20"/>
                <w:lang w:val="en-US" w:eastAsia="zh-CN" w:bidi="ar"/>
              </w:rPr>
              <w:t>) and (</w:t>
            </w:r>
            <w:r>
              <w:rPr>
                <w:rFonts w:hint="default" w:ascii="Times New Roman" w:hAnsi="Times New Roman" w:eastAsia="Arial" w:cs="Times New Roman"/>
                <w:sz w:val="20"/>
                <w:szCs w:val="20"/>
                <w:lang w:val="en-US" w:eastAsia="de-CH" w:bidi="ar"/>
              </w:rPr>
              <w:fldChar w:fldCharType="begin"/>
            </w:r>
            <w:r>
              <w:rPr>
                <w:rFonts w:hint="default" w:ascii="Times New Roman" w:hAnsi="Times New Roman" w:eastAsia="Arial" w:cs="Times New Roman"/>
                <w:sz w:val="20"/>
                <w:szCs w:val="20"/>
                <w:lang w:val="en-US" w:eastAsia="de-CH" w:bidi="ar"/>
              </w:rPr>
              <w:instrText xml:space="preserve"> HYPERLINK "https://registry.opendata.aws/ukbppp/" </w:instrText>
            </w:r>
            <w:r>
              <w:rPr>
                <w:rFonts w:hint="default" w:ascii="Times New Roman" w:hAnsi="Times New Roman" w:eastAsia="Arial" w:cs="Times New Roman"/>
                <w:sz w:val="20"/>
                <w:szCs w:val="20"/>
                <w:lang w:val="en-US" w:eastAsia="de-CH" w:bidi="ar"/>
              </w:rPr>
              <w:fldChar w:fldCharType="separate"/>
            </w:r>
            <w:r>
              <w:rPr>
                <w:rStyle w:val="10"/>
                <w:rFonts w:hint="default" w:ascii="Times New Roman" w:hAnsi="Times New Roman" w:eastAsia="宋体" w:cs="Times New Roman"/>
                <w:sz w:val="20"/>
                <w:szCs w:val="20"/>
                <w:u w:val="single"/>
                <w:lang w:val="en-US" w:eastAsia="zh-CN" w:bidi="ar"/>
              </w:rPr>
              <w:t>https://registry.opendata.aws/ukbppp/</w:t>
            </w:r>
            <w:r>
              <w:rPr>
                <w:rFonts w:hint="default" w:ascii="Times New Roman" w:hAnsi="Times New Roman" w:eastAsia="Arial" w:cs="Times New Roman"/>
                <w:sz w:val="20"/>
                <w:szCs w:val="20"/>
                <w:lang w:val="en-US" w:eastAsia="de-CH" w:bidi="ar"/>
              </w:rPr>
              <w:fldChar w:fldCharType="end"/>
            </w:r>
            <w:r>
              <w:rPr>
                <w:rFonts w:hint="default" w:ascii="Times New Roman" w:hAnsi="Times New Roman" w:eastAsia="宋体" w:cs="Times New Roman"/>
                <w:sz w:val="20"/>
                <w:szCs w:val="20"/>
                <w:lang w:val="en-US" w:eastAsia="zh-CN" w:bidi="ar"/>
              </w:rPr>
              <w:t xml:space="preserve">). </w:t>
            </w:r>
            <w:r>
              <w:rPr>
                <w:rFonts w:hint="default" w:ascii="Times New Roman" w:hAnsi="Times New Roman" w:eastAsia="Times New Roman" w:cs="Times New Roman"/>
                <w:sz w:val="20"/>
                <w:szCs w:val="20"/>
                <w:lang w:val="en-GB" w:eastAsia="en-GB"/>
              </w:rPr>
              <w:t>The raw data involved in the study is presented in the text; please contact the corresponding author if further information is needed.</w:t>
            </w:r>
          </w:p>
        </w:tc>
      </w:tr>
      <w:tr w14:paraId="11737826">
        <w:tblPrEx>
          <w:tblCellMar>
            <w:top w:w="0" w:type="dxa"/>
            <w:left w:w="108" w:type="dxa"/>
            <w:bottom w:w="0" w:type="dxa"/>
            <w:right w:w="108" w:type="dxa"/>
          </w:tblCellMar>
        </w:tblPrEx>
        <w:tc>
          <w:tcPr>
            <w:tcW w:w="616" w:type="dxa"/>
            <w:tcBorders>
              <w:bottom w:val="single" w:color="7F7F7F" w:sz="6" w:space="0"/>
            </w:tcBorders>
            <w:shd w:val="clear" w:color="auto" w:fill="EEEEEE"/>
          </w:tcPr>
          <w:p w14:paraId="7C181AE6">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20</w:t>
            </w:r>
          </w:p>
        </w:tc>
        <w:tc>
          <w:tcPr>
            <w:tcW w:w="1822" w:type="dxa"/>
            <w:tcBorders>
              <w:bottom w:val="single" w:color="7F7F7F" w:sz="6" w:space="0"/>
            </w:tcBorders>
            <w:shd w:val="clear" w:color="auto" w:fill="EEEEEE"/>
          </w:tcPr>
          <w:p w14:paraId="43CCE94F">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b/>
                <w:bCs/>
                <w:sz w:val="20"/>
                <w:szCs w:val="20"/>
                <w:lang w:val="en-GB" w:eastAsia="en-GB"/>
              </w:rPr>
              <w:t>Conflicts of Interest  </w:t>
            </w:r>
          </w:p>
        </w:tc>
        <w:tc>
          <w:tcPr>
            <w:tcW w:w="7014" w:type="dxa"/>
            <w:tcBorders>
              <w:bottom w:val="single" w:color="7F7F7F" w:sz="6" w:space="0"/>
            </w:tcBorders>
            <w:shd w:val="clear" w:color="auto" w:fill="EEEEEE"/>
          </w:tcPr>
          <w:p w14:paraId="271F4A00">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All authors should declare all potential conflicts of interest</w:t>
            </w:r>
          </w:p>
        </w:tc>
        <w:tc>
          <w:tcPr>
            <w:tcW w:w="720" w:type="dxa"/>
            <w:tcBorders>
              <w:bottom w:val="single" w:color="7F7F7F" w:sz="6" w:space="0"/>
            </w:tcBorders>
            <w:shd w:val="clear" w:color="auto" w:fill="EEEEEE"/>
          </w:tcPr>
          <w:p w14:paraId="7666B4B8">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11-12</w:t>
            </w:r>
          </w:p>
        </w:tc>
        <w:tc>
          <w:tcPr>
            <w:tcW w:w="4318" w:type="dxa"/>
            <w:tcBorders>
              <w:bottom w:val="single" w:color="7F7F7F" w:sz="6" w:space="0"/>
            </w:tcBorders>
            <w:shd w:val="clear" w:color="auto" w:fill="EEEEEE"/>
          </w:tcPr>
          <w:p w14:paraId="5D2FE510">
            <w:pPr>
              <w:keepNext w:val="0"/>
              <w:keepLines w:val="0"/>
              <w:widowControl/>
              <w:suppressLineNumbers w:val="0"/>
              <w:spacing w:before="96" w:beforeLines="40" w:beforeAutospacing="0" w:after="96" w:afterLines="40" w:afterAutospacing="0" w:line="24" w:lineRule="atLeast"/>
              <w:ind w:left="0" w:right="0"/>
              <w:rPr>
                <w:rFonts w:hint="default" w:ascii="Times New Roman" w:hAnsi="Times New Roman" w:eastAsia="宋体" w:cs="Times New Roman"/>
                <w:sz w:val="20"/>
                <w:szCs w:val="20"/>
                <w:lang w:val="en-US" w:eastAsia="zh-CN"/>
              </w:rPr>
            </w:pPr>
            <w:r>
              <w:rPr>
                <w:rFonts w:hint="default" w:ascii="Times New Roman" w:hAnsi="Times New Roman" w:eastAsia="Times New Roman" w:cs="Times New Roman"/>
                <w:sz w:val="20"/>
                <w:szCs w:val="20"/>
                <w:lang w:val="en-GB" w:eastAsia="en-GB"/>
              </w:rPr>
              <w:t>The authors declare no competing interests</w:t>
            </w:r>
            <w:r>
              <w:rPr>
                <w:rFonts w:hint="default" w:ascii="Times New Roman" w:hAnsi="Times New Roman" w:eastAsia="宋体" w:cs="Times New Roman"/>
                <w:sz w:val="20"/>
                <w:szCs w:val="20"/>
                <w:lang w:val="en-US" w:eastAsia="zh-CN"/>
              </w:rPr>
              <w:t>.</w:t>
            </w:r>
          </w:p>
        </w:tc>
      </w:tr>
    </w:tbl>
    <w:p w14:paraId="15D4FB69">
      <w:pPr>
        <w:spacing w:before="240" w:after="240"/>
        <w:rPr>
          <w:rFonts w:hint="default" w:ascii="Times New Roman" w:hAnsi="Times New Roman" w:cs="Times New Roman"/>
          <w:sz w:val="20"/>
          <w:szCs w:val="20"/>
        </w:rPr>
      </w:pPr>
      <w:r>
        <w:rPr>
          <w:rFonts w:hint="default" w:ascii="Times New Roman" w:hAnsi="Times New Roman" w:cs="Times New Roman"/>
          <w:sz w:val="20"/>
          <w:szCs w:val="20"/>
        </w:rPr>
        <w:t>This checklist is copyrighted by the Equator Network under the Creative Commons Attribution 3.0 Unported (CC BY 3.0) license.</w:t>
      </w:r>
    </w:p>
    <w:p w14:paraId="26BDA810">
      <w:pPr>
        <w:widowControl w:val="0"/>
        <w:autoSpaceDE w:val="0"/>
        <w:autoSpaceDN w:val="0"/>
        <w:adjustRightInd w:val="0"/>
        <w:spacing w:before="240" w:after="240" w:line="240" w:lineRule="auto"/>
        <w:ind w:left="640" w:hanging="640"/>
        <w:rPr>
          <w:rFonts w:hint="default" w:ascii="Times New Roman" w:hAnsi="Times New Roman" w:cs="Times New Roman"/>
          <w:sz w:val="20"/>
          <w:szCs w:val="20"/>
        </w:rPr>
      </w:pPr>
      <w:r>
        <w:rPr>
          <w:rFonts w:hint="default" w:ascii="Times New Roman" w:hAnsi="Times New Roman" w:cs="Times New Roman"/>
          <w:sz w:val="20"/>
          <w:szCs w:val="20"/>
        </w:rPr>
        <w:fldChar w:fldCharType="begin" w:fldLock="1"/>
      </w:r>
      <w:r>
        <w:rPr>
          <w:rFonts w:hint="default" w:ascii="Times New Roman" w:hAnsi="Times New Roman" w:cs="Times New Roman"/>
          <w:sz w:val="20"/>
          <w:szCs w:val="20"/>
        </w:rPr>
        <w:instrText xml:space="preserve">ADDIN Mendeley Bibliography CSL_BIBLIOGRAPHY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 xml:space="preserve">1. </w:t>
      </w:r>
      <w:r>
        <w:rPr>
          <w:rFonts w:hint="default" w:ascii="Times New Roman" w:hAnsi="Times New Roman" w:cs="Times New Roman"/>
          <w:sz w:val="20"/>
          <w:szCs w:val="20"/>
        </w:rPr>
        <w:tab/>
      </w:r>
      <w:r>
        <w:rPr>
          <w:rFonts w:hint="default" w:ascii="Times New Roman" w:hAnsi="Times New Roman" w:cs="Times New Roman"/>
          <w:sz w:val="20"/>
          <w:szCs w:val="20"/>
        </w:rPr>
        <w:t xml:space="preserve">Skrivankova VW, Richmond RC, Woolf BAR, Yarmolinsky J, Davies NM, Swanson SA, et al. Strengthening the Reporting of Observational Studies in Epidemiology using Mendelian Randomization (STROBE-MR) Statement. JAMA. 2021;under review. </w:t>
      </w:r>
    </w:p>
    <w:p w14:paraId="54E53B23">
      <w:pPr>
        <w:widowControl w:val="0"/>
        <w:autoSpaceDE w:val="0"/>
        <w:autoSpaceDN w:val="0"/>
        <w:adjustRightInd w:val="0"/>
        <w:spacing w:before="240" w:after="240" w:line="240" w:lineRule="auto"/>
        <w:ind w:left="640" w:hanging="640"/>
        <w:rPr>
          <w:rFonts w:hint="default" w:ascii="Times New Roman" w:hAnsi="Times New Roman" w:cs="Times New Roman"/>
          <w:sz w:val="20"/>
          <w:szCs w:val="20"/>
        </w:rPr>
      </w:pPr>
      <w:r>
        <w:rPr>
          <w:rFonts w:hint="default" w:ascii="Times New Roman" w:hAnsi="Times New Roman" w:cs="Times New Roman"/>
          <w:sz w:val="20"/>
          <w:szCs w:val="20"/>
        </w:rPr>
        <w:t xml:space="preserve">2. </w:t>
      </w:r>
      <w:r>
        <w:rPr>
          <w:rFonts w:hint="default" w:ascii="Times New Roman" w:hAnsi="Times New Roman" w:cs="Times New Roman"/>
          <w:sz w:val="20"/>
          <w:szCs w:val="20"/>
        </w:rPr>
        <w:tab/>
      </w:r>
      <w:r>
        <w:rPr>
          <w:rFonts w:hint="default" w:ascii="Times New Roman" w:hAnsi="Times New Roman" w:cs="Times New Roman"/>
          <w:sz w:val="20"/>
          <w:szCs w:val="20"/>
        </w:rPr>
        <w:t xml:space="preserve">Skrivankova VW, Richmond RC, Woolf BAR, Davies NM, Swanson SA, VanderWeele TJ, et al. Strengthening the Reporting of Observational Studies in Epidemiology using Mendelian Randomisation (STROBE-MR): Explanation and Elaboration. BMJ. 2021;375:n2233. </w:t>
      </w:r>
    </w:p>
    <w:p w14:paraId="00D379A2">
      <w:pPr>
        <w:spacing w:before="240" w:after="240"/>
      </w:pPr>
      <w:r>
        <w:rPr>
          <w:rFonts w:hint="default" w:ascii="Times New Roman" w:hAnsi="Times New Roman" w:cs="Times New Roman"/>
          <w:sz w:val="20"/>
          <w:szCs w:val="20"/>
        </w:rPr>
        <w:fldChar w:fldCharType="end"/>
      </w:r>
    </w:p>
    <w:sectPr>
      <w:footerReference r:id="rId5" w:type="default"/>
      <w:footerReference r:id="rId6" w:type="even"/>
      <w:pgSz w:w="15840" w:h="12240" w:orient="landscape"/>
      <w:pgMar w:top="1008" w:right="720" w:bottom="1008" w:left="720" w:header="720" w:footer="720"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2D91E">
    <w:pPr>
      <w:pStyle w:val="2"/>
      <w:jc w:val="right"/>
    </w:pPr>
    <w:r>
      <w:fldChar w:fldCharType="begin"/>
    </w:r>
    <w:r>
      <w:instrText xml:space="preserve"> PAGE   \* MERGEFORMAT </w:instrText>
    </w:r>
    <w:r>
      <w:fldChar w:fldCharType="separate"/>
    </w:r>
    <w:r>
      <w:t>1</w:t>
    </w:r>
    <w:r>
      <w:fldChar w:fldCharType="end"/>
    </w:r>
  </w:p>
  <w:p w14:paraId="44F007E6">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65F6F">
    <w:pPr>
      <w:pStyle w:val="2"/>
      <w:framePr w:wrap="auto" w:vAnchor="text" w:hAnchor="margin" w:xAlign="right" w:y="1"/>
      <w:rPr>
        <w:rStyle w:val="7"/>
      </w:rPr>
    </w:pPr>
  </w:p>
  <w:p w14:paraId="7C27E7C8">
    <w:pPr>
      <w:pStyle w:val="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2526B4"/>
    <w:multiLevelType w:val="singleLevel"/>
    <w:tmpl w:val="A32526B4"/>
    <w:lvl w:ilvl="0" w:tentative="0">
      <w:start w:val="1"/>
      <w:numFmt w:val="bullet"/>
      <w:lvlText w:val=""/>
      <w:lvlJc w:val="left"/>
      <w:pPr>
        <w:ind w:left="420" w:hanging="420"/>
      </w:pPr>
      <w:rPr>
        <w:rFonts w:hint="default" w:ascii="Wingdings" w:hAnsi="Wingdings"/>
      </w:rPr>
    </w:lvl>
  </w:abstractNum>
  <w:abstractNum w:abstractNumId="1">
    <w:nsid w:val="ABBDC47E"/>
    <w:multiLevelType w:val="singleLevel"/>
    <w:tmpl w:val="ABBDC47E"/>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Y3ZTgyYjIyYTYxMmY2ZTFmNDI5MDcyZDAyYjE0NzEifQ=="/>
  </w:docVars>
  <w:rsids>
    <w:rsidRoot w:val="00914C56"/>
    <w:rsid w:val="00047A9E"/>
    <w:rsid w:val="000A4CE8"/>
    <w:rsid w:val="002663E6"/>
    <w:rsid w:val="003D447D"/>
    <w:rsid w:val="003D47DD"/>
    <w:rsid w:val="004B5CBB"/>
    <w:rsid w:val="004E11D4"/>
    <w:rsid w:val="00514462"/>
    <w:rsid w:val="005520ED"/>
    <w:rsid w:val="005A0D0D"/>
    <w:rsid w:val="00685D31"/>
    <w:rsid w:val="006912BF"/>
    <w:rsid w:val="006A41D0"/>
    <w:rsid w:val="006B08D5"/>
    <w:rsid w:val="006E0987"/>
    <w:rsid w:val="00804498"/>
    <w:rsid w:val="00816C39"/>
    <w:rsid w:val="00885FAC"/>
    <w:rsid w:val="00914C56"/>
    <w:rsid w:val="00950729"/>
    <w:rsid w:val="009854A9"/>
    <w:rsid w:val="009E033F"/>
    <w:rsid w:val="00A02AFF"/>
    <w:rsid w:val="00AD0980"/>
    <w:rsid w:val="00BB6328"/>
    <w:rsid w:val="00D65199"/>
    <w:rsid w:val="00D8098C"/>
    <w:rsid w:val="00E77000"/>
    <w:rsid w:val="00ED48A3"/>
    <w:rsid w:val="00EF4B94"/>
    <w:rsid w:val="00F40D2E"/>
    <w:rsid w:val="073C0BCD"/>
    <w:rsid w:val="0931503F"/>
    <w:rsid w:val="0C944C58"/>
    <w:rsid w:val="0CFE2CC9"/>
    <w:rsid w:val="0DD77C44"/>
    <w:rsid w:val="0EAB438D"/>
    <w:rsid w:val="120C7C36"/>
    <w:rsid w:val="121B1A77"/>
    <w:rsid w:val="146C5235"/>
    <w:rsid w:val="168B1A72"/>
    <w:rsid w:val="191B211C"/>
    <w:rsid w:val="1A840CB2"/>
    <w:rsid w:val="1BA333BA"/>
    <w:rsid w:val="1F1862E0"/>
    <w:rsid w:val="21535882"/>
    <w:rsid w:val="2369313B"/>
    <w:rsid w:val="238C221B"/>
    <w:rsid w:val="26D60AE7"/>
    <w:rsid w:val="283877E5"/>
    <w:rsid w:val="2AC670C5"/>
    <w:rsid w:val="331F3E9A"/>
    <w:rsid w:val="35F40F8A"/>
    <w:rsid w:val="37674F59"/>
    <w:rsid w:val="3C7A1ABD"/>
    <w:rsid w:val="3C8025FC"/>
    <w:rsid w:val="3DF07F0D"/>
    <w:rsid w:val="41A2189A"/>
    <w:rsid w:val="41A527CE"/>
    <w:rsid w:val="42BA069E"/>
    <w:rsid w:val="430E36CB"/>
    <w:rsid w:val="437B7663"/>
    <w:rsid w:val="44BE2E8F"/>
    <w:rsid w:val="4A4200BE"/>
    <w:rsid w:val="4AF230DE"/>
    <w:rsid w:val="4BFD0177"/>
    <w:rsid w:val="4C8A062B"/>
    <w:rsid w:val="4E256709"/>
    <w:rsid w:val="52AB4711"/>
    <w:rsid w:val="55FD0D4D"/>
    <w:rsid w:val="5796247D"/>
    <w:rsid w:val="57D06C9E"/>
    <w:rsid w:val="598F0505"/>
    <w:rsid w:val="5B6219E0"/>
    <w:rsid w:val="5CA02A22"/>
    <w:rsid w:val="5E850121"/>
    <w:rsid w:val="62824B0D"/>
    <w:rsid w:val="67237EBF"/>
    <w:rsid w:val="681A18DB"/>
    <w:rsid w:val="68324E76"/>
    <w:rsid w:val="69603C65"/>
    <w:rsid w:val="6A0A597F"/>
    <w:rsid w:val="6B2D47E7"/>
    <w:rsid w:val="6BF16DF6"/>
    <w:rsid w:val="72114A74"/>
    <w:rsid w:val="729B4DB3"/>
    <w:rsid w:val="73ED7472"/>
    <w:rsid w:val="74CD1C66"/>
    <w:rsid w:val="75781644"/>
    <w:rsid w:val="77167266"/>
    <w:rsid w:val="77D21DDF"/>
    <w:rsid w:val="77E45A61"/>
    <w:rsid w:val="7A097A01"/>
    <w:rsid w:val="7C29346A"/>
    <w:rsid w:val="7C6D071B"/>
    <w:rsid w:val="7CF93D5D"/>
    <w:rsid w:val="7E6A112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en" w:eastAsia="de-CH" w:bidi="ar-SA"/>
    </w:rPr>
  </w:style>
  <w:style w:type="character" w:default="1" w:styleId="6">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680"/>
        <w:tab w:val="right" w:pos="9360"/>
      </w:tabs>
      <w:spacing w:line="240" w:lineRule="auto"/>
    </w:pPr>
  </w:style>
  <w:style w:type="paragraph" w:styleId="3">
    <w:name w:val="header"/>
    <w:basedOn w:val="1"/>
    <w:link w:val="12"/>
    <w:unhideWhenUsed/>
    <w:qFormat/>
    <w:uiPriority w:val="99"/>
    <w:pPr>
      <w:tabs>
        <w:tab w:val="center" w:pos="4153"/>
        <w:tab w:val="right" w:pos="8306"/>
      </w:tabs>
      <w:snapToGrid w:val="0"/>
      <w:spacing w:line="240" w:lineRule="auto"/>
      <w:jc w:val="center"/>
    </w:pPr>
    <w:rPr>
      <w:sz w:val="18"/>
      <w:szCs w:val="18"/>
    </w:rPr>
  </w:style>
  <w:style w:type="paragraph" w:styleId="4">
    <w:name w:val="Normal (Web)"/>
    <w:basedOn w:val="1"/>
    <w:qFormat/>
    <w:uiPriority w:val="0"/>
    <w:pPr>
      <w:spacing w:before="100" w:beforeAutospacing="1" w:after="100" w:afterAutospacing="1"/>
    </w:pPr>
    <w:rPr>
      <w:sz w:val="24"/>
    </w:rPr>
  </w:style>
  <w:style w:type="character" w:styleId="7">
    <w:name w:val="page number"/>
    <w:basedOn w:val="6"/>
    <w:semiHidden/>
    <w:unhideWhenUsed/>
    <w:qFormat/>
    <w:uiPriority w:val="99"/>
  </w:style>
  <w:style w:type="character" w:styleId="8">
    <w:name w:val="FollowedHyperlink"/>
    <w:basedOn w:val="6"/>
    <w:semiHidden/>
    <w:unhideWhenUsed/>
    <w:qFormat/>
    <w:uiPriority w:val="99"/>
    <w:rPr>
      <w:color w:val="954F72"/>
      <w:u w:val="single"/>
    </w:rPr>
  </w:style>
  <w:style w:type="character" w:styleId="9">
    <w:name w:val="line number"/>
    <w:basedOn w:val="6"/>
    <w:semiHidden/>
    <w:unhideWhenUsed/>
    <w:qFormat/>
    <w:uiPriority w:val="99"/>
  </w:style>
  <w:style w:type="character" w:styleId="10">
    <w:name w:val="Hyperlink"/>
    <w:basedOn w:val="6"/>
    <w:unhideWhenUsed/>
    <w:qFormat/>
    <w:uiPriority w:val="99"/>
    <w:rPr>
      <w:color w:val="0000FF"/>
      <w:u w:val="single"/>
    </w:rPr>
  </w:style>
  <w:style w:type="character" w:customStyle="1" w:styleId="11">
    <w:name w:val="页脚 字符"/>
    <w:basedOn w:val="6"/>
    <w:link w:val="2"/>
    <w:qFormat/>
    <w:uiPriority w:val="99"/>
    <w:rPr>
      <w:rFonts w:ascii="Arial" w:hAnsi="Arial" w:eastAsia="Arial" w:cs="Arial"/>
      <w:lang w:val="en" w:eastAsia="de-CH"/>
    </w:rPr>
  </w:style>
  <w:style w:type="character" w:customStyle="1" w:styleId="12">
    <w:name w:val="页眉 字符"/>
    <w:basedOn w:val="6"/>
    <w:link w:val="3"/>
    <w:qFormat/>
    <w:uiPriority w:val="99"/>
    <w:rPr>
      <w:rFonts w:ascii="Arial" w:hAnsi="Arial" w:eastAsia="Arial" w:cs="Arial"/>
      <w:sz w:val="18"/>
      <w:szCs w:val="18"/>
      <w:lang w:val="en" w:eastAsia="de-CH"/>
    </w:rPr>
  </w:style>
  <w:style w:type="character" w:customStyle="1" w:styleId="13">
    <w:name w:val="未处理的提及1"/>
    <w:basedOn w:val="6"/>
    <w:semiHidden/>
    <w:unhideWhenUsed/>
    <w:qFormat/>
    <w:uiPriority w:val="99"/>
    <w:rPr>
      <w:color w:val="605E5C"/>
      <w:shd w:val="clear" w:color="auto" w:fill="E1DFDD"/>
    </w:rPr>
  </w:style>
  <w:style w:type="character" w:customStyle="1" w:styleId="14">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F20111-77FD-4F18-8E31-D737874646AB}">
  <ds:schemaRefs/>
</ds:datastoreItem>
</file>

<file path=customXml/itemProps2.xml><?xml version="1.0" encoding="utf-8"?>
<ds:datastoreItem xmlns:ds="http://schemas.openxmlformats.org/officeDocument/2006/customXml" ds:itemID="{9FB0931C-FCE2-4CC4-80DE-15614B41F1F9}">
  <ds:schemaRefs/>
</ds:datastoreItem>
</file>

<file path=customXml/itemProps3.xml><?xml version="1.0" encoding="utf-8"?>
<ds:datastoreItem xmlns:ds="http://schemas.openxmlformats.org/officeDocument/2006/customXml" ds:itemID="{B7DA32DB-E5B8-4E32-AD11-08F2E668867B}">
  <ds:schemaRefs/>
</ds:datastoreItem>
</file>

<file path=customXml/itemProps4.xml><?xml version="1.0" encoding="utf-8"?>
<ds:datastoreItem xmlns:ds="http://schemas.openxmlformats.org/officeDocument/2006/customXml" ds:itemID="{A9898B61-61B7-44F1-9388-8B27875B1EDA}">
  <ds:schemaRefs/>
</ds:datastoreItem>
</file>

<file path=docProps/app.xml><?xml version="1.0" encoding="utf-8"?>
<Properties xmlns="http://schemas.openxmlformats.org/officeDocument/2006/extended-properties" xmlns:vt="http://schemas.openxmlformats.org/officeDocument/2006/docPropsVTypes">
  <Template>Normal</Template>
  <Company>University of Bern</Company>
  <Pages>9</Pages>
  <Words>2590</Words>
  <Characters>15989</Characters>
  <Lines>739</Lines>
  <Paragraphs>275</Paragraphs>
  <TotalTime>1</TotalTime>
  <ScaleCrop>false</ScaleCrop>
  <LinksUpToDate>false</LinksUpToDate>
  <CharactersWithSpaces>18398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2022-04-07T08:09:00Z</dcterms:created>
  <dc:creator>Whitesell, Veronika (ISPM)</dc:creator>
  <cp:lastModifiedBy>张熙</cp:lastModifiedBy>
  <cp:lastPrinted>2021-09-28T07:08:00Z</cp:lastPrinted>
  <dcterms:modified xsi:type="dcterms:W3CDTF">2026-03-26T07:33:29Z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KSOProductBuildVer">
    <vt:lpwstr>2052-12.1.0.25225</vt:lpwstr>
  </property>
  <property fmtid="{D5CDD505-2E9C-101B-9397-08002B2CF9AE}" pid="27" name="ICV">
    <vt:lpwstr>E5B1EEC30BE149C6863DB48075F229EC_13</vt:lpwstr>
  </property>
  <property fmtid="{D5CDD505-2E9C-101B-9397-08002B2CF9AE}" pid="28" name="KSOTemplateDocerSaveRecord">
    <vt:lpwstr>eyJoZGlkIjoiYTY3ZTgyYjIyYTYxMmY2ZTFmNDI5MDcyZDAyYjE0NzEiLCJ1c2VySWQiOiIxNjc4MDg0OTA3In0=</vt:lpwstr>
  </property>
</Properties>
</file>