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4C1BC" w14:textId="77777777" w:rsidR="00CE070F" w:rsidRPr="00700E13" w:rsidRDefault="00000000">
      <w:pPr>
        <w:spacing w:before="240" w:after="240"/>
        <w:rPr>
          <w:b/>
          <w:bCs/>
          <w:color w:val="222222"/>
          <w:lang w:val="en-AU"/>
        </w:rPr>
      </w:pPr>
      <w:r w:rsidRPr="00700E13">
        <w:rPr>
          <w:b/>
          <w:bCs/>
          <w:color w:val="222222"/>
          <w:lang w:val="en-AU"/>
        </w:rPr>
        <w:t>Contents of this file</w:t>
      </w:r>
    </w:p>
    <w:p w14:paraId="1E491C18" w14:textId="4E7EB70F" w:rsidR="00CE070F" w:rsidRPr="00C77B48" w:rsidRDefault="00000000">
      <w:pPr>
        <w:spacing w:before="240" w:after="240"/>
        <w:rPr>
          <w:lang w:val="en-AU"/>
        </w:rPr>
      </w:pPr>
      <w:r w:rsidRPr="00C77B48">
        <w:rPr>
          <w:lang w:val="en-AU"/>
        </w:rPr>
        <w:t xml:space="preserve">Figure S1. </w:t>
      </w:r>
      <w:r w:rsidRPr="00700E13">
        <w:rPr>
          <w:lang w:val="en-AU"/>
        </w:rPr>
        <w:t xml:space="preserve"> Distribution of climate analogues of optimal conditions for salmon aquaculture through time according to the level of agreement among ESMs for projections across </w:t>
      </w:r>
      <w:r w:rsidR="00D90761">
        <w:rPr>
          <w:lang w:val="en-AU"/>
        </w:rPr>
        <w:t>CMIP6</w:t>
      </w:r>
      <w:r w:rsidRPr="00700E13">
        <w:rPr>
          <w:lang w:val="en-AU"/>
        </w:rPr>
        <w:t xml:space="preserve"> scenarios.</w:t>
      </w:r>
    </w:p>
    <w:p w14:paraId="75C7938A" w14:textId="77777777" w:rsidR="00CE070F" w:rsidRPr="00700E13" w:rsidRDefault="00000000">
      <w:pPr>
        <w:spacing w:before="240" w:after="240"/>
        <w:rPr>
          <w:lang w:val="en-AU"/>
        </w:rPr>
      </w:pPr>
      <w:r w:rsidRPr="00C77B48">
        <w:rPr>
          <w:lang w:val="en-AU"/>
        </w:rPr>
        <w:t xml:space="preserve">Figure S2- (a) Area available in km² high confidence (≥75% of agreement of ESMs) analogues of optimal and suitable conditions areas over time (2021-2100) across SSP scenarios. In (a) all the marine territories (b) Commonwealth waters, (c) State waters, (d) high seas. </w:t>
      </w:r>
    </w:p>
    <w:p w14:paraId="047418A3" w14:textId="5FC320DB" w:rsidR="00CE070F" w:rsidRPr="00700E13" w:rsidRDefault="00000000">
      <w:pPr>
        <w:spacing w:before="240" w:after="240"/>
        <w:rPr>
          <w:lang w:val="en-AU"/>
        </w:rPr>
      </w:pPr>
      <w:r w:rsidRPr="00700E13">
        <w:rPr>
          <w:lang w:val="en-AU"/>
        </w:rPr>
        <w:t xml:space="preserve">Figure S3. Distribution of climate analogues of optimal conditions for salmon aquaculture through time according to the level of agreement among ESMs for projections across </w:t>
      </w:r>
      <w:r w:rsidR="00D90761">
        <w:rPr>
          <w:lang w:val="en-AU"/>
        </w:rPr>
        <w:t>CMIP6</w:t>
      </w:r>
      <w:r w:rsidRPr="00700E13">
        <w:rPr>
          <w:lang w:val="en-AU"/>
        </w:rPr>
        <w:t xml:space="preserve"> scenarios, considering constraints</w:t>
      </w:r>
    </w:p>
    <w:p w14:paraId="74E1D04C" w14:textId="77777777" w:rsidR="00CE070F" w:rsidRPr="00700E13" w:rsidRDefault="00000000">
      <w:pPr>
        <w:jc w:val="both"/>
        <w:rPr>
          <w:lang w:val="en-AU"/>
        </w:rPr>
      </w:pPr>
      <w:r w:rsidRPr="00700E13">
        <w:rPr>
          <w:lang w:val="en-AU"/>
        </w:rPr>
        <w:t>Table S1. Documented salmon mortality events in Tasmanian aquaculture operations: locations, timing, and source documentation</w:t>
      </w:r>
    </w:p>
    <w:p w14:paraId="1600DE76" w14:textId="77777777" w:rsidR="00CE070F" w:rsidRPr="00700E13" w:rsidRDefault="00CE070F">
      <w:pPr>
        <w:jc w:val="both"/>
        <w:rPr>
          <w:lang w:val="en-AU"/>
        </w:rPr>
      </w:pPr>
    </w:p>
    <w:p w14:paraId="3A63093E" w14:textId="3AA047C2" w:rsidR="00CE070F" w:rsidRPr="00700E13" w:rsidRDefault="00000000">
      <w:pPr>
        <w:spacing w:after="200"/>
        <w:jc w:val="both"/>
        <w:rPr>
          <w:lang w:val="en-AU"/>
        </w:rPr>
      </w:pPr>
      <w:r w:rsidRPr="00700E13">
        <w:rPr>
          <w:lang w:val="en-AU"/>
        </w:rPr>
        <w:t xml:space="preserve">Table S2. Adaptation trigger onset for suitable climate analogues — the decade in which the available area falls below the current Tasmanian finfish lease size (25.88 km²), reported under unconstrained (climate-only) and constrained (climate plus spatial restrictions) framings, by </w:t>
      </w:r>
      <w:r w:rsidR="00D90761">
        <w:rPr>
          <w:lang w:val="en-AU"/>
        </w:rPr>
        <w:t>CMIP6</w:t>
      </w:r>
      <w:r w:rsidRPr="00700E13">
        <w:rPr>
          <w:lang w:val="en-AU"/>
        </w:rPr>
        <w:t xml:space="preserve"> scenario and marine jurisdiction. </w:t>
      </w:r>
    </w:p>
    <w:p w14:paraId="04666818" w14:textId="383A2236" w:rsidR="00CE070F" w:rsidRPr="00700E13" w:rsidRDefault="00000000">
      <w:pPr>
        <w:spacing w:before="200" w:after="600"/>
        <w:jc w:val="both"/>
        <w:rPr>
          <w:lang w:val="en-AU"/>
        </w:rPr>
      </w:pPr>
      <w:r w:rsidRPr="00700E13">
        <w:rPr>
          <w:lang w:val="en-AU"/>
        </w:rPr>
        <w:t>Table S3.</w:t>
      </w:r>
      <w:r w:rsidRPr="00C77B48">
        <w:rPr>
          <w:lang w:val="en-AU"/>
        </w:rPr>
        <w:t xml:space="preserve"> </w:t>
      </w:r>
      <w:r w:rsidRPr="00700E13">
        <w:rPr>
          <w:lang w:val="en-AU"/>
        </w:rPr>
        <w:t xml:space="preserve">Adaptation trigger onset for optimal climate analogues — the decade in which the available area falls below the current Tasmanian finfish lease size (25.88 km²), reported under unconstrained (climate-only) and constrained (climate plus spatial restrictions) framings, by </w:t>
      </w:r>
      <w:r w:rsidR="00D90761">
        <w:rPr>
          <w:lang w:val="en-AU"/>
        </w:rPr>
        <w:t>CMIP6</w:t>
      </w:r>
      <w:r w:rsidRPr="00700E13">
        <w:rPr>
          <w:lang w:val="en-AU"/>
        </w:rPr>
        <w:t xml:space="preserve"> scenario and marine jurisdiction. </w:t>
      </w:r>
    </w:p>
    <w:p w14:paraId="00BCE7C2" w14:textId="553B23C9" w:rsidR="00CE070F" w:rsidRPr="00700E13" w:rsidRDefault="00000000">
      <w:pPr>
        <w:jc w:val="both"/>
        <w:rPr>
          <w:color w:val="222222"/>
          <w:lang w:val="en-AU"/>
        </w:rPr>
      </w:pPr>
      <w:r w:rsidRPr="00700E13">
        <w:rPr>
          <w:color w:val="222222"/>
          <w:lang w:val="en-AU"/>
        </w:rPr>
        <w:t xml:space="preserve">We here supplement the main text with figures showing the distribution of climate analogues of optimal conditions for salmon aquaculture through time according to the level of agreement among ESMs for projections across SSP scenarios with (Figure S1) and without constraints (Figures S3), similar figures showing the analogues of suitable conditions are in the main text (Figures 2 and 4). The supporting information also contains the results of the area availability of high-confidence analogues in square kilometres over time and climate scenarios (Figure S2). Figures S1 and S2 show results for the climate analogues without constraints, whereas Figure S3 shows results for the climate analogues with constraints on aquaculture. Additionally, we show a table of documented mass mortality of </w:t>
      </w:r>
      <w:r w:rsidRPr="00700E13">
        <w:rPr>
          <w:i/>
          <w:iCs/>
          <w:color w:val="222222"/>
          <w:lang w:val="en-AU"/>
        </w:rPr>
        <w:t>Salmo salar</w:t>
      </w:r>
      <w:r w:rsidRPr="00700E13">
        <w:rPr>
          <w:color w:val="222222"/>
          <w:lang w:val="en-AU"/>
        </w:rPr>
        <w:t xml:space="preserve"> (Table S1) and present tables of adaptation triggers for both analogues of optimal</w:t>
      </w:r>
      <w:r w:rsidR="00C77B48">
        <w:rPr>
          <w:color w:val="222222"/>
          <w:lang w:val="en-AU"/>
        </w:rPr>
        <w:t xml:space="preserve"> </w:t>
      </w:r>
      <w:r w:rsidRPr="00700E13">
        <w:rPr>
          <w:color w:val="222222"/>
          <w:lang w:val="en-AU"/>
        </w:rPr>
        <w:t xml:space="preserve">(Table S3)  and suitable (Table S2) conditions </w:t>
      </w:r>
    </w:p>
    <w:p w14:paraId="6A139EF8" w14:textId="77777777" w:rsidR="00CE070F" w:rsidRDefault="00000000">
      <w:pPr>
        <w:spacing w:before="240" w:after="240"/>
      </w:pPr>
      <w:r>
        <w:rPr>
          <w:noProof/>
        </w:rPr>
        <w:lastRenderedPageBreak/>
        <w:drawing>
          <wp:inline distT="114300" distB="114300" distL="114300" distR="114300" wp14:anchorId="68F53A0D" wp14:editId="22C0EE99">
            <wp:extent cx="5731200" cy="35941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731200" cy="3594100"/>
                    </a:xfrm>
                    <a:prstGeom prst="rect">
                      <a:avLst/>
                    </a:prstGeom>
                    <a:ln/>
                  </pic:spPr>
                </pic:pic>
              </a:graphicData>
            </a:graphic>
          </wp:inline>
        </w:drawing>
      </w:r>
    </w:p>
    <w:p w14:paraId="0DC6715B" w14:textId="77777777" w:rsidR="00CE070F" w:rsidRPr="00700E13" w:rsidRDefault="00000000">
      <w:pPr>
        <w:spacing w:before="240" w:after="240"/>
        <w:rPr>
          <w:lang w:val="en-AU"/>
        </w:rPr>
      </w:pPr>
      <w:r w:rsidRPr="00700E13">
        <w:rPr>
          <w:b/>
          <w:bCs/>
          <w:color w:val="222222"/>
          <w:lang w:val="en-AU"/>
        </w:rPr>
        <w:t>Figure S1</w:t>
      </w:r>
      <w:r w:rsidRPr="00700E13">
        <w:rPr>
          <w:color w:val="222222"/>
          <w:lang w:val="en-AU"/>
        </w:rPr>
        <w:t xml:space="preserve">. </w:t>
      </w:r>
      <w:r w:rsidRPr="00700E13">
        <w:rPr>
          <w:lang w:val="en-AU"/>
        </w:rPr>
        <w:t xml:space="preserve"> Distribution of climate analogues of optimal conditions for salmon aquaculture through time according to the level of agreement among ESMs for projections across SSP </w:t>
      </w:r>
      <w:r w:rsidRPr="00700E13">
        <w:rPr>
          <w:lang w:val="en-AU"/>
        </w:rPr>
        <w:lastRenderedPageBreak/>
        <w:t>scenarios.</w:t>
      </w:r>
      <w:r>
        <w:rPr>
          <w:noProof/>
        </w:rPr>
        <w:drawing>
          <wp:inline distT="114300" distB="114300" distL="114300" distR="114300" wp14:anchorId="5E8E304F" wp14:editId="0FE0208B">
            <wp:extent cx="6043613" cy="4930589"/>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5761" r="8419"/>
                    <a:stretch>
                      <a:fillRect/>
                    </a:stretch>
                  </pic:blipFill>
                  <pic:spPr>
                    <a:xfrm>
                      <a:off x="0" y="0"/>
                      <a:ext cx="6043613" cy="4930589"/>
                    </a:xfrm>
                    <a:prstGeom prst="rect">
                      <a:avLst/>
                    </a:prstGeom>
                    <a:ln/>
                  </pic:spPr>
                </pic:pic>
              </a:graphicData>
            </a:graphic>
          </wp:inline>
        </w:drawing>
      </w:r>
    </w:p>
    <w:p w14:paraId="10F76629" w14:textId="77777777" w:rsidR="00CE070F" w:rsidRPr="00700E13" w:rsidRDefault="00000000">
      <w:pPr>
        <w:spacing w:before="240" w:after="240"/>
        <w:rPr>
          <w:lang w:val="en-AU"/>
        </w:rPr>
      </w:pPr>
      <w:r w:rsidRPr="00D90761">
        <w:rPr>
          <w:b/>
          <w:bCs/>
          <w:lang w:val="en-AU"/>
        </w:rPr>
        <w:t>Figure S2</w:t>
      </w:r>
      <w:r w:rsidRPr="00D90761">
        <w:rPr>
          <w:lang w:val="en-AU"/>
        </w:rPr>
        <w:t xml:space="preserve">. (a) Area available (in km²) of high-confidence (≥75% of agreement of ESMs) analogues of optimal and suitable conditions areas over time (2021-2100) across SSP scenarios. In (a) all the marine territories (b) Commonwealth waters, (c) State waters, (d) high seas. </w:t>
      </w:r>
    </w:p>
    <w:p w14:paraId="7E16EBE9" w14:textId="77777777" w:rsidR="00CE070F" w:rsidRDefault="00000000">
      <w:pPr>
        <w:jc w:val="both"/>
      </w:pPr>
      <w:r>
        <w:rPr>
          <w:noProof/>
        </w:rPr>
        <w:lastRenderedPageBreak/>
        <w:drawing>
          <wp:inline distT="114300" distB="114300" distL="114300" distR="114300" wp14:anchorId="244D1FCF" wp14:editId="3DC9FB3A">
            <wp:extent cx="5987603" cy="329872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87603" cy="3298726"/>
                    </a:xfrm>
                    <a:prstGeom prst="rect">
                      <a:avLst/>
                    </a:prstGeom>
                    <a:ln/>
                  </pic:spPr>
                </pic:pic>
              </a:graphicData>
            </a:graphic>
          </wp:inline>
        </w:drawing>
      </w:r>
    </w:p>
    <w:p w14:paraId="5065529D" w14:textId="77777777" w:rsidR="00CE070F" w:rsidRPr="00700E13" w:rsidRDefault="00000000">
      <w:pPr>
        <w:jc w:val="both"/>
        <w:rPr>
          <w:lang w:val="en-AU"/>
        </w:rPr>
      </w:pPr>
      <w:r w:rsidRPr="00700E13">
        <w:rPr>
          <w:b/>
          <w:bCs/>
          <w:lang w:val="en-AU"/>
        </w:rPr>
        <w:t>Figure S3.</w:t>
      </w:r>
      <w:r w:rsidRPr="00700E13">
        <w:rPr>
          <w:lang w:val="en-AU"/>
        </w:rPr>
        <w:t xml:space="preserve"> Distribution of climate analogues of optimal conditions for salmon aquaculture through time according to the level of agreement among ESMs for projections across SSP scenarios considering constraints.</w:t>
      </w:r>
    </w:p>
    <w:p w14:paraId="5A1F2C5F" w14:textId="77777777" w:rsidR="00CE070F" w:rsidRPr="00700E13" w:rsidRDefault="00CE070F">
      <w:pPr>
        <w:jc w:val="both"/>
        <w:rPr>
          <w:lang w:val="en-AU"/>
        </w:rPr>
      </w:pPr>
    </w:p>
    <w:p w14:paraId="78F62275" w14:textId="77777777" w:rsidR="00CE070F" w:rsidRPr="00700E13" w:rsidRDefault="00CE070F">
      <w:pPr>
        <w:ind w:left="-566"/>
        <w:rPr>
          <w:lang w:val="en-AU"/>
        </w:rPr>
      </w:pPr>
    </w:p>
    <w:p w14:paraId="1594DC91" w14:textId="77777777" w:rsidR="00CE070F" w:rsidRPr="00700E13" w:rsidRDefault="00000000">
      <w:pPr>
        <w:jc w:val="both"/>
        <w:rPr>
          <w:lang w:val="en-AU"/>
        </w:rPr>
      </w:pPr>
      <w:r w:rsidRPr="00700E13">
        <w:rPr>
          <w:b/>
          <w:bCs/>
          <w:lang w:val="en-AU"/>
        </w:rPr>
        <w:t>Table S1</w:t>
      </w:r>
      <w:r w:rsidRPr="00700E13">
        <w:rPr>
          <w:lang w:val="en-AU"/>
        </w:rPr>
        <w:t>. Documented salmon mortality events in Tasmanian aquaculture operations: locations, timing, and source documentation</w:t>
      </w:r>
    </w:p>
    <w:tbl>
      <w:tblPr>
        <w:tblStyle w:val="a"/>
        <w:tblW w:w="9796"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7"/>
        <w:gridCol w:w="1701"/>
        <w:gridCol w:w="2126"/>
        <w:gridCol w:w="3567"/>
        <w:gridCol w:w="1125"/>
      </w:tblGrid>
      <w:tr w:rsidR="00CE070F" w14:paraId="1F59F22A" w14:textId="77777777" w:rsidTr="00700E13">
        <w:tc>
          <w:tcPr>
            <w:tcW w:w="1277" w:type="dxa"/>
            <w:tcMar>
              <w:top w:w="100" w:type="dxa"/>
              <w:left w:w="100" w:type="dxa"/>
              <w:bottom w:w="100" w:type="dxa"/>
              <w:right w:w="100" w:type="dxa"/>
            </w:tcMar>
          </w:tcPr>
          <w:p w14:paraId="0ADE561C" w14:textId="77777777" w:rsidR="00CE070F" w:rsidRDefault="00000000">
            <w:pPr>
              <w:widowControl w:val="0"/>
              <w:spacing w:line="240" w:lineRule="auto"/>
              <w:rPr>
                <w:sz w:val="18"/>
                <w:szCs w:val="18"/>
              </w:rPr>
            </w:pPr>
            <w:r>
              <w:rPr>
                <w:sz w:val="18"/>
                <w:szCs w:val="18"/>
              </w:rPr>
              <w:t>locality</w:t>
            </w:r>
          </w:p>
        </w:tc>
        <w:tc>
          <w:tcPr>
            <w:tcW w:w="1701" w:type="dxa"/>
            <w:tcMar>
              <w:top w:w="100" w:type="dxa"/>
              <w:left w:w="100" w:type="dxa"/>
              <w:bottom w:w="100" w:type="dxa"/>
              <w:right w:w="100" w:type="dxa"/>
            </w:tcMar>
          </w:tcPr>
          <w:p w14:paraId="0E9A22D4" w14:textId="77777777" w:rsidR="00CE070F" w:rsidRDefault="00000000">
            <w:pPr>
              <w:widowControl w:val="0"/>
              <w:spacing w:line="240" w:lineRule="auto"/>
              <w:rPr>
                <w:sz w:val="18"/>
                <w:szCs w:val="18"/>
              </w:rPr>
            </w:pPr>
            <w:r>
              <w:rPr>
                <w:sz w:val="18"/>
                <w:szCs w:val="18"/>
              </w:rPr>
              <w:t>Period of occurrence</w:t>
            </w:r>
          </w:p>
        </w:tc>
        <w:tc>
          <w:tcPr>
            <w:tcW w:w="2126" w:type="dxa"/>
            <w:tcMar>
              <w:top w:w="100" w:type="dxa"/>
              <w:left w:w="100" w:type="dxa"/>
              <w:bottom w:w="100" w:type="dxa"/>
              <w:right w:w="100" w:type="dxa"/>
            </w:tcMar>
          </w:tcPr>
          <w:p w14:paraId="4A36CA66" w14:textId="77777777" w:rsidR="00CE070F" w:rsidRDefault="00000000">
            <w:pPr>
              <w:widowControl w:val="0"/>
              <w:spacing w:line="240" w:lineRule="auto"/>
              <w:rPr>
                <w:sz w:val="18"/>
                <w:szCs w:val="18"/>
              </w:rPr>
            </w:pPr>
            <w:r>
              <w:rPr>
                <w:sz w:val="18"/>
                <w:szCs w:val="18"/>
              </w:rPr>
              <w:t>Occurrences</w:t>
            </w:r>
          </w:p>
        </w:tc>
        <w:tc>
          <w:tcPr>
            <w:tcW w:w="3567" w:type="dxa"/>
            <w:tcMar>
              <w:top w:w="100" w:type="dxa"/>
              <w:left w:w="100" w:type="dxa"/>
              <w:bottom w:w="100" w:type="dxa"/>
              <w:right w:w="100" w:type="dxa"/>
            </w:tcMar>
          </w:tcPr>
          <w:p w14:paraId="32FF8B6A" w14:textId="77777777" w:rsidR="00CE070F" w:rsidRDefault="00000000">
            <w:pPr>
              <w:widowControl w:val="0"/>
              <w:spacing w:line="240" w:lineRule="auto"/>
              <w:rPr>
                <w:sz w:val="18"/>
                <w:szCs w:val="18"/>
              </w:rPr>
            </w:pPr>
            <w:r>
              <w:rPr>
                <w:sz w:val="18"/>
                <w:szCs w:val="18"/>
              </w:rPr>
              <w:t xml:space="preserve">Link </w:t>
            </w:r>
          </w:p>
        </w:tc>
        <w:tc>
          <w:tcPr>
            <w:tcW w:w="1125" w:type="dxa"/>
            <w:tcMar>
              <w:top w:w="100" w:type="dxa"/>
              <w:left w:w="100" w:type="dxa"/>
              <w:bottom w:w="100" w:type="dxa"/>
              <w:right w:w="100" w:type="dxa"/>
            </w:tcMar>
          </w:tcPr>
          <w:p w14:paraId="10942B9D" w14:textId="77777777" w:rsidR="00CE070F" w:rsidRDefault="00000000">
            <w:pPr>
              <w:widowControl w:val="0"/>
              <w:spacing w:line="240" w:lineRule="auto"/>
              <w:rPr>
                <w:sz w:val="18"/>
                <w:szCs w:val="18"/>
              </w:rPr>
            </w:pPr>
            <w:r>
              <w:rPr>
                <w:sz w:val="18"/>
                <w:szCs w:val="18"/>
              </w:rPr>
              <w:t xml:space="preserve"> date</w:t>
            </w:r>
          </w:p>
        </w:tc>
      </w:tr>
      <w:tr w:rsidR="00CE070F" w14:paraId="40016B4C" w14:textId="77777777" w:rsidTr="00700E13">
        <w:tc>
          <w:tcPr>
            <w:tcW w:w="1277" w:type="dxa"/>
            <w:tcMar>
              <w:top w:w="100" w:type="dxa"/>
              <w:left w:w="100" w:type="dxa"/>
              <w:bottom w:w="100" w:type="dxa"/>
              <w:right w:w="100" w:type="dxa"/>
            </w:tcMar>
          </w:tcPr>
          <w:p w14:paraId="58ABFDB6" w14:textId="77777777" w:rsidR="00CE070F" w:rsidRDefault="00000000">
            <w:pPr>
              <w:widowControl w:val="0"/>
              <w:spacing w:line="240" w:lineRule="auto"/>
              <w:rPr>
                <w:sz w:val="18"/>
                <w:szCs w:val="18"/>
              </w:rPr>
            </w:pPr>
            <w:r>
              <w:rPr>
                <w:color w:val="222222"/>
                <w:sz w:val="18"/>
                <w:szCs w:val="18"/>
                <w:highlight w:val="white"/>
              </w:rPr>
              <w:t>Tamar River</w:t>
            </w:r>
          </w:p>
        </w:tc>
        <w:tc>
          <w:tcPr>
            <w:tcW w:w="1701" w:type="dxa"/>
            <w:tcMar>
              <w:top w:w="100" w:type="dxa"/>
              <w:left w:w="100" w:type="dxa"/>
              <w:bottom w:w="100" w:type="dxa"/>
              <w:right w:w="100" w:type="dxa"/>
            </w:tcMar>
          </w:tcPr>
          <w:p w14:paraId="593121C2" w14:textId="77777777" w:rsidR="00CE070F" w:rsidRDefault="00000000">
            <w:pPr>
              <w:widowControl w:val="0"/>
              <w:spacing w:line="240" w:lineRule="auto"/>
              <w:rPr>
                <w:sz w:val="18"/>
                <w:szCs w:val="18"/>
              </w:rPr>
            </w:pPr>
            <w:r>
              <w:rPr>
                <w:sz w:val="18"/>
                <w:szCs w:val="18"/>
              </w:rPr>
              <w:t>30 January to 08 of february</w:t>
            </w:r>
          </w:p>
        </w:tc>
        <w:tc>
          <w:tcPr>
            <w:tcW w:w="2126" w:type="dxa"/>
            <w:tcMar>
              <w:top w:w="100" w:type="dxa"/>
              <w:left w:w="100" w:type="dxa"/>
              <w:bottom w:w="100" w:type="dxa"/>
              <w:right w:w="100" w:type="dxa"/>
            </w:tcMar>
          </w:tcPr>
          <w:p w14:paraId="4CE8E5DE" w14:textId="77777777" w:rsidR="00CE070F" w:rsidRPr="00700E13" w:rsidRDefault="00000000">
            <w:pPr>
              <w:rPr>
                <w:color w:val="333333"/>
                <w:sz w:val="18"/>
                <w:szCs w:val="18"/>
                <w:highlight w:val="white"/>
                <w:lang w:val="en-AU"/>
              </w:rPr>
            </w:pPr>
            <w:r w:rsidRPr="00700E13">
              <w:rPr>
                <w:sz w:val="18"/>
                <w:szCs w:val="18"/>
                <w:lang w:val="en-AU"/>
              </w:rPr>
              <w:t>Petuna’s Rowella 60,000 salmon dying blamed on high seawater temperatures</w:t>
            </w:r>
          </w:p>
          <w:p w14:paraId="1DC7600D" w14:textId="77777777" w:rsidR="00CE070F" w:rsidRPr="00700E13" w:rsidRDefault="00CE070F">
            <w:pPr>
              <w:rPr>
                <w:color w:val="222222"/>
                <w:sz w:val="18"/>
                <w:szCs w:val="18"/>
                <w:highlight w:val="white"/>
                <w:lang w:val="en-AU"/>
              </w:rPr>
            </w:pPr>
          </w:p>
        </w:tc>
        <w:tc>
          <w:tcPr>
            <w:tcW w:w="3567" w:type="dxa"/>
            <w:tcMar>
              <w:top w:w="100" w:type="dxa"/>
              <w:left w:w="100" w:type="dxa"/>
              <w:bottom w:w="100" w:type="dxa"/>
              <w:right w:w="100" w:type="dxa"/>
            </w:tcMar>
          </w:tcPr>
          <w:p w14:paraId="04BC8381" w14:textId="77777777" w:rsidR="00CE070F" w:rsidRPr="00700E13" w:rsidRDefault="00CE070F">
            <w:pPr>
              <w:rPr>
                <w:sz w:val="18"/>
                <w:szCs w:val="18"/>
                <w:lang w:val="en-AU"/>
              </w:rPr>
            </w:pPr>
            <w:hyperlink r:id="rId9">
              <w:r w:rsidRPr="00700E13">
                <w:rPr>
                  <w:color w:val="1155CC"/>
                  <w:sz w:val="18"/>
                  <w:szCs w:val="18"/>
                  <w:highlight w:val="white"/>
                  <w:u w:val="single"/>
                  <w:lang w:val="en-AU"/>
                </w:rPr>
                <w:t>Another Mass Fish Kill in Tas Aquaculture - Tasmanian Times</w:t>
              </w:r>
            </w:hyperlink>
          </w:p>
          <w:p w14:paraId="4F0DA8DB" w14:textId="77777777" w:rsidR="00CE070F" w:rsidRPr="00700E13" w:rsidRDefault="00CE070F">
            <w:pPr>
              <w:rPr>
                <w:sz w:val="18"/>
                <w:szCs w:val="18"/>
                <w:lang w:val="en-AU"/>
              </w:rPr>
            </w:pPr>
            <w:hyperlink r:id="rId10">
              <w:r w:rsidRPr="00700E13">
                <w:rPr>
                  <w:color w:val="1155CC"/>
                  <w:sz w:val="18"/>
                  <w:szCs w:val="18"/>
                  <w:highlight w:val="white"/>
                  <w:u w:val="single"/>
                  <w:lang w:val="en-AU"/>
                </w:rPr>
                <w:t>Warm water blamed for Petuna salmon die-off</w:t>
              </w:r>
            </w:hyperlink>
          </w:p>
        </w:tc>
        <w:tc>
          <w:tcPr>
            <w:tcW w:w="1125" w:type="dxa"/>
            <w:tcMar>
              <w:top w:w="100" w:type="dxa"/>
              <w:left w:w="100" w:type="dxa"/>
              <w:bottom w:w="100" w:type="dxa"/>
              <w:right w:w="100" w:type="dxa"/>
            </w:tcMar>
          </w:tcPr>
          <w:p w14:paraId="5A13ADDA" w14:textId="77777777" w:rsidR="00CE070F" w:rsidRDefault="00000000">
            <w:pPr>
              <w:rPr>
                <w:sz w:val="18"/>
                <w:szCs w:val="18"/>
              </w:rPr>
            </w:pPr>
            <w:r>
              <w:rPr>
                <w:sz w:val="18"/>
                <w:szCs w:val="18"/>
              </w:rPr>
              <w:t>09/02/2022</w:t>
            </w:r>
          </w:p>
        </w:tc>
      </w:tr>
      <w:tr w:rsidR="00CE070F" w14:paraId="61683A88" w14:textId="77777777" w:rsidTr="00700E13">
        <w:tc>
          <w:tcPr>
            <w:tcW w:w="1277" w:type="dxa"/>
            <w:tcMar>
              <w:top w:w="100" w:type="dxa"/>
              <w:left w:w="100" w:type="dxa"/>
              <w:bottom w:w="100" w:type="dxa"/>
              <w:right w:w="100" w:type="dxa"/>
            </w:tcMar>
          </w:tcPr>
          <w:p w14:paraId="117E1A0E" w14:textId="77777777" w:rsidR="00CE070F" w:rsidRDefault="00000000">
            <w:pPr>
              <w:widowControl w:val="0"/>
              <w:spacing w:line="240" w:lineRule="auto"/>
              <w:rPr>
                <w:sz w:val="18"/>
                <w:szCs w:val="18"/>
              </w:rPr>
            </w:pPr>
            <w:r>
              <w:rPr>
                <w:sz w:val="18"/>
                <w:szCs w:val="18"/>
              </w:rPr>
              <w:t>Okehampton Bay, near Triabunna.</w:t>
            </w:r>
          </w:p>
        </w:tc>
        <w:tc>
          <w:tcPr>
            <w:tcW w:w="1701" w:type="dxa"/>
            <w:tcMar>
              <w:top w:w="100" w:type="dxa"/>
              <w:left w:w="100" w:type="dxa"/>
              <w:bottom w:w="100" w:type="dxa"/>
              <w:right w:w="100" w:type="dxa"/>
            </w:tcMar>
          </w:tcPr>
          <w:p w14:paraId="2DBA3D97" w14:textId="77777777" w:rsidR="00CE070F" w:rsidRDefault="00CE070F">
            <w:pPr>
              <w:widowControl w:val="0"/>
              <w:spacing w:line="240" w:lineRule="auto"/>
              <w:rPr>
                <w:sz w:val="18"/>
                <w:szCs w:val="18"/>
              </w:rPr>
            </w:pPr>
          </w:p>
          <w:p w14:paraId="5CD98DAA" w14:textId="77777777" w:rsidR="00CE070F" w:rsidRDefault="00000000">
            <w:pPr>
              <w:rPr>
                <w:sz w:val="18"/>
                <w:szCs w:val="18"/>
              </w:rPr>
            </w:pPr>
            <w:r>
              <w:rPr>
                <w:sz w:val="18"/>
                <w:szCs w:val="18"/>
              </w:rPr>
              <w:t>december 13th 2023</w:t>
            </w:r>
          </w:p>
        </w:tc>
        <w:tc>
          <w:tcPr>
            <w:tcW w:w="2126" w:type="dxa"/>
            <w:tcMar>
              <w:top w:w="100" w:type="dxa"/>
              <w:left w:w="100" w:type="dxa"/>
              <w:bottom w:w="100" w:type="dxa"/>
              <w:right w:w="100" w:type="dxa"/>
            </w:tcMar>
          </w:tcPr>
          <w:p w14:paraId="211C9B5C" w14:textId="77777777" w:rsidR="00CE070F" w:rsidRPr="00700E13" w:rsidRDefault="00000000">
            <w:pPr>
              <w:rPr>
                <w:sz w:val="18"/>
                <w:szCs w:val="18"/>
                <w:lang w:val="en-AU"/>
              </w:rPr>
            </w:pPr>
            <w:r w:rsidRPr="00700E13">
              <w:rPr>
                <w:sz w:val="18"/>
                <w:szCs w:val="18"/>
                <w:lang w:val="en-AU"/>
              </w:rPr>
              <w:t xml:space="preserve">Salmon death in Tassal’s farm </w:t>
            </w:r>
          </w:p>
        </w:tc>
        <w:tc>
          <w:tcPr>
            <w:tcW w:w="3567" w:type="dxa"/>
            <w:tcMar>
              <w:top w:w="100" w:type="dxa"/>
              <w:left w:w="100" w:type="dxa"/>
              <w:bottom w:w="100" w:type="dxa"/>
              <w:right w:w="100" w:type="dxa"/>
            </w:tcMar>
          </w:tcPr>
          <w:p w14:paraId="6180E1C6" w14:textId="77777777" w:rsidR="00CE070F" w:rsidRPr="00700E13" w:rsidRDefault="00CE070F">
            <w:pPr>
              <w:widowControl w:val="0"/>
              <w:spacing w:line="240" w:lineRule="auto"/>
              <w:rPr>
                <w:sz w:val="18"/>
                <w:szCs w:val="18"/>
                <w:lang w:val="en-AU"/>
              </w:rPr>
            </w:pPr>
            <w:hyperlink r:id="rId11">
              <w:r w:rsidRPr="00700E13">
                <w:rPr>
                  <w:color w:val="1155CC"/>
                  <w:sz w:val="18"/>
                  <w:szCs w:val="18"/>
                  <w:u w:val="single"/>
                  <w:lang w:val="en-AU"/>
                </w:rPr>
                <w:t>Bob Brown Foundation claims thousands of salmon have died in Tassal pens due to marine heatwave - ABC News</w:t>
              </w:r>
            </w:hyperlink>
          </w:p>
        </w:tc>
        <w:tc>
          <w:tcPr>
            <w:tcW w:w="1125" w:type="dxa"/>
            <w:tcMar>
              <w:top w:w="100" w:type="dxa"/>
              <w:left w:w="100" w:type="dxa"/>
              <w:bottom w:w="100" w:type="dxa"/>
              <w:right w:w="100" w:type="dxa"/>
            </w:tcMar>
          </w:tcPr>
          <w:p w14:paraId="28626277" w14:textId="77777777" w:rsidR="00CE070F" w:rsidRDefault="00000000">
            <w:pPr>
              <w:rPr>
                <w:sz w:val="18"/>
                <w:szCs w:val="18"/>
              </w:rPr>
            </w:pPr>
            <w:r>
              <w:rPr>
                <w:sz w:val="18"/>
                <w:szCs w:val="18"/>
              </w:rPr>
              <w:t>15/12/2023</w:t>
            </w:r>
          </w:p>
        </w:tc>
      </w:tr>
      <w:tr w:rsidR="00CE070F" w14:paraId="764D7D50" w14:textId="77777777" w:rsidTr="00700E13">
        <w:tc>
          <w:tcPr>
            <w:tcW w:w="1277" w:type="dxa"/>
            <w:tcMar>
              <w:top w:w="100" w:type="dxa"/>
              <w:left w:w="100" w:type="dxa"/>
              <w:bottom w:w="100" w:type="dxa"/>
              <w:right w:w="100" w:type="dxa"/>
            </w:tcMar>
          </w:tcPr>
          <w:p w14:paraId="769A624C" w14:textId="77777777" w:rsidR="00CE070F" w:rsidRDefault="00000000">
            <w:pPr>
              <w:widowControl w:val="0"/>
              <w:spacing w:line="240" w:lineRule="auto"/>
              <w:rPr>
                <w:sz w:val="18"/>
                <w:szCs w:val="18"/>
              </w:rPr>
            </w:pPr>
            <w:r>
              <w:rPr>
                <w:sz w:val="18"/>
                <w:szCs w:val="18"/>
              </w:rPr>
              <w:t>Okehampton Bay, near Triabunna.</w:t>
            </w:r>
          </w:p>
        </w:tc>
        <w:tc>
          <w:tcPr>
            <w:tcW w:w="1701" w:type="dxa"/>
            <w:tcMar>
              <w:top w:w="100" w:type="dxa"/>
              <w:left w:w="100" w:type="dxa"/>
              <w:bottom w:w="100" w:type="dxa"/>
              <w:right w:w="100" w:type="dxa"/>
            </w:tcMar>
          </w:tcPr>
          <w:p w14:paraId="1BB9F738" w14:textId="77777777" w:rsidR="00CE070F" w:rsidRDefault="00000000">
            <w:pPr>
              <w:widowControl w:val="0"/>
              <w:spacing w:line="240" w:lineRule="auto"/>
              <w:rPr>
                <w:sz w:val="18"/>
                <w:szCs w:val="18"/>
              </w:rPr>
            </w:pPr>
            <w:r>
              <w:rPr>
                <w:sz w:val="18"/>
                <w:szCs w:val="18"/>
              </w:rPr>
              <w:t>28 November 2022</w:t>
            </w:r>
          </w:p>
        </w:tc>
        <w:tc>
          <w:tcPr>
            <w:tcW w:w="2126" w:type="dxa"/>
            <w:tcMar>
              <w:top w:w="100" w:type="dxa"/>
              <w:left w:w="100" w:type="dxa"/>
              <w:bottom w:w="100" w:type="dxa"/>
              <w:right w:w="100" w:type="dxa"/>
            </w:tcMar>
          </w:tcPr>
          <w:p w14:paraId="484DF1B1" w14:textId="77777777" w:rsidR="00CE070F" w:rsidRPr="00700E13" w:rsidRDefault="00000000">
            <w:pPr>
              <w:rPr>
                <w:sz w:val="18"/>
                <w:szCs w:val="18"/>
                <w:lang w:val="en-AU"/>
              </w:rPr>
            </w:pPr>
            <w:r w:rsidRPr="00700E13">
              <w:rPr>
                <w:sz w:val="18"/>
                <w:szCs w:val="18"/>
                <w:lang w:val="en-AU"/>
              </w:rPr>
              <w:t xml:space="preserve">Salmon death in Tassal’s farm </w:t>
            </w:r>
          </w:p>
        </w:tc>
        <w:tc>
          <w:tcPr>
            <w:tcW w:w="3567" w:type="dxa"/>
            <w:tcMar>
              <w:top w:w="100" w:type="dxa"/>
              <w:left w:w="100" w:type="dxa"/>
              <w:bottom w:w="100" w:type="dxa"/>
              <w:right w:w="100" w:type="dxa"/>
            </w:tcMar>
          </w:tcPr>
          <w:p w14:paraId="713DDEAD" w14:textId="77777777" w:rsidR="00CE070F" w:rsidRPr="00700E13" w:rsidRDefault="00CE070F">
            <w:pPr>
              <w:widowControl w:val="0"/>
              <w:spacing w:line="240" w:lineRule="auto"/>
              <w:rPr>
                <w:sz w:val="18"/>
                <w:szCs w:val="18"/>
                <w:lang w:val="en-AU"/>
              </w:rPr>
            </w:pPr>
            <w:hyperlink r:id="rId12">
              <w:r w:rsidRPr="00700E13">
                <w:rPr>
                  <w:color w:val="1155CC"/>
                  <w:sz w:val="18"/>
                  <w:szCs w:val="18"/>
                  <w:u w:val="single"/>
                  <w:lang w:val="en-AU"/>
                </w:rPr>
                <w:t>Bob Brown Foundation claims thousands of salmon have died in Tassal pens due to marine heatwave - ABC News</w:t>
              </w:r>
            </w:hyperlink>
          </w:p>
        </w:tc>
        <w:tc>
          <w:tcPr>
            <w:tcW w:w="1125" w:type="dxa"/>
            <w:tcMar>
              <w:top w:w="100" w:type="dxa"/>
              <w:left w:w="100" w:type="dxa"/>
              <w:bottom w:w="100" w:type="dxa"/>
              <w:right w:w="100" w:type="dxa"/>
            </w:tcMar>
          </w:tcPr>
          <w:p w14:paraId="6D9488B5" w14:textId="77777777" w:rsidR="00CE070F" w:rsidRDefault="00000000">
            <w:pPr>
              <w:rPr>
                <w:sz w:val="18"/>
                <w:szCs w:val="18"/>
              </w:rPr>
            </w:pPr>
            <w:r>
              <w:rPr>
                <w:sz w:val="18"/>
                <w:szCs w:val="18"/>
              </w:rPr>
              <w:t>15/12/2023</w:t>
            </w:r>
          </w:p>
        </w:tc>
      </w:tr>
      <w:tr w:rsidR="00CE070F" w14:paraId="7D12B7FA" w14:textId="77777777" w:rsidTr="00700E13">
        <w:tc>
          <w:tcPr>
            <w:tcW w:w="1277" w:type="dxa"/>
            <w:tcMar>
              <w:top w:w="100" w:type="dxa"/>
              <w:left w:w="100" w:type="dxa"/>
              <w:bottom w:w="100" w:type="dxa"/>
              <w:right w:w="100" w:type="dxa"/>
            </w:tcMar>
          </w:tcPr>
          <w:p w14:paraId="15CD661E" w14:textId="77777777" w:rsidR="00CE070F" w:rsidRDefault="00000000">
            <w:pPr>
              <w:shd w:val="clear" w:color="auto" w:fill="FFFFFF"/>
              <w:spacing w:before="360" w:after="360"/>
              <w:rPr>
                <w:sz w:val="18"/>
                <w:szCs w:val="18"/>
              </w:rPr>
            </w:pPr>
            <w:r>
              <w:rPr>
                <w:sz w:val="18"/>
                <w:szCs w:val="18"/>
              </w:rPr>
              <w:t>Macquarie harbor</w:t>
            </w:r>
          </w:p>
        </w:tc>
        <w:tc>
          <w:tcPr>
            <w:tcW w:w="1701" w:type="dxa"/>
            <w:tcMar>
              <w:top w:w="100" w:type="dxa"/>
              <w:left w:w="100" w:type="dxa"/>
              <w:bottom w:w="100" w:type="dxa"/>
              <w:right w:w="100" w:type="dxa"/>
            </w:tcMar>
          </w:tcPr>
          <w:p w14:paraId="03D350B6" w14:textId="77777777" w:rsidR="00CE070F" w:rsidRDefault="00000000">
            <w:pPr>
              <w:shd w:val="clear" w:color="auto" w:fill="FFFFFF"/>
              <w:spacing w:before="360" w:after="360" w:line="240" w:lineRule="auto"/>
              <w:rPr>
                <w:sz w:val="18"/>
                <w:szCs w:val="18"/>
              </w:rPr>
            </w:pPr>
            <w:r>
              <w:rPr>
                <w:sz w:val="18"/>
                <w:szCs w:val="18"/>
              </w:rPr>
              <w:t xml:space="preserve">September (2023) to March (2024). </w:t>
            </w:r>
          </w:p>
          <w:p w14:paraId="5CCC185A" w14:textId="77777777" w:rsidR="00CE070F" w:rsidRDefault="00CE070F">
            <w:pPr>
              <w:shd w:val="clear" w:color="auto" w:fill="FFFFFF"/>
              <w:spacing w:before="360" w:after="360" w:line="240" w:lineRule="auto"/>
              <w:rPr>
                <w:sz w:val="18"/>
                <w:szCs w:val="18"/>
              </w:rPr>
            </w:pPr>
          </w:p>
          <w:p w14:paraId="1CCF246A" w14:textId="77777777" w:rsidR="00CE070F" w:rsidRDefault="00CE070F">
            <w:pPr>
              <w:shd w:val="clear" w:color="auto" w:fill="FFFFFF"/>
              <w:spacing w:before="360" w:after="360" w:line="240" w:lineRule="auto"/>
              <w:rPr>
                <w:sz w:val="18"/>
                <w:szCs w:val="18"/>
              </w:rPr>
            </w:pPr>
          </w:p>
        </w:tc>
        <w:tc>
          <w:tcPr>
            <w:tcW w:w="2126" w:type="dxa"/>
            <w:tcMar>
              <w:top w:w="100" w:type="dxa"/>
              <w:left w:w="100" w:type="dxa"/>
              <w:bottom w:w="100" w:type="dxa"/>
              <w:right w:w="100" w:type="dxa"/>
            </w:tcMar>
          </w:tcPr>
          <w:p w14:paraId="0BAA7156" w14:textId="2ADF6DB6" w:rsidR="00CE070F" w:rsidRPr="00700E13" w:rsidRDefault="00000000" w:rsidP="00700E13">
            <w:pPr>
              <w:shd w:val="clear" w:color="auto" w:fill="FFFFFF"/>
              <w:spacing w:before="360" w:line="240" w:lineRule="auto"/>
              <w:rPr>
                <w:sz w:val="18"/>
                <w:szCs w:val="18"/>
                <w:lang w:val="en-AU"/>
              </w:rPr>
            </w:pPr>
            <w:r w:rsidRPr="00700E13">
              <w:rPr>
                <w:sz w:val="18"/>
                <w:szCs w:val="18"/>
                <w:lang w:val="en-AU"/>
              </w:rPr>
              <w:t xml:space="preserve">1,149 tonnes of salmon died /Month          | Mortality (kg) </w:t>
            </w:r>
            <w:r w:rsidR="00700E13">
              <w:rPr>
                <w:sz w:val="18"/>
                <w:szCs w:val="18"/>
                <w:lang w:val="en-AU"/>
              </w:rPr>
              <w:t>(</w:t>
            </w:r>
            <w:r w:rsidRPr="00700E13">
              <w:rPr>
                <w:sz w:val="18"/>
                <w:szCs w:val="18"/>
                <w:lang w:val="en-AU"/>
              </w:rPr>
              <w:t>September 2023 | 75,443</w:t>
            </w:r>
            <w:r w:rsidR="00700E13">
              <w:rPr>
                <w:sz w:val="18"/>
                <w:szCs w:val="18"/>
                <w:lang w:val="en-AU"/>
              </w:rPr>
              <w:t xml:space="preserve"> </w:t>
            </w:r>
            <w:r w:rsidRPr="00700E13">
              <w:rPr>
                <w:sz w:val="18"/>
                <w:szCs w:val="18"/>
                <w:lang w:val="en-AU"/>
              </w:rPr>
              <w:t>October 2023   | 107,126</w:t>
            </w:r>
            <w:r w:rsidR="00700E13">
              <w:rPr>
                <w:sz w:val="18"/>
                <w:szCs w:val="18"/>
                <w:lang w:val="en-AU"/>
              </w:rPr>
              <w:t xml:space="preserve"> </w:t>
            </w:r>
            <w:r w:rsidRPr="00700E13">
              <w:rPr>
                <w:sz w:val="18"/>
                <w:szCs w:val="18"/>
                <w:lang w:val="en-AU"/>
              </w:rPr>
              <w:t>November 2023  | 118,134</w:t>
            </w:r>
            <w:r w:rsidR="00700E13">
              <w:rPr>
                <w:sz w:val="18"/>
                <w:szCs w:val="18"/>
                <w:lang w:val="en-AU"/>
              </w:rPr>
              <w:t xml:space="preserve">  </w:t>
            </w:r>
            <w:r w:rsidRPr="00700E13">
              <w:rPr>
                <w:sz w:val="18"/>
                <w:szCs w:val="18"/>
                <w:lang w:val="en-AU"/>
              </w:rPr>
              <w:t>December 2023  | 265,740</w:t>
            </w:r>
            <w:r w:rsidR="00700E13">
              <w:rPr>
                <w:sz w:val="18"/>
                <w:szCs w:val="18"/>
                <w:lang w:val="en-AU"/>
              </w:rPr>
              <w:t xml:space="preserve"> </w:t>
            </w:r>
            <w:r w:rsidRPr="00700E13">
              <w:rPr>
                <w:sz w:val="18"/>
                <w:szCs w:val="18"/>
                <w:lang w:val="en-AU"/>
              </w:rPr>
              <w:t>January 2024   | 313,895</w:t>
            </w:r>
            <w:r w:rsidR="00700E13">
              <w:rPr>
                <w:sz w:val="18"/>
                <w:szCs w:val="18"/>
                <w:lang w:val="en-AU"/>
              </w:rPr>
              <w:t xml:space="preserve"> </w:t>
            </w:r>
            <w:r w:rsidRPr="00700E13">
              <w:rPr>
                <w:sz w:val="18"/>
                <w:szCs w:val="18"/>
                <w:lang w:val="en-AU"/>
              </w:rPr>
              <w:t xml:space="preserve">February </w:t>
            </w:r>
            <w:r w:rsidRPr="00700E13">
              <w:rPr>
                <w:sz w:val="18"/>
                <w:szCs w:val="18"/>
                <w:lang w:val="en-AU"/>
              </w:rPr>
              <w:lastRenderedPageBreak/>
              <w:t>2024  | 172,064</w:t>
            </w:r>
            <w:r w:rsidR="00700E13" w:rsidRPr="00700E13">
              <w:rPr>
                <w:sz w:val="18"/>
                <w:szCs w:val="18"/>
                <w:lang w:val="en-AU"/>
              </w:rPr>
              <w:t xml:space="preserve"> </w:t>
            </w:r>
            <w:r w:rsidRPr="00700E13">
              <w:rPr>
                <w:sz w:val="18"/>
                <w:szCs w:val="18"/>
                <w:lang w:val="en-AU"/>
              </w:rPr>
              <w:t>March 2024     | 97,393</w:t>
            </w:r>
          </w:p>
        </w:tc>
        <w:tc>
          <w:tcPr>
            <w:tcW w:w="3567" w:type="dxa"/>
            <w:tcMar>
              <w:top w:w="100" w:type="dxa"/>
              <w:left w:w="100" w:type="dxa"/>
              <w:bottom w:w="100" w:type="dxa"/>
              <w:right w:w="100" w:type="dxa"/>
            </w:tcMar>
          </w:tcPr>
          <w:p w14:paraId="24CAA0DF" w14:textId="77777777" w:rsidR="00CE070F" w:rsidRPr="00700E13" w:rsidRDefault="00CE070F">
            <w:pPr>
              <w:widowControl w:val="0"/>
              <w:spacing w:line="240" w:lineRule="auto"/>
              <w:rPr>
                <w:sz w:val="18"/>
                <w:szCs w:val="18"/>
                <w:lang w:val="en-AU"/>
              </w:rPr>
            </w:pPr>
            <w:hyperlink r:id="rId13">
              <w:r w:rsidRPr="00700E13">
                <w:rPr>
                  <w:color w:val="1155CC"/>
                  <w:sz w:val="18"/>
                  <w:szCs w:val="18"/>
                  <w:u w:val="single"/>
                  <w:lang w:val="en-AU"/>
                </w:rPr>
                <w:t>Big Stink Over Mass Salmon Mortality - Tasmanian Times</w:t>
              </w:r>
            </w:hyperlink>
          </w:p>
          <w:p w14:paraId="0C8A606F" w14:textId="77777777" w:rsidR="00CE070F" w:rsidRPr="00700E13" w:rsidRDefault="00CE070F">
            <w:pPr>
              <w:widowControl w:val="0"/>
              <w:spacing w:line="240" w:lineRule="auto"/>
              <w:rPr>
                <w:sz w:val="18"/>
                <w:szCs w:val="18"/>
                <w:lang w:val="en-AU"/>
              </w:rPr>
            </w:pPr>
          </w:p>
          <w:p w14:paraId="33A23880" w14:textId="77777777" w:rsidR="00CE070F" w:rsidRPr="00700E13" w:rsidRDefault="00CE070F">
            <w:pPr>
              <w:rPr>
                <w:sz w:val="18"/>
                <w:szCs w:val="18"/>
                <w:lang w:val="en-AU"/>
              </w:rPr>
            </w:pPr>
            <w:hyperlink r:id="rId14">
              <w:r w:rsidRPr="00700E13">
                <w:rPr>
                  <w:color w:val="1155CC"/>
                  <w:sz w:val="18"/>
                  <w:szCs w:val="18"/>
                  <w:u w:val="single"/>
                  <w:lang w:val="en-AU"/>
                </w:rPr>
                <w:t>1,150 tonnes of dead salmon removed from Macquarie Harbour in six months - Pulse Tasmania</w:t>
              </w:r>
            </w:hyperlink>
          </w:p>
          <w:p w14:paraId="715E467C" w14:textId="77777777" w:rsidR="00CE070F" w:rsidRPr="00700E13" w:rsidRDefault="00CE070F">
            <w:pPr>
              <w:widowControl w:val="0"/>
              <w:spacing w:line="240" w:lineRule="auto"/>
              <w:rPr>
                <w:sz w:val="18"/>
                <w:szCs w:val="18"/>
                <w:lang w:val="en-AU"/>
              </w:rPr>
            </w:pPr>
          </w:p>
        </w:tc>
        <w:tc>
          <w:tcPr>
            <w:tcW w:w="1125" w:type="dxa"/>
            <w:tcMar>
              <w:top w:w="100" w:type="dxa"/>
              <w:left w:w="100" w:type="dxa"/>
              <w:bottom w:w="100" w:type="dxa"/>
              <w:right w:w="100" w:type="dxa"/>
            </w:tcMar>
          </w:tcPr>
          <w:p w14:paraId="48C307E5" w14:textId="77777777" w:rsidR="00CE070F" w:rsidRDefault="00000000">
            <w:pPr>
              <w:widowControl w:val="0"/>
              <w:spacing w:line="240" w:lineRule="auto"/>
              <w:rPr>
                <w:sz w:val="18"/>
                <w:szCs w:val="18"/>
              </w:rPr>
            </w:pPr>
            <w:r>
              <w:rPr>
                <w:sz w:val="18"/>
                <w:szCs w:val="18"/>
              </w:rPr>
              <w:t>24/10/2024</w:t>
            </w:r>
          </w:p>
        </w:tc>
      </w:tr>
      <w:tr w:rsidR="00CE070F" w14:paraId="4E3D2410" w14:textId="77777777" w:rsidTr="00700E13">
        <w:trPr>
          <w:trHeight w:val="1101"/>
        </w:trPr>
        <w:tc>
          <w:tcPr>
            <w:tcW w:w="1277" w:type="dxa"/>
            <w:tcMar>
              <w:top w:w="100" w:type="dxa"/>
              <w:left w:w="100" w:type="dxa"/>
              <w:bottom w:w="100" w:type="dxa"/>
              <w:right w:w="100" w:type="dxa"/>
            </w:tcMar>
          </w:tcPr>
          <w:p w14:paraId="5228DF37" w14:textId="77777777" w:rsidR="00CE070F" w:rsidRDefault="00000000">
            <w:pPr>
              <w:shd w:val="clear" w:color="auto" w:fill="FFFFFF"/>
              <w:spacing w:before="360" w:after="360"/>
              <w:rPr>
                <w:sz w:val="18"/>
                <w:szCs w:val="18"/>
              </w:rPr>
            </w:pPr>
            <w:r>
              <w:rPr>
                <w:sz w:val="18"/>
                <w:szCs w:val="18"/>
              </w:rPr>
              <w:t>Macquarie harbor</w:t>
            </w:r>
          </w:p>
        </w:tc>
        <w:tc>
          <w:tcPr>
            <w:tcW w:w="1701" w:type="dxa"/>
            <w:tcMar>
              <w:top w:w="100" w:type="dxa"/>
              <w:left w:w="100" w:type="dxa"/>
              <w:bottom w:w="100" w:type="dxa"/>
              <w:right w:w="100" w:type="dxa"/>
            </w:tcMar>
          </w:tcPr>
          <w:p w14:paraId="05082251" w14:textId="77777777" w:rsidR="00CE070F" w:rsidRDefault="00000000">
            <w:pPr>
              <w:shd w:val="clear" w:color="auto" w:fill="FFFFFF"/>
              <w:spacing w:before="360" w:after="360"/>
              <w:rPr>
                <w:sz w:val="18"/>
                <w:szCs w:val="18"/>
              </w:rPr>
            </w:pPr>
            <w:r>
              <w:rPr>
                <w:sz w:val="18"/>
                <w:szCs w:val="18"/>
              </w:rPr>
              <w:t>January 2024</w:t>
            </w:r>
          </w:p>
        </w:tc>
        <w:tc>
          <w:tcPr>
            <w:tcW w:w="2126" w:type="dxa"/>
            <w:tcMar>
              <w:top w:w="100" w:type="dxa"/>
              <w:left w:w="100" w:type="dxa"/>
              <w:bottom w:w="100" w:type="dxa"/>
              <w:right w:w="100" w:type="dxa"/>
            </w:tcMar>
          </w:tcPr>
          <w:p w14:paraId="752E02D2" w14:textId="1CAD2163" w:rsidR="00CE070F" w:rsidRDefault="00000000" w:rsidP="00700E13">
            <w:pPr>
              <w:shd w:val="clear" w:color="auto" w:fill="FFFFFF"/>
              <w:spacing w:before="360" w:after="360"/>
              <w:rPr>
                <w:sz w:val="18"/>
                <w:szCs w:val="18"/>
              </w:rPr>
            </w:pPr>
            <w:r>
              <w:rPr>
                <w:sz w:val="18"/>
                <w:szCs w:val="18"/>
              </w:rPr>
              <w:t xml:space="preserve">313 tonnes of salmon died </w:t>
            </w:r>
          </w:p>
        </w:tc>
        <w:tc>
          <w:tcPr>
            <w:tcW w:w="3567" w:type="dxa"/>
            <w:tcMar>
              <w:top w:w="100" w:type="dxa"/>
              <w:left w:w="100" w:type="dxa"/>
              <w:bottom w:w="100" w:type="dxa"/>
              <w:right w:w="100" w:type="dxa"/>
            </w:tcMar>
          </w:tcPr>
          <w:p w14:paraId="012F25FC" w14:textId="77777777" w:rsidR="00CE070F" w:rsidRPr="00700E13" w:rsidRDefault="00CE070F">
            <w:pPr>
              <w:widowControl w:val="0"/>
              <w:spacing w:line="240" w:lineRule="auto"/>
              <w:rPr>
                <w:sz w:val="18"/>
                <w:szCs w:val="18"/>
                <w:lang w:val="en-AU"/>
              </w:rPr>
            </w:pPr>
            <w:hyperlink r:id="rId15">
              <w:r w:rsidRPr="00700E13">
                <w:rPr>
                  <w:color w:val="1155CC"/>
                  <w:sz w:val="18"/>
                  <w:szCs w:val="18"/>
                  <w:u w:val="single"/>
                  <w:lang w:val="en-AU"/>
                </w:rPr>
                <w:t>About one in 10 farmed salmon in Macquarie Harbour died over a seven-month period, documents show - ABC News</w:t>
              </w:r>
            </w:hyperlink>
          </w:p>
        </w:tc>
        <w:tc>
          <w:tcPr>
            <w:tcW w:w="1125" w:type="dxa"/>
            <w:tcMar>
              <w:top w:w="100" w:type="dxa"/>
              <w:left w:w="100" w:type="dxa"/>
              <w:bottom w:w="100" w:type="dxa"/>
              <w:right w:w="100" w:type="dxa"/>
            </w:tcMar>
          </w:tcPr>
          <w:p w14:paraId="08D0D30C" w14:textId="77777777" w:rsidR="00CE070F" w:rsidRDefault="00000000">
            <w:pPr>
              <w:widowControl w:val="0"/>
              <w:spacing w:line="240" w:lineRule="auto"/>
              <w:rPr>
                <w:sz w:val="18"/>
                <w:szCs w:val="18"/>
              </w:rPr>
            </w:pPr>
            <w:r>
              <w:rPr>
                <w:sz w:val="18"/>
                <w:szCs w:val="18"/>
              </w:rPr>
              <w:t>24/10/2024</w:t>
            </w:r>
          </w:p>
        </w:tc>
      </w:tr>
    </w:tbl>
    <w:p w14:paraId="1A9D61B4" w14:textId="77777777" w:rsidR="00CE070F" w:rsidRDefault="00CE070F">
      <w:pPr>
        <w:ind w:firstLine="720"/>
        <w:jc w:val="both"/>
        <w:rPr>
          <w:highlight w:val="yellow"/>
        </w:rPr>
      </w:pPr>
    </w:p>
    <w:p w14:paraId="22B9F721" w14:textId="77777777" w:rsidR="00CE070F" w:rsidRDefault="00CE070F">
      <w:pPr>
        <w:jc w:val="both"/>
        <w:rPr>
          <w:highlight w:val="yellow"/>
        </w:rPr>
      </w:pPr>
    </w:p>
    <w:p w14:paraId="534A846E" w14:textId="77777777" w:rsidR="00CE070F" w:rsidRPr="00700E13" w:rsidRDefault="00000000">
      <w:pPr>
        <w:spacing w:after="200"/>
        <w:jc w:val="both"/>
        <w:rPr>
          <w:lang w:val="en-AU"/>
        </w:rPr>
      </w:pPr>
      <w:r w:rsidRPr="00700E13">
        <w:rPr>
          <w:b/>
          <w:bCs/>
          <w:lang w:val="en-AU"/>
        </w:rPr>
        <w:t xml:space="preserve">Table S2. </w:t>
      </w:r>
      <w:r w:rsidRPr="00700E13">
        <w:rPr>
          <w:lang w:val="en-AU"/>
        </w:rPr>
        <w:t xml:space="preserve">Adaptation trigger onset for suitable climate analogues — the decade in which the available area falls below the current Tasmanian finfish lease size (25.88 km²), reported under unconstrained (climate-only) and constrained (climate plus spatial restrictions) framings, by SSP scenario and marine jurisdiction. </w:t>
      </w:r>
    </w:p>
    <w:tbl>
      <w:tblPr>
        <w:tblStyle w:val="a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24"/>
        <w:gridCol w:w="1246"/>
        <w:gridCol w:w="1413"/>
        <w:gridCol w:w="1269"/>
        <w:gridCol w:w="1291"/>
        <w:gridCol w:w="1413"/>
        <w:gridCol w:w="1269"/>
      </w:tblGrid>
      <w:tr w:rsidR="00CE070F" w14:paraId="6CD3A1D6" w14:textId="77777777" w:rsidTr="00D90761">
        <w:trPr>
          <w:trHeight w:val="405"/>
        </w:trPr>
        <w:tc>
          <w:tcPr>
            <w:tcW w:w="1124" w:type="dxa"/>
            <w:vMerge w:val="restart"/>
            <w:tcBorders>
              <w:top w:val="single" w:sz="8" w:space="0" w:color="000000"/>
              <w:left w:val="single" w:sz="8" w:space="0" w:color="000000"/>
              <w:bottom w:val="single" w:sz="8" w:space="0" w:color="000000"/>
              <w:right w:val="single" w:sz="8" w:space="0" w:color="000000"/>
            </w:tcBorders>
            <w:shd w:val="clear" w:color="auto" w:fill="D9E2F3"/>
            <w:tcMar>
              <w:top w:w="80" w:type="dxa"/>
              <w:left w:w="100" w:type="dxa"/>
              <w:bottom w:w="80" w:type="dxa"/>
              <w:right w:w="100" w:type="dxa"/>
            </w:tcMar>
          </w:tcPr>
          <w:p w14:paraId="6CC748D3" w14:textId="77777777" w:rsidR="00CE070F" w:rsidRDefault="00000000">
            <w:pPr>
              <w:jc w:val="center"/>
              <w:rPr>
                <w:b/>
                <w:bCs/>
                <w:sz w:val="20"/>
                <w:szCs w:val="20"/>
              </w:rPr>
            </w:pPr>
            <w:r>
              <w:rPr>
                <w:b/>
                <w:bCs/>
                <w:sz w:val="20"/>
                <w:szCs w:val="20"/>
              </w:rPr>
              <w:t>SSP</w:t>
            </w:r>
          </w:p>
        </w:tc>
        <w:tc>
          <w:tcPr>
            <w:tcW w:w="3928" w:type="dxa"/>
            <w:gridSpan w:val="3"/>
            <w:tcBorders>
              <w:top w:val="single" w:sz="8" w:space="0" w:color="000000"/>
              <w:left w:val="nil"/>
              <w:bottom w:val="single" w:sz="8" w:space="0" w:color="000000"/>
              <w:right w:val="single" w:sz="8" w:space="0" w:color="000000"/>
            </w:tcBorders>
            <w:shd w:val="clear" w:color="auto" w:fill="D9E2F3"/>
            <w:tcMar>
              <w:top w:w="80" w:type="dxa"/>
              <w:left w:w="100" w:type="dxa"/>
              <w:bottom w:w="80" w:type="dxa"/>
              <w:right w:w="100" w:type="dxa"/>
            </w:tcMar>
          </w:tcPr>
          <w:p w14:paraId="3441B0D4" w14:textId="77777777" w:rsidR="00CE070F" w:rsidRDefault="00000000">
            <w:pPr>
              <w:jc w:val="center"/>
              <w:rPr>
                <w:b/>
                <w:bCs/>
                <w:sz w:val="20"/>
                <w:szCs w:val="20"/>
              </w:rPr>
            </w:pPr>
            <w:r>
              <w:rPr>
                <w:b/>
                <w:bCs/>
                <w:sz w:val="20"/>
                <w:szCs w:val="20"/>
              </w:rPr>
              <w:t>Unconstrained</w:t>
            </w:r>
          </w:p>
        </w:tc>
        <w:tc>
          <w:tcPr>
            <w:tcW w:w="3973" w:type="dxa"/>
            <w:gridSpan w:val="3"/>
            <w:tcBorders>
              <w:top w:val="single" w:sz="8" w:space="0" w:color="000000"/>
              <w:left w:val="nil"/>
              <w:bottom w:val="single" w:sz="8" w:space="0" w:color="000000"/>
              <w:right w:val="single" w:sz="8" w:space="0" w:color="000000"/>
            </w:tcBorders>
            <w:shd w:val="clear" w:color="auto" w:fill="D9E2F3"/>
            <w:tcMar>
              <w:top w:w="80" w:type="dxa"/>
              <w:left w:w="100" w:type="dxa"/>
              <w:bottom w:w="80" w:type="dxa"/>
              <w:right w:w="100" w:type="dxa"/>
            </w:tcMar>
          </w:tcPr>
          <w:p w14:paraId="57297753" w14:textId="77777777" w:rsidR="00CE070F" w:rsidRDefault="00000000">
            <w:pPr>
              <w:jc w:val="center"/>
              <w:rPr>
                <w:b/>
                <w:bCs/>
                <w:sz w:val="20"/>
                <w:szCs w:val="20"/>
              </w:rPr>
            </w:pPr>
            <w:r>
              <w:rPr>
                <w:b/>
                <w:bCs/>
                <w:sz w:val="20"/>
                <w:szCs w:val="20"/>
              </w:rPr>
              <w:t>Constrained</w:t>
            </w:r>
          </w:p>
        </w:tc>
      </w:tr>
      <w:tr w:rsidR="00CE070F" w14:paraId="01A1BF3A" w14:textId="77777777" w:rsidTr="00D90761">
        <w:trPr>
          <w:trHeight w:val="405"/>
        </w:trPr>
        <w:tc>
          <w:tcPr>
            <w:tcW w:w="112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48429" w14:textId="77777777" w:rsidR="00CE070F" w:rsidRDefault="00CE070F">
            <w:pPr>
              <w:ind w:firstLine="720"/>
              <w:jc w:val="both"/>
            </w:pPr>
          </w:p>
        </w:tc>
        <w:tc>
          <w:tcPr>
            <w:tcW w:w="1246" w:type="dxa"/>
            <w:tcBorders>
              <w:top w:val="nil"/>
              <w:left w:val="nil"/>
              <w:bottom w:val="single" w:sz="8" w:space="0" w:color="000000"/>
              <w:right w:val="single" w:sz="8" w:space="0" w:color="000000"/>
            </w:tcBorders>
            <w:shd w:val="clear" w:color="auto" w:fill="EAEFF7"/>
            <w:tcMar>
              <w:top w:w="80" w:type="dxa"/>
              <w:left w:w="100" w:type="dxa"/>
              <w:bottom w:w="80" w:type="dxa"/>
              <w:right w:w="100" w:type="dxa"/>
            </w:tcMar>
          </w:tcPr>
          <w:p w14:paraId="787EBE48" w14:textId="77777777" w:rsidR="00CE070F" w:rsidRDefault="00000000">
            <w:pPr>
              <w:jc w:val="center"/>
              <w:rPr>
                <w:b/>
                <w:bCs/>
                <w:sz w:val="20"/>
                <w:szCs w:val="20"/>
              </w:rPr>
            </w:pPr>
            <w:r>
              <w:rPr>
                <w:b/>
                <w:bCs/>
                <w:sz w:val="20"/>
                <w:szCs w:val="20"/>
              </w:rPr>
              <w:t>State Waters</w:t>
            </w:r>
          </w:p>
        </w:tc>
        <w:tc>
          <w:tcPr>
            <w:tcW w:w="1413" w:type="dxa"/>
            <w:tcBorders>
              <w:top w:val="nil"/>
              <w:left w:val="nil"/>
              <w:bottom w:val="single" w:sz="8" w:space="0" w:color="000000"/>
              <w:right w:val="single" w:sz="8" w:space="0" w:color="000000"/>
            </w:tcBorders>
            <w:shd w:val="clear" w:color="auto" w:fill="EAEFF7"/>
            <w:tcMar>
              <w:top w:w="80" w:type="dxa"/>
              <w:left w:w="100" w:type="dxa"/>
              <w:bottom w:w="80" w:type="dxa"/>
              <w:right w:w="100" w:type="dxa"/>
            </w:tcMar>
          </w:tcPr>
          <w:p w14:paraId="3156C280" w14:textId="77777777" w:rsidR="00CE070F" w:rsidRDefault="00000000">
            <w:pPr>
              <w:jc w:val="center"/>
              <w:rPr>
                <w:b/>
                <w:bCs/>
                <w:sz w:val="20"/>
                <w:szCs w:val="20"/>
              </w:rPr>
            </w:pPr>
            <w:r>
              <w:rPr>
                <w:b/>
                <w:bCs/>
                <w:sz w:val="20"/>
                <w:szCs w:val="20"/>
              </w:rPr>
              <w:t>Commonwealth</w:t>
            </w:r>
          </w:p>
        </w:tc>
        <w:tc>
          <w:tcPr>
            <w:tcW w:w="1269" w:type="dxa"/>
            <w:tcBorders>
              <w:top w:val="nil"/>
              <w:left w:val="nil"/>
              <w:bottom w:val="single" w:sz="8" w:space="0" w:color="000000"/>
              <w:right w:val="single" w:sz="8" w:space="0" w:color="000000"/>
            </w:tcBorders>
            <w:shd w:val="clear" w:color="auto" w:fill="EAEFF7"/>
            <w:tcMar>
              <w:top w:w="80" w:type="dxa"/>
              <w:left w:w="100" w:type="dxa"/>
              <w:bottom w:w="80" w:type="dxa"/>
              <w:right w:w="100" w:type="dxa"/>
            </w:tcMar>
          </w:tcPr>
          <w:p w14:paraId="6870632B" w14:textId="77777777" w:rsidR="00CE070F" w:rsidRDefault="00000000">
            <w:pPr>
              <w:jc w:val="center"/>
              <w:rPr>
                <w:b/>
                <w:bCs/>
                <w:sz w:val="20"/>
                <w:szCs w:val="20"/>
              </w:rPr>
            </w:pPr>
            <w:r>
              <w:rPr>
                <w:b/>
                <w:bCs/>
                <w:sz w:val="20"/>
                <w:szCs w:val="20"/>
              </w:rPr>
              <w:t>High Seas</w:t>
            </w:r>
          </w:p>
        </w:tc>
        <w:tc>
          <w:tcPr>
            <w:tcW w:w="1291" w:type="dxa"/>
            <w:tcBorders>
              <w:top w:val="nil"/>
              <w:left w:val="nil"/>
              <w:bottom w:val="single" w:sz="8" w:space="0" w:color="000000"/>
              <w:right w:val="single" w:sz="8" w:space="0" w:color="000000"/>
            </w:tcBorders>
            <w:shd w:val="clear" w:color="auto" w:fill="EAEFF7"/>
            <w:tcMar>
              <w:top w:w="80" w:type="dxa"/>
              <w:left w:w="100" w:type="dxa"/>
              <w:bottom w:w="80" w:type="dxa"/>
              <w:right w:w="100" w:type="dxa"/>
            </w:tcMar>
          </w:tcPr>
          <w:p w14:paraId="3A994B14" w14:textId="77777777" w:rsidR="00CE070F" w:rsidRDefault="00000000">
            <w:pPr>
              <w:jc w:val="center"/>
              <w:rPr>
                <w:b/>
                <w:bCs/>
                <w:sz w:val="20"/>
                <w:szCs w:val="20"/>
              </w:rPr>
            </w:pPr>
            <w:r>
              <w:rPr>
                <w:b/>
                <w:bCs/>
                <w:sz w:val="20"/>
                <w:szCs w:val="20"/>
              </w:rPr>
              <w:t>State Waters</w:t>
            </w:r>
          </w:p>
        </w:tc>
        <w:tc>
          <w:tcPr>
            <w:tcW w:w="1413" w:type="dxa"/>
            <w:tcBorders>
              <w:top w:val="nil"/>
              <w:left w:val="nil"/>
              <w:bottom w:val="single" w:sz="8" w:space="0" w:color="000000"/>
              <w:right w:val="single" w:sz="8" w:space="0" w:color="000000"/>
            </w:tcBorders>
            <w:shd w:val="clear" w:color="auto" w:fill="EAEFF7"/>
            <w:tcMar>
              <w:top w:w="80" w:type="dxa"/>
              <w:left w:w="100" w:type="dxa"/>
              <w:bottom w:w="80" w:type="dxa"/>
              <w:right w:w="100" w:type="dxa"/>
            </w:tcMar>
          </w:tcPr>
          <w:p w14:paraId="25E20BAB" w14:textId="77777777" w:rsidR="00CE070F" w:rsidRDefault="00000000">
            <w:pPr>
              <w:jc w:val="center"/>
              <w:rPr>
                <w:b/>
                <w:bCs/>
                <w:sz w:val="20"/>
                <w:szCs w:val="20"/>
              </w:rPr>
            </w:pPr>
            <w:r>
              <w:rPr>
                <w:b/>
                <w:bCs/>
                <w:sz w:val="20"/>
                <w:szCs w:val="20"/>
              </w:rPr>
              <w:t>Commonwealth</w:t>
            </w:r>
          </w:p>
        </w:tc>
        <w:tc>
          <w:tcPr>
            <w:tcW w:w="1269" w:type="dxa"/>
            <w:tcBorders>
              <w:top w:val="nil"/>
              <w:left w:val="nil"/>
              <w:bottom w:val="single" w:sz="8" w:space="0" w:color="000000"/>
              <w:right w:val="single" w:sz="8" w:space="0" w:color="000000"/>
            </w:tcBorders>
            <w:shd w:val="clear" w:color="auto" w:fill="EAEFF7"/>
            <w:tcMar>
              <w:top w:w="80" w:type="dxa"/>
              <w:left w:w="100" w:type="dxa"/>
              <w:bottom w:w="80" w:type="dxa"/>
              <w:right w:w="100" w:type="dxa"/>
            </w:tcMar>
          </w:tcPr>
          <w:p w14:paraId="6BE66AF2" w14:textId="77777777" w:rsidR="00CE070F" w:rsidRDefault="00000000">
            <w:pPr>
              <w:jc w:val="center"/>
              <w:rPr>
                <w:b/>
                <w:bCs/>
                <w:sz w:val="20"/>
                <w:szCs w:val="20"/>
              </w:rPr>
            </w:pPr>
            <w:r>
              <w:rPr>
                <w:b/>
                <w:bCs/>
                <w:sz w:val="20"/>
                <w:szCs w:val="20"/>
              </w:rPr>
              <w:t>High Seas</w:t>
            </w:r>
          </w:p>
        </w:tc>
      </w:tr>
      <w:tr w:rsidR="00CE070F" w14:paraId="6CAE4EA3" w14:textId="77777777" w:rsidTr="00D90761">
        <w:trPr>
          <w:trHeight w:val="405"/>
        </w:trPr>
        <w:tc>
          <w:tcPr>
            <w:tcW w:w="1124" w:type="dxa"/>
            <w:tcBorders>
              <w:top w:val="nil"/>
              <w:left w:val="single" w:sz="8" w:space="0" w:color="000000"/>
              <w:bottom w:val="single" w:sz="8" w:space="0" w:color="000000"/>
              <w:right w:val="single" w:sz="8" w:space="0" w:color="000000"/>
            </w:tcBorders>
            <w:tcMar>
              <w:top w:w="80" w:type="dxa"/>
              <w:left w:w="100" w:type="dxa"/>
              <w:bottom w:w="80" w:type="dxa"/>
              <w:right w:w="100" w:type="dxa"/>
            </w:tcMar>
          </w:tcPr>
          <w:p w14:paraId="3531CA8B" w14:textId="2EB4A3D0" w:rsidR="00CE070F" w:rsidRDefault="00000000">
            <w:pPr>
              <w:jc w:val="both"/>
              <w:rPr>
                <w:b/>
                <w:bCs/>
                <w:sz w:val="20"/>
                <w:szCs w:val="20"/>
              </w:rPr>
            </w:pPr>
            <w:r>
              <w:rPr>
                <w:b/>
                <w:bCs/>
                <w:sz w:val="20"/>
                <w:szCs w:val="20"/>
              </w:rPr>
              <w:t>SSP</w:t>
            </w:r>
            <w:r w:rsidR="00D90761">
              <w:rPr>
                <w:b/>
                <w:bCs/>
                <w:sz w:val="20"/>
                <w:szCs w:val="20"/>
              </w:rPr>
              <w:t xml:space="preserve"> </w:t>
            </w:r>
            <w:r>
              <w:rPr>
                <w:b/>
                <w:bCs/>
                <w:sz w:val="20"/>
                <w:szCs w:val="20"/>
              </w:rPr>
              <w:t>1-1.9</w:t>
            </w:r>
          </w:p>
        </w:tc>
        <w:tc>
          <w:tcPr>
            <w:tcW w:w="1246" w:type="dxa"/>
            <w:tcBorders>
              <w:top w:val="nil"/>
              <w:left w:val="nil"/>
              <w:bottom w:val="single" w:sz="8" w:space="0" w:color="000000"/>
              <w:right w:val="single" w:sz="8" w:space="0" w:color="000000"/>
            </w:tcBorders>
            <w:tcMar>
              <w:top w:w="80" w:type="dxa"/>
              <w:left w:w="100" w:type="dxa"/>
              <w:bottom w:w="80" w:type="dxa"/>
              <w:right w:w="100" w:type="dxa"/>
            </w:tcMar>
          </w:tcPr>
          <w:p w14:paraId="5234125C" w14:textId="77777777" w:rsidR="00CE070F" w:rsidRDefault="00000000">
            <w:pPr>
              <w:jc w:val="center"/>
              <w:rPr>
                <w:sz w:val="20"/>
                <w:szCs w:val="20"/>
              </w:rPr>
            </w:pPr>
            <w:r>
              <w:rPr>
                <w:sz w:val="20"/>
                <w:szCs w:val="20"/>
              </w:rPr>
              <w:t>Never</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32B12CED"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521545A1" w14:textId="77777777" w:rsidR="00CE070F" w:rsidRDefault="00000000">
            <w:pPr>
              <w:jc w:val="center"/>
              <w:rPr>
                <w:sz w:val="20"/>
                <w:szCs w:val="20"/>
              </w:rPr>
            </w:pPr>
            <w:r>
              <w:rPr>
                <w:sz w:val="20"/>
                <w:szCs w:val="20"/>
              </w:rPr>
              <w:t>Never</w:t>
            </w:r>
          </w:p>
        </w:tc>
        <w:tc>
          <w:tcPr>
            <w:tcW w:w="1291" w:type="dxa"/>
            <w:tcBorders>
              <w:top w:val="nil"/>
              <w:left w:val="nil"/>
              <w:bottom w:val="single" w:sz="8" w:space="0" w:color="000000"/>
              <w:right w:val="single" w:sz="8" w:space="0" w:color="000000"/>
            </w:tcBorders>
            <w:tcMar>
              <w:top w:w="80" w:type="dxa"/>
              <w:left w:w="100" w:type="dxa"/>
              <w:bottom w:w="80" w:type="dxa"/>
              <w:right w:w="100" w:type="dxa"/>
            </w:tcMar>
          </w:tcPr>
          <w:p w14:paraId="151D20E9" w14:textId="77777777" w:rsidR="00CE070F" w:rsidRDefault="00000000">
            <w:pPr>
              <w:jc w:val="center"/>
              <w:rPr>
                <w:sz w:val="20"/>
                <w:szCs w:val="20"/>
              </w:rPr>
            </w:pPr>
            <w:r>
              <w:rPr>
                <w:sz w:val="20"/>
                <w:szCs w:val="20"/>
              </w:rPr>
              <w:t>Never</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198441F2"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01E29658" w14:textId="77777777" w:rsidR="00CE070F" w:rsidRDefault="00000000">
            <w:pPr>
              <w:jc w:val="center"/>
              <w:rPr>
                <w:sz w:val="20"/>
                <w:szCs w:val="20"/>
              </w:rPr>
            </w:pPr>
            <w:r>
              <w:rPr>
                <w:sz w:val="20"/>
                <w:szCs w:val="20"/>
              </w:rPr>
              <w:t>Never</w:t>
            </w:r>
          </w:p>
        </w:tc>
      </w:tr>
      <w:tr w:rsidR="00CE070F" w14:paraId="17C3A031" w14:textId="77777777" w:rsidTr="00D90761">
        <w:trPr>
          <w:trHeight w:val="405"/>
        </w:trPr>
        <w:tc>
          <w:tcPr>
            <w:tcW w:w="1124" w:type="dxa"/>
            <w:tcBorders>
              <w:top w:val="nil"/>
              <w:left w:val="single" w:sz="8" w:space="0" w:color="000000"/>
              <w:bottom w:val="single" w:sz="8" w:space="0" w:color="000000"/>
              <w:right w:val="single" w:sz="8" w:space="0" w:color="000000"/>
            </w:tcBorders>
            <w:tcMar>
              <w:top w:w="80" w:type="dxa"/>
              <w:left w:w="100" w:type="dxa"/>
              <w:bottom w:w="80" w:type="dxa"/>
              <w:right w:w="100" w:type="dxa"/>
            </w:tcMar>
          </w:tcPr>
          <w:p w14:paraId="760BA48C" w14:textId="77777777" w:rsidR="00CE070F" w:rsidRDefault="00000000">
            <w:pPr>
              <w:jc w:val="both"/>
              <w:rPr>
                <w:b/>
                <w:bCs/>
                <w:sz w:val="20"/>
                <w:szCs w:val="20"/>
              </w:rPr>
            </w:pPr>
            <w:r>
              <w:rPr>
                <w:b/>
                <w:bCs/>
                <w:sz w:val="20"/>
                <w:szCs w:val="20"/>
              </w:rPr>
              <w:t>SSP 1-2.6</w:t>
            </w:r>
          </w:p>
        </w:tc>
        <w:tc>
          <w:tcPr>
            <w:tcW w:w="1246" w:type="dxa"/>
            <w:tcBorders>
              <w:top w:val="nil"/>
              <w:left w:val="nil"/>
              <w:bottom w:val="single" w:sz="8" w:space="0" w:color="000000"/>
              <w:right w:val="single" w:sz="8" w:space="0" w:color="000000"/>
            </w:tcBorders>
            <w:tcMar>
              <w:top w:w="80" w:type="dxa"/>
              <w:left w:w="100" w:type="dxa"/>
              <w:bottom w:w="80" w:type="dxa"/>
              <w:right w:w="100" w:type="dxa"/>
            </w:tcMar>
          </w:tcPr>
          <w:p w14:paraId="37B47DD4" w14:textId="77777777" w:rsidR="00CE070F" w:rsidRDefault="00000000">
            <w:pPr>
              <w:jc w:val="center"/>
              <w:rPr>
                <w:sz w:val="20"/>
                <w:szCs w:val="20"/>
              </w:rPr>
            </w:pPr>
            <w:r>
              <w:rPr>
                <w:sz w:val="20"/>
                <w:szCs w:val="20"/>
              </w:rPr>
              <w:t>Never</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224C084E"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59E76D74" w14:textId="77777777" w:rsidR="00CE070F" w:rsidRDefault="00000000">
            <w:pPr>
              <w:jc w:val="center"/>
              <w:rPr>
                <w:sz w:val="20"/>
                <w:szCs w:val="20"/>
              </w:rPr>
            </w:pPr>
            <w:r>
              <w:rPr>
                <w:sz w:val="20"/>
                <w:szCs w:val="20"/>
              </w:rPr>
              <w:t>Never</w:t>
            </w:r>
          </w:p>
        </w:tc>
        <w:tc>
          <w:tcPr>
            <w:tcW w:w="1291" w:type="dxa"/>
            <w:tcBorders>
              <w:top w:val="nil"/>
              <w:left w:val="nil"/>
              <w:bottom w:val="single" w:sz="8" w:space="0" w:color="000000"/>
              <w:right w:val="single" w:sz="8" w:space="0" w:color="000000"/>
            </w:tcBorders>
            <w:tcMar>
              <w:top w:w="80" w:type="dxa"/>
              <w:left w:w="100" w:type="dxa"/>
              <w:bottom w:w="80" w:type="dxa"/>
              <w:right w:w="100" w:type="dxa"/>
            </w:tcMar>
          </w:tcPr>
          <w:p w14:paraId="1E5EE22B" w14:textId="77777777" w:rsidR="00CE070F" w:rsidRDefault="00000000">
            <w:pPr>
              <w:jc w:val="center"/>
              <w:rPr>
                <w:sz w:val="20"/>
                <w:szCs w:val="20"/>
              </w:rPr>
            </w:pPr>
            <w:r>
              <w:rPr>
                <w:sz w:val="20"/>
                <w:szCs w:val="20"/>
              </w:rPr>
              <w:t>2031–2040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39175C18"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5034E1B4" w14:textId="77777777" w:rsidR="00CE070F" w:rsidRDefault="00000000">
            <w:pPr>
              <w:jc w:val="center"/>
              <w:rPr>
                <w:sz w:val="20"/>
                <w:szCs w:val="20"/>
              </w:rPr>
            </w:pPr>
            <w:r>
              <w:rPr>
                <w:sz w:val="20"/>
                <w:szCs w:val="20"/>
              </w:rPr>
              <w:t>Never</w:t>
            </w:r>
          </w:p>
        </w:tc>
      </w:tr>
      <w:tr w:rsidR="00CE070F" w14:paraId="70887477" w14:textId="77777777" w:rsidTr="00D90761">
        <w:trPr>
          <w:trHeight w:val="405"/>
        </w:trPr>
        <w:tc>
          <w:tcPr>
            <w:tcW w:w="1124" w:type="dxa"/>
            <w:tcBorders>
              <w:top w:val="nil"/>
              <w:left w:val="single" w:sz="8" w:space="0" w:color="000000"/>
              <w:bottom w:val="single" w:sz="8" w:space="0" w:color="000000"/>
              <w:right w:val="single" w:sz="8" w:space="0" w:color="000000"/>
            </w:tcBorders>
            <w:tcMar>
              <w:top w:w="80" w:type="dxa"/>
              <w:left w:w="100" w:type="dxa"/>
              <w:bottom w:w="80" w:type="dxa"/>
              <w:right w:w="100" w:type="dxa"/>
            </w:tcMar>
          </w:tcPr>
          <w:p w14:paraId="46E53D8F" w14:textId="77777777" w:rsidR="00CE070F" w:rsidRDefault="00000000">
            <w:pPr>
              <w:jc w:val="both"/>
              <w:rPr>
                <w:b/>
                <w:bCs/>
                <w:sz w:val="20"/>
                <w:szCs w:val="20"/>
              </w:rPr>
            </w:pPr>
            <w:r>
              <w:rPr>
                <w:b/>
                <w:bCs/>
                <w:sz w:val="20"/>
                <w:szCs w:val="20"/>
              </w:rPr>
              <w:t>SSP 2-4.5</w:t>
            </w:r>
          </w:p>
        </w:tc>
        <w:tc>
          <w:tcPr>
            <w:tcW w:w="1246" w:type="dxa"/>
            <w:tcBorders>
              <w:top w:val="nil"/>
              <w:left w:val="nil"/>
              <w:bottom w:val="single" w:sz="8" w:space="0" w:color="000000"/>
              <w:right w:val="single" w:sz="8" w:space="0" w:color="000000"/>
            </w:tcBorders>
            <w:tcMar>
              <w:top w:w="80" w:type="dxa"/>
              <w:left w:w="100" w:type="dxa"/>
              <w:bottom w:w="80" w:type="dxa"/>
              <w:right w:w="100" w:type="dxa"/>
            </w:tcMar>
          </w:tcPr>
          <w:p w14:paraId="637774E8" w14:textId="77777777" w:rsidR="00CE070F" w:rsidRDefault="00000000">
            <w:pPr>
              <w:jc w:val="center"/>
              <w:rPr>
                <w:sz w:val="20"/>
                <w:szCs w:val="20"/>
              </w:rPr>
            </w:pPr>
            <w:r>
              <w:rPr>
                <w:sz w:val="20"/>
                <w:szCs w:val="20"/>
              </w:rPr>
              <w:t>2091–2100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78CCDFF0"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66B7FD76" w14:textId="77777777" w:rsidR="00CE070F" w:rsidRDefault="00000000">
            <w:pPr>
              <w:jc w:val="center"/>
              <w:rPr>
                <w:sz w:val="20"/>
                <w:szCs w:val="20"/>
              </w:rPr>
            </w:pPr>
            <w:r>
              <w:rPr>
                <w:sz w:val="20"/>
                <w:szCs w:val="20"/>
              </w:rPr>
              <w:t>Never</w:t>
            </w:r>
          </w:p>
        </w:tc>
        <w:tc>
          <w:tcPr>
            <w:tcW w:w="1291" w:type="dxa"/>
            <w:tcBorders>
              <w:top w:val="nil"/>
              <w:left w:val="nil"/>
              <w:bottom w:val="single" w:sz="8" w:space="0" w:color="000000"/>
              <w:right w:val="single" w:sz="8" w:space="0" w:color="000000"/>
            </w:tcBorders>
            <w:tcMar>
              <w:top w:w="80" w:type="dxa"/>
              <w:left w:w="100" w:type="dxa"/>
              <w:bottom w:w="80" w:type="dxa"/>
              <w:right w:w="100" w:type="dxa"/>
            </w:tcMar>
          </w:tcPr>
          <w:p w14:paraId="3B837AB3" w14:textId="77777777" w:rsidR="00CE070F" w:rsidRDefault="00000000">
            <w:pPr>
              <w:jc w:val="center"/>
              <w:rPr>
                <w:sz w:val="20"/>
                <w:szCs w:val="20"/>
              </w:rPr>
            </w:pPr>
            <w:r>
              <w:rPr>
                <w:sz w:val="20"/>
                <w:szCs w:val="20"/>
              </w:rPr>
              <w:t>2031–2040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3E06EEE8"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2B0817DE" w14:textId="77777777" w:rsidR="00CE070F" w:rsidRDefault="00000000">
            <w:pPr>
              <w:jc w:val="center"/>
              <w:rPr>
                <w:sz w:val="20"/>
                <w:szCs w:val="20"/>
              </w:rPr>
            </w:pPr>
            <w:r>
              <w:rPr>
                <w:sz w:val="20"/>
                <w:szCs w:val="20"/>
              </w:rPr>
              <w:t>Never</w:t>
            </w:r>
          </w:p>
        </w:tc>
      </w:tr>
      <w:tr w:rsidR="00CE070F" w14:paraId="549A3FBD" w14:textId="77777777" w:rsidTr="00D90761">
        <w:trPr>
          <w:trHeight w:val="405"/>
        </w:trPr>
        <w:tc>
          <w:tcPr>
            <w:tcW w:w="1124" w:type="dxa"/>
            <w:tcBorders>
              <w:top w:val="nil"/>
              <w:left w:val="single" w:sz="8" w:space="0" w:color="000000"/>
              <w:bottom w:val="single" w:sz="8" w:space="0" w:color="000000"/>
              <w:right w:val="single" w:sz="8" w:space="0" w:color="000000"/>
            </w:tcBorders>
            <w:tcMar>
              <w:top w:w="80" w:type="dxa"/>
              <w:left w:w="100" w:type="dxa"/>
              <w:bottom w:w="80" w:type="dxa"/>
              <w:right w:w="100" w:type="dxa"/>
            </w:tcMar>
          </w:tcPr>
          <w:p w14:paraId="3DE8EABF" w14:textId="77777777" w:rsidR="00CE070F" w:rsidRDefault="00000000">
            <w:pPr>
              <w:jc w:val="both"/>
              <w:rPr>
                <w:b/>
                <w:bCs/>
                <w:sz w:val="20"/>
                <w:szCs w:val="20"/>
              </w:rPr>
            </w:pPr>
            <w:r>
              <w:rPr>
                <w:b/>
                <w:bCs/>
                <w:sz w:val="20"/>
                <w:szCs w:val="20"/>
              </w:rPr>
              <w:t>SSP 3-7.0</w:t>
            </w:r>
          </w:p>
        </w:tc>
        <w:tc>
          <w:tcPr>
            <w:tcW w:w="1246" w:type="dxa"/>
            <w:tcBorders>
              <w:top w:val="nil"/>
              <w:left w:val="nil"/>
              <w:bottom w:val="single" w:sz="8" w:space="0" w:color="000000"/>
              <w:right w:val="single" w:sz="8" w:space="0" w:color="000000"/>
            </w:tcBorders>
            <w:tcMar>
              <w:top w:w="80" w:type="dxa"/>
              <w:left w:w="100" w:type="dxa"/>
              <w:bottom w:w="80" w:type="dxa"/>
              <w:right w:w="100" w:type="dxa"/>
            </w:tcMar>
          </w:tcPr>
          <w:p w14:paraId="2B82826C" w14:textId="77777777" w:rsidR="00CE070F" w:rsidRDefault="00000000">
            <w:pPr>
              <w:jc w:val="center"/>
              <w:rPr>
                <w:sz w:val="20"/>
                <w:szCs w:val="20"/>
              </w:rPr>
            </w:pPr>
            <w:r>
              <w:rPr>
                <w:sz w:val="20"/>
                <w:szCs w:val="20"/>
              </w:rPr>
              <w:t>2071–2080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48D22554"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40EED4EB" w14:textId="77777777" w:rsidR="00CE070F" w:rsidRDefault="00000000">
            <w:pPr>
              <w:jc w:val="center"/>
              <w:rPr>
                <w:sz w:val="20"/>
                <w:szCs w:val="20"/>
              </w:rPr>
            </w:pPr>
            <w:r>
              <w:rPr>
                <w:sz w:val="20"/>
                <w:szCs w:val="20"/>
              </w:rPr>
              <w:t>Never</w:t>
            </w:r>
          </w:p>
        </w:tc>
        <w:tc>
          <w:tcPr>
            <w:tcW w:w="1291" w:type="dxa"/>
            <w:tcBorders>
              <w:top w:val="nil"/>
              <w:left w:val="nil"/>
              <w:bottom w:val="single" w:sz="8" w:space="0" w:color="000000"/>
              <w:right w:val="single" w:sz="8" w:space="0" w:color="000000"/>
            </w:tcBorders>
            <w:tcMar>
              <w:top w:w="80" w:type="dxa"/>
              <w:left w:w="100" w:type="dxa"/>
              <w:bottom w:w="80" w:type="dxa"/>
              <w:right w:w="100" w:type="dxa"/>
            </w:tcMar>
          </w:tcPr>
          <w:p w14:paraId="256B0733" w14:textId="77777777" w:rsidR="00CE070F" w:rsidRDefault="00000000">
            <w:pPr>
              <w:jc w:val="center"/>
              <w:rPr>
                <w:sz w:val="20"/>
                <w:szCs w:val="20"/>
              </w:rPr>
            </w:pPr>
            <w:r>
              <w:rPr>
                <w:sz w:val="20"/>
                <w:szCs w:val="20"/>
              </w:rPr>
              <w:t>2041–2050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1600027A" w14:textId="77777777" w:rsidR="00CE070F" w:rsidRDefault="00000000">
            <w:pPr>
              <w:jc w:val="center"/>
              <w:rPr>
                <w:sz w:val="20"/>
                <w:szCs w:val="20"/>
              </w:rPr>
            </w:pPr>
            <w:r>
              <w:rPr>
                <w:sz w:val="20"/>
                <w:szCs w:val="20"/>
              </w:rPr>
              <w:t>2091–2100</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196BB8B9" w14:textId="77777777" w:rsidR="00CE070F" w:rsidRDefault="00000000">
            <w:pPr>
              <w:jc w:val="center"/>
              <w:rPr>
                <w:sz w:val="20"/>
                <w:szCs w:val="20"/>
              </w:rPr>
            </w:pPr>
            <w:r>
              <w:rPr>
                <w:sz w:val="20"/>
                <w:szCs w:val="20"/>
              </w:rPr>
              <w:t>Never</w:t>
            </w:r>
          </w:p>
        </w:tc>
      </w:tr>
      <w:tr w:rsidR="00CE070F" w14:paraId="1A33B008" w14:textId="77777777" w:rsidTr="00D90761">
        <w:trPr>
          <w:trHeight w:val="405"/>
        </w:trPr>
        <w:tc>
          <w:tcPr>
            <w:tcW w:w="1124" w:type="dxa"/>
            <w:tcBorders>
              <w:top w:val="nil"/>
              <w:left w:val="single" w:sz="8" w:space="0" w:color="000000"/>
              <w:bottom w:val="single" w:sz="8" w:space="0" w:color="000000"/>
              <w:right w:val="single" w:sz="8" w:space="0" w:color="000000"/>
            </w:tcBorders>
            <w:tcMar>
              <w:top w:w="80" w:type="dxa"/>
              <w:left w:w="100" w:type="dxa"/>
              <w:bottom w:w="80" w:type="dxa"/>
              <w:right w:w="100" w:type="dxa"/>
            </w:tcMar>
          </w:tcPr>
          <w:p w14:paraId="3C8C07C8" w14:textId="77777777" w:rsidR="00CE070F" w:rsidRDefault="00000000">
            <w:pPr>
              <w:jc w:val="both"/>
              <w:rPr>
                <w:b/>
                <w:bCs/>
                <w:sz w:val="20"/>
                <w:szCs w:val="20"/>
              </w:rPr>
            </w:pPr>
            <w:r>
              <w:rPr>
                <w:b/>
                <w:bCs/>
                <w:sz w:val="20"/>
                <w:szCs w:val="20"/>
              </w:rPr>
              <w:t>SSP 5-8.5</w:t>
            </w:r>
          </w:p>
        </w:tc>
        <w:tc>
          <w:tcPr>
            <w:tcW w:w="1246" w:type="dxa"/>
            <w:tcBorders>
              <w:top w:val="nil"/>
              <w:left w:val="nil"/>
              <w:bottom w:val="single" w:sz="8" w:space="0" w:color="000000"/>
              <w:right w:val="single" w:sz="8" w:space="0" w:color="000000"/>
            </w:tcBorders>
            <w:tcMar>
              <w:top w:w="80" w:type="dxa"/>
              <w:left w:w="100" w:type="dxa"/>
              <w:bottom w:w="80" w:type="dxa"/>
              <w:right w:w="100" w:type="dxa"/>
            </w:tcMar>
          </w:tcPr>
          <w:p w14:paraId="6313607E" w14:textId="77777777" w:rsidR="00CE070F" w:rsidRDefault="00000000">
            <w:pPr>
              <w:jc w:val="center"/>
              <w:rPr>
                <w:sz w:val="20"/>
                <w:szCs w:val="20"/>
              </w:rPr>
            </w:pPr>
            <w:r>
              <w:rPr>
                <w:sz w:val="20"/>
                <w:szCs w:val="20"/>
              </w:rPr>
              <w:t>2061–2070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79699DA2"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63D14437" w14:textId="77777777" w:rsidR="00CE070F" w:rsidRDefault="00000000">
            <w:pPr>
              <w:jc w:val="center"/>
              <w:rPr>
                <w:sz w:val="20"/>
                <w:szCs w:val="20"/>
              </w:rPr>
            </w:pPr>
            <w:r>
              <w:rPr>
                <w:sz w:val="20"/>
                <w:szCs w:val="20"/>
              </w:rPr>
              <w:t>Never</w:t>
            </w:r>
          </w:p>
        </w:tc>
        <w:tc>
          <w:tcPr>
            <w:tcW w:w="1291" w:type="dxa"/>
            <w:tcBorders>
              <w:top w:val="nil"/>
              <w:left w:val="nil"/>
              <w:bottom w:val="single" w:sz="8" w:space="0" w:color="000000"/>
              <w:right w:val="single" w:sz="8" w:space="0" w:color="000000"/>
            </w:tcBorders>
            <w:tcMar>
              <w:top w:w="80" w:type="dxa"/>
              <w:left w:w="100" w:type="dxa"/>
              <w:bottom w:w="80" w:type="dxa"/>
              <w:right w:w="100" w:type="dxa"/>
            </w:tcMar>
          </w:tcPr>
          <w:p w14:paraId="6E32CF44" w14:textId="77777777" w:rsidR="00CE070F" w:rsidRDefault="00000000">
            <w:pPr>
              <w:jc w:val="center"/>
              <w:rPr>
                <w:sz w:val="20"/>
                <w:szCs w:val="20"/>
              </w:rPr>
            </w:pPr>
            <w:r>
              <w:rPr>
                <w:sz w:val="20"/>
                <w:szCs w:val="20"/>
              </w:rPr>
              <w:t>2031–2040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2E464303" w14:textId="77777777" w:rsidR="00CE070F" w:rsidRDefault="00000000">
            <w:pPr>
              <w:jc w:val="center"/>
              <w:rPr>
                <w:sz w:val="20"/>
                <w:szCs w:val="20"/>
              </w:rPr>
            </w:pPr>
            <w:r>
              <w:rPr>
                <w:sz w:val="20"/>
                <w:szCs w:val="20"/>
              </w:rPr>
              <w:t>2081–2090</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5885A5BA" w14:textId="77777777" w:rsidR="00CE070F" w:rsidRDefault="00000000">
            <w:pPr>
              <w:jc w:val="center"/>
              <w:rPr>
                <w:sz w:val="20"/>
                <w:szCs w:val="20"/>
              </w:rPr>
            </w:pPr>
            <w:r>
              <w:rPr>
                <w:sz w:val="20"/>
                <w:szCs w:val="20"/>
              </w:rPr>
              <w:t>Never</w:t>
            </w:r>
          </w:p>
        </w:tc>
      </w:tr>
    </w:tbl>
    <w:p w14:paraId="4BF4E61E" w14:textId="77777777" w:rsidR="00CE070F" w:rsidRDefault="00000000">
      <w:pPr>
        <w:spacing w:before="200" w:after="600"/>
        <w:jc w:val="both"/>
        <w:rPr>
          <w:sz w:val="20"/>
          <w:szCs w:val="20"/>
          <w:lang w:val="en-AU"/>
        </w:rPr>
      </w:pPr>
      <w:r w:rsidRPr="00700E13">
        <w:rPr>
          <w:i/>
          <w:iCs/>
          <w:sz w:val="20"/>
          <w:szCs w:val="20"/>
          <w:lang w:val="en-AU"/>
        </w:rPr>
        <w:t xml:space="preserve">Note. </w:t>
      </w:r>
      <w:r w:rsidRPr="00700E13">
        <w:rPr>
          <w:sz w:val="20"/>
          <w:szCs w:val="20"/>
          <w:lang w:val="en-AU"/>
        </w:rPr>
        <w:t>Triggers reported as the first decade in which the relevant high-confidence analogue area falls below 25.88 km². Under the unconstrained framing, the high-confidence area within a jurisdiction is compared directly to 25.88 km². Under the constrained framing, the net available area (high-confidence area minus the constraint footprint) is compared to 25.88 km². "Never" indicates the trigger is not reached within the 21st century (2021–2100).</w:t>
      </w:r>
    </w:p>
    <w:p w14:paraId="2CAF64B1" w14:textId="77777777" w:rsidR="00D90761" w:rsidRDefault="00D90761">
      <w:pPr>
        <w:spacing w:before="200" w:after="600"/>
        <w:jc w:val="both"/>
        <w:rPr>
          <w:sz w:val="20"/>
          <w:szCs w:val="20"/>
          <w:lang w:val="en-AU"/>
        </w:rPr>
      </w:pPr>
    </w:p>
    <w:p w14:paraId="7F7FEDDF" w14:textId="77777777" w:rsidR="00D90761" w:rsidRDefault="00D90761">
      <w:pPr>
        <w:spacing w:before="200" w:after="600"/>
        <w:jc w:val="both"/>
        <w:rPr>
          <w:sz w:val="20"/>
          <w:szCs w:val="20"/>
          <w:lang w:val="en-AU"/>
        </w:rPr>
      </w:pPr>
    </w:p>
    <w:p w14:paraId="3C8942F8" w14:textId="77777777" w:rsidR="00D90761" w:rsidRDefault="00D90761">
      <w:pPr>
        <w:spacing w:before="200" w:after="600"/>
        <w:jc w:val="both"/>
        <w:rPr>
          <w:sz w:val="20"/>
          <w:szCs w:val="20"/>
          <w:lang w:val="en-AU"/>
        </w:rPr>
      </w:pPr>
    </w:p>
    <w:p w14:paraId="05AE1B98" w14:textId="77777777" w:rsidR="00D90761" w:rsidRDefault="00D90761">
      <w:pPr>
        <w:spacing w:before="200" w:after="600"/>
        <w:jc w:val="both"/>
        <w:rPr>
          <w:sz w:val="20"/>
          <w:szCs w:val="20"/>
          <w:lang w:val="en-AU"/>
        </w:rPr>
      </w:pPr>
    </w:p>
    <w:p w14:paraId="0D2CE41E" w14:textId="77777777" w:rsidR="00CE070F" w:rsidRPr="00700E13" w:rsidRDefault="00000000">
      <w:pPr>
        <w:spacing w:before="200" w:after="600"/>
        <w:jc w:val="both"/>
        <w:rPr>
          <w:lang w:val="en-AU"/>
        </w:rPr>
      </w:pPr>
      <w:r w:rsidRPr="00700E13">
        <w:rPr>
          <w:b/>
          <w:bCs/>
          <w:lang w:val="en-AU"/>
        </w:rPr>
        <w:lastRenderedPageBreak/>
        <w:t xml:space="preserve">Table S3. </w:t>
      </w:r>
      <w:r w:rsidRPr="00700E13">
        <w:rPr>
          <w:lang w:val="en-AU"/>
        </w:rPr>
        <w:t xml:space="preserve">Adaptation trigger onset for optimal climate analogues — the decade in which the available area falls below the current Tasmanian finfish lease size (25.88 km²), reported under unconstrained (climate-only) and constrained (climate plus spatial restrictions) framings, by SSP scenario and marine jurisdiction. </w:t>
      </w:r>
    </w:p>
    <w:tbl>
      <w:tblPr>
        <w:tblStyle w:val="a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24"/>
        <w:gridCol w:w="1246"/>
        <w:gridCol w:w="1413"/>
        <w:gridCol w:w="1269"/>
        <w:gridCol w:w="1291"/>
        <w:gridCol w:w="1413"/>
        <w:gridCol w:w="1269"/>
      </w:tblGrid>
      <w:tr w:rsidR="00CE070F" w14:paraId="78F54815" w14:textId="77777777" w:rsidTr="00D90761">
        <w:trPr>
          <w:trHeight w:val="405"/>
        </w:trPr>
        <w:tc>
          <w:tcPr>
            <w:tcW w:w="1124" w:type="dxa"/>
            <w:vMerge w:val="restart"/>
            <w:tcBorders>
              <w:top w:val="single" w:sz="8" w:space="0" w:color="000000"/>
              <w:left w:val="single" w:sz="8" w:space="0" w:color="000000"/>
              <w:bottom w:val="single" w:sz="8" w:space="0" w:color="000000"/>
              <w:right w:val="single" w:sz="8" w:space="0" w:color="000000"/>
            </w:tcBorders>
            <w:shd w:val="clear" w:color="auto" w:fill="D9E2F3"/>
            <w:tcMar>
              <w:top w:w="80" w:type="dxa"/>
              <w:left w:w="100" w:type="dxa"/>
              <w:bottom w:w="80" w:type="dxa"/>
              <w:right w:w="100" w:type="dxa"/>
            </w:tcMar>
          </w:tcPr>
          <w:p w14:paraId="0E3816DD" w14:textId="77777777" w:rsidR="00CE070F" w:rsidRDefault="00000000">
            <w:pPr>
              <w:jc w:val="center"/>
              <w:rPr>
                <w:b/>
                <w:bCs/>
                <w:sz w:val="20"/>
                <w:szCs w:val="20"/>
              </w:rPr>
            </w:pPr>
            <w:r>
              <w:rPr>
                <w:b/>
                <w:bCs/>
                <w:sz w:val="20"/>
                <w:szCs w:val="20"/>
              </w:rPr>
              <w:t>SSP</w:t>
            </w:r>
          </w:p>
        </w:tc>
        <w:tc>
          <w:tcPr>
            <w:tcW w:w="3928" w:type="dxa"/>
            <w:gridSpan w:val="3"/>
            <w:tcBorders>
              <w:top w:val="single" w:sz="8" w:space="0" w:color="000000"/>
              <w:left w:val="nil"/>
              <w:bottom w:val="single" w:sz="8" w:space="0" w:color="000000"/>
              <w:right w:val="single" w:sz="8" w:space="0" w:color="000000"/>
            </w:tcBorders>
            <w:shd w:val="clear" w:color="auto" w:fill="D9E2F3"/>
            <w:tcMar>
              <w:top w:w="80" w:type="dxa"/>
              <w:left w:w="100" w:type="dxa"/>
              <w:bottom w:w="80" w:type="dxa"/>
              <w:right w:w="100" w:type="dxa"/>
            </w:tcMar>
          </w:tcPr>
          <w:p w14:paraId="18D1C619" w14:textId="77777777" w:rsidR="00CE070F" w:rsidRDefault="00000000">
            <w:pPr>
              <w:jc w:val="center"/>
              <w:rPr>
                <w:b/>
                <w:bCs/>
                <w:sz w:val="20"/>
                <w:szCs w:val="20"/>
              </w:rPr>
            </w:pPr>
            <w:r>
              <w:rPr>
                <w:b/>
                <w:bCs/>
                <w:sz w:val="20"/>
                <w:szCs w:val="20"/>
              </w:rPr>
              <w:t>Unconstrained</w:t>
            </w:r>
          </w:p>
        </w:tc>
        <w:tc>
          <w:tcPr>
            <w:tcW w:w="3973" w:type="dxa"/>
            <w:gridSpan w:val="3"/>
            <w:tcBorders>
              <w:top w:val="single" w:sz="8" w:space="0" w:color="000000"/>
              <w:left w:val="nil"/>
              <w:bottom w:val="single" w:sz="8" w:space="0" w:color="000000"/>
              <w:right w:val="single" w:sz="8" w:space="0" w:color="000000"/>
            </w:tcBorders>
            <w:shd w:val="clear" w:color="auto" w:fill="D9E2F3"/>
            <w:tcMar>
              <w:top w:w="80" w:type="dxa"/>
              <w:left w:w="100" w:type="dxa"/>
              <w:bottom w:w="80" w:type="dxa"/>
              <w:right w:w="100" w:type="dxa"/>
            </w:tcMar>
          </w:tcPr>
          <w:p w14:paraId="42A96E32" w14:textId="77777777" w:rsidR="00CE070F" w:rsidRDefault="00000000">
            <w:pPr>
              <w:jc w:val="center"/>
              <w:rPr>
                <w:b/>
                <w:bCs/>
                <w:sz w:val="20"/>
                <w:szCs w:val="20"/>
              </w:rPr>
            </w:pPr>
            <w:r>
              <w:rPr>
                <w:b/>
                <w:bCs/>
                <w:sz w:val="20"/>
                <w:szCs w:val="20"/>
              </w:rPr>
              <w:t>Constrained</w:t>
            </w:r>
          </w:p>
        </w:tc>
      </w:tr>
      <w:tr w:rsidR="00CE070F" w14:paraId="764AC415" w14:textId="77777777" w:rsidTr="00D90761">
        <w:trPr>
          <w:trHeight w:val="405"/>
        </w:trPr>
        <w:tc>
          <w:tcPr>
            <w:tcW w:w="112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B3840" w14:textId="77777777" w:rsidR="00CE070F" w:rsidRDefault="00CE070F">
            <w:pPr>
              <w:ind w:firstLine="720"/>
              <w:jc w:val="both"/>
            </w:pPr>
          </w:p>
        </w:tc>
        <w:tc>
          <w:tcPr>
            <w:tcW w:w="1246" w:type="dxa"/>
            <w:tcBorders>
              <w:top w:val="nil"/>
              <w:left w:val="nil"/>
              <w:bottom w:val="single" w:sz="8" w:space="0" w:color="000000"/>
              <w:right w:val="single" w:sz="8" w:space="0" w:color="000000"/>
            </w:tcBorders>
            <w:shd w:val="clear" w:color="auto" w:fill="EAEFF7"/>
            <w:tcMar>
              <w:top w:w="80" w:type="dxa"/>
              <w:left w:w="100" w:type="dxa"/>
              <w:bottom w:w="80" w:type="dxa"/>
              <w:right w:w="100" w:type="dxa"/>
            </w:tcMar>
          </w:tcPr>
          <w:p w14:paraId="1909DB60" w14:textId="77777777" w:rsidR="00CE070F" w:rsidRDefault="00000000">
            <w:pPr>
              <w:jc w:val="center"/>
              <w:rPr>
                <w:b/>
                <w:bCs/>
                <w:sz w:val="20"/>
                <w:szCs w:val="20"/>
              </w:rPr>
            </w:pPr>
            <w:r>
              <w:rPr>
                <w:b/>
                <w:bCs/>
                <w:sz w:val="20"/>
                <w:szCs w:val="20"/>
              </w:rPr>
              <w:t>State Waters</w:t>
            </w:r>
          </w:p>
        </w:tc>
        <w:tc>
          <w:tcPr>
            <w:tcW w:w="1413" w:type="dxa"/>
            <w:tcBorders>
              <w:top w:val="nil"/>
              <w:left w:val="nil"/>
              <w:bottom w:val="single" w:sz="8" w:space="0" w:color="000000"/>
              <w:right w:val="single" w:sz="8" w:space="0" w:color="000000"/>
            </w:tcBorders>
            <w:shd w:val="clear" w:color="auto" w:fill="EAEFF7"/>
            <w:tcMar>
              <w:top w:w="80" w:type="dxa"/>
              <w:left w:w="100" w:type="dxa"/>
              <w:bottom w:w="80" w:type="dxa"/>
              <w:right w:w="100" w:type="dxa"/>
            </w:tcMar>
          </w:tcPr>
          <w:p w14:paraId="2A31A98C" w14:textId="77777777" w:rsidR="00CE070F" w:rsidRDefault="00000000">
            <w:pPr>
              <w:jc w:val="center"/>
              <w:rPr>
                <w:b/>
                <w:bCs/>
                <w:sz w:val="20"/>
                <w:szCs w:val="20"/>
              </w:rPr>
            </w:pPr>
            <w:r>
              <w:rPr>
                <w:b/>
                <w:bCs/>
                <w:sz w:val="20"/>
                <w:szCs w:val="20"/>
              </w:rPr>
              <w:t>Commonwealth</w:t>
            </w:r>
          </w:p>
        </w:tc>
        <w:tc>
          <w:tcPr>
            <w:tcW w:w="1269" w:type="dxa"/>
            <w:tcBorders>
              <w:top w:val="nil"/>
              <w:left w:val="nil"/>
              <w:bottom w:val="single" w:sz="8" w:space="0" w:color="000000"/>
              <w:right w:val="single" w:sz="8" w:space="0" w:color="000000"/>
            </w:tcBorders>
            <w:shd w:val="clear" w:color="auto" w:fill="EAEFF7"/>
            <w:tcMar>
              <w:top w:w="80" w:type="dxa"/>
              <w:left w:w="100" w:type="dxa"/>
              <w:bottom w:w="80" w:type="dxa"/>
              <w:right w:w="100" w:type="dxa"/>
            </w:tcMar>
          </w:tcPr>
          <w:p w14:paraId="4E423820" w14:textId="77777777" w:rsidR="00CE070F" w:rsidRDefault="00000000">
            <w:pPr>
              <w:jc w:val="center"/>
              <w:rPr>
                <w:b/>
                <w:bCs/>
                <w:sz w:val="20"/>
                <w:szCs w:val="20"/>
              </w:rPr>
            </w:pPr>
            <w:r>
              <w:rPr>
                <w:b/>
                <w:bCs/>
                <w:sz w:val="20"/>
                <w:szCs w:val="20"/>
              </w:rPr>
              <w:t>High Seas</w:t>
            </w:r>
          </w:p>
        </w:tc>
        <w:tc>
          <w:tcPr>
            <w:tcW w:w="1291" w:type="dxa"/>
            <w:tcBorders>
              <w:top w:val="nil"/>
              <w:left w:val="nil"/>
              <w:bottom w:val="single" w:sz="8" w:space="0" w:color="000000"/>
              <w:right w:val="single" w:sz="8" w:space="0" w:color="000000"/>
            </w:tcBorders>
            <w:shd w:val="clear" w:color="auto" w:fill="EAEFF7"/>
            <w:tcMar>
              <w:top w:w="80" w:type="dxa"/>
              <w:left w:w="100" w:type="dxa"/>
              <w:bottom w:w="80" w:type="dxa"/>
              <w:right w:w="100" w:type="dxa"/>
            </w:tcMar>
          </w:tcPr>
          <w:p w14:paraId="5D6FFC6A" w14:textId="77777777" w:rsidR="00CE070F" w:rsidRDefault="00000000">
            <w:pPr>
              <w:jc w:val="center"/>
              <w:rPr>
                <w:b/>
                <w:bCs/>
                <w:sz w:val="20"/>
                <w:szCs w:val="20"/>
              </w:rPr>
            </w:pPr>
            <w:r>
              <w:rPr>
                <w:b/>
                <w:bCs/>
                <w:sz w:val="20"/>
                <w:szCs w:val="20"/>
              </w:rPr>
              <w:t>State Waters</w:t>
            </w:r>
          </w:p>
        </w:tc>
        <w:tc>
          <w:tcPr>
            <w:tcW w:w="1413" w:type="dxa"/>
            <w:tcBorders>
              <w:top w:val="nil"/>
              <w:left w:val="nil"/>
              <w:bottom w:val="single" w:sz="8" w:space="0" w:color="000000"/>
              <w:right w:val="single" w:sz="8" w:space="0" w:color="000000"/>
            </w:tcBorders>
            <w:shd w:val="clear" w:color="auto" w:fill="EAEFF7"/>
            <w:tcMar>
              <w:top w:w="80" w:type="dxa"/>
              <w:left w:w="100" w:type="dxa"/>
              <w:bottom w:w="80" w:type="dxa"/>
              <w:right w:w="100" w:type="dxa"/>
            </w:tcMar>
          </w:tcPr>
          <w:p w14:paraId="2C3351B7" w14:textId="77777777" w:rsidR="00CE070F" w:rsidRDefault="00000000">
            <w:pPr>
              <w:jc w:val="center"/>
              <w:rPr>
                <w:b/>
                <w:bCs/>
                <w:sz w:val="20"/>
                <w:szCs w:val="20"/>
              </w:rPr>
            </w:pPr>
            <w:r>
              <w:rPr>
                <w:b/>
                <w:bCs/>
                <w:sz w:val="20"/>
                <w:szCs w:val="20"/>
              </w:rPr>
              <w:t>Commonwealth</w:t>
            </w:r>
          </w:p>
        </w:tc>
        <w:tc>
          <w:tcPr>
            <w:tcW w:w="1269" w:type="dxa"/>
            <w:tcBorders>
              <w:top w:val="nil"/>
              <w:left w:val="nil"/>
              <w:bottom w:val="single" w:sz="8" w:space="0" w:color="000000"/>
              <w:right w:val="single" w:sz="8" w:space="0" w:color="000000"/>
            </w:tcBorders>
            <w:shd w:val="clear" w:color="auto" w:fill="EAEFF7"/>
            <w:tcMar>
              <w:top w:w="80" w:type="dxa"/>
              <w:left w:w="100" w:type="dxa"/>
              <w:bottom w:w="80" w:type="dxa"/>
              <w:right w:w="100" w:type="dxa"/>
            </w:tcMar>
          </w:tcPr>
          <w:p w14:paraId="47D29FD7" w14:textId="77777777" w:rsidR="00CE070F" w:rsidRDefault="00000000">
            <w:pPr>
              <w:jc w:val="center"/>
              <w:rPr>
                <w:b/>
                <w:bCs/>
                <w:sz w:val="20"/>
                <w:szCs w:val="20"/>
              </w:rPr>
            </w:pPr>
            <w:r>
              <w:rPr>
                <w:b/>
                <w:bCs/>
                <w:sz w:val="20"/>
                <w:szCs w:val="20"/>
              </w:rPr>
              <w:t>High Seas</w:t>
            </w:r>
          </w:p>
        </w:tc>
      </w:tr>
      <w:tr w:rsidR="00CE070F" w14:paraId="5E57A843" w14:textId="77777777" w:rsidTr="00D90761">
        <w:trPr>
          <w:trHeight w:val="405"/>
        </w:trPr>
        <w:tc>
          <w:tcPr>
            <w:tcW w:w="1124" w:type="dxa"/>
            <w:tcBorders>
              <w:top w:val="nil"/>
              <w:left w:val="single" w:sz="8" w:space="0" w:color="000000"/>
              <w:bottom w:val="single" w:sz="8" w:space="0" w:color="000000"/>
              <w:right w:val="single" w:sz="8" w:space="0" w:color="000000"/>
            </w:tcBorders>
            <w:tcMar>
              <w:top w:w="80" w:type="dxa"/>
              <w:left w:w="100" w:type="dxa"/>
              <w:bottom w:w="80" w:type="dxa"/>
              <w:right w:w="100" w:type="dxa"/>
            </w:tcMar>
          </w:tcPr>
          <w:p w14:paraId="2D5156B0" w14:textId="77777777" w:rsidR="00CE070F" w:rsidRDefault="00000000">
            <w:pPr>
              <w:jc w:val="both"/>
              <w:rPr>
                <w:b/>
                <w:bCs/>
                <w:sz w:val="20"/>
                <w:szCs w:val="20"/>
              </w:rPr>
            </w:pPr>
            <w:r>
              <w:rPr>
                <w:b/>
                <w:bCs/>
                <w:sz w:val="20"/>
                <w:szCs w:val="20"/>
              </w:rPr>
              <w:t>SSP 1-1.9</w:t>
            </w:r>
          </w:p>
        </w:tc>
        <w:tc>
          <w:tcPr>
            <w:tcW w:w="1246" w:type="dxa"/>
            <w:tcBorders>
              <w:top w:val="nil"/>
              <w:left w:val="nil"/>
              <w:bottom w:val="single" w:sz="8" w:space="0" w:color="000000"/>
              <w:right w:val="single" w:sz="8" w:space="0" w:color="000000"/>
            </w:tcBorders>
            <w:tcMar>
              <w:top w:w="80" w:type="dxa"/>
              <w:left w:w="100" w:type="dxa"/>
              <w:bottom w:w="80" w:type="dxa"/>
              <w:right w:w="100" w:type="dxa"/>
            </w:tcMar>
          </w:tcPr>
          <w:p w14:paraId="2477578F" w14:textId="77777777" w:rsidR="00CE070F" w:rsidRDefault="00000000">
            <w:pPr>
              <w:jc w:val="center"/>
              <w:rPr>
                <w:sz w:val="20"/>
                <w:szCs w:val="20"/>
              </w:rPr>
            </w:pPr>
            <w:r>
              <w:rPr>
                <w:sz w:val="20"/>
                <w:szCs w:val="20"/>
              </w:rPr>
              <w:t>Never</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1166D694"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3142A623" w14:textId="77777777" w:rsidR="00CE070F" w:rsidRDefault="00000000">
            <w:pPr>
              <w:jc w:val="center"/>
              <w:rPr>
                <w:sz w:val="20"/>
                <w:szCs w:val="20"/>
              </w:rPr>
            </w:pPr>
            <w:r>
              <w:rPr>
                <w:sz w:val="20"/>
                <w:szCs w:val="20"/>
              </w:rPr>
              <w:t>Never</w:t>
            </w:r>
          </w:p>
        </w:tc>
        <w:tc>
          <w:tcPr>
            <w:tcW w:w="1291" w:type="dxa"/>
            <w:tcBorders>
              <w:top w:val="nil"/>
              <w:left w:val="nil"/>
              <w:bottom w:val="single" w:sz="8" w:space="0" w:color="000000"/>
              <w:right w:val="single" w:sz="8" w:space="0" w:color="000000"/>
            </w:tcBorders>
            <w:tcMar>
              <w:top w:w="80" w:type="dxa"/>
              <w:left w:w="100" w:type="dxa"/>
              <w:bottom w:w="80" w:type="dxa"/>
              <w:right w:w="100" w:type="dxa"/>
            </w:tcMar>
          </w:tcPr>
          <w:p w14:paraId="64EC534C" w14:textId="77777777" w:rsidR="00CE070F" w:rsidRDefault="00000000">
            <w:pPr>
              <w:jc w:val="center"/>
              <w:rPr>
                <w:sz w:val="20"/>
                <w:szCs w:val="20"/>
              </w:rPr>
            </w:pPr>
            <w:r>
              <w:rPr>
                <w:sz w:val="20"/>
                <w:szCs w:val="20"/>
              </w:rPr>
              <w:t>2021–2030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5944687E"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30699A78" w14:textId="77777777" w:rsidR="00CE070F" w:rsidRDefault="00000000">
            <w:pPr>
              <w:jc w:val="center"/>
              <w:rPr>
                <w:sz w:val="20"/>
                <w:szCs w:val="20"/>
              </w:rPr>
            </w:pPr>
            <w:r>
              <w:rPr>
                <w:sz w:val="20"/>
                <w:szCs w:val="20"/>
              </w:rPr>
              <w:t>Never</w:t>
            </w:r>
          </w:p>
        </w:tc>
      </w:tr>
      <w:tr w:rsidR="00CE070F" w14:paraId="0672BD8B" w14:textId="77777777" w:rsidTr="00D90761">
        <w:trPr>
          <w:trHeight w:val="405"/>
        </w:trPr>
        <w:tc>
          <w:tcPr>
            <w:tcW w:w="1124" w:type="dxa"/>
            <w:tcBorders>
              <w:top w:val="nil"/>
              <w:left w:val="single" w:sz="8" w:space="0" w:color="000000"/>
              <w:bottom w:val="single" w:sz="8" w:space="0" w:color="000000"/>
              <w:right w:val="single" w:sz="8" w:space="0" w:color="000000"/>
            </w:tcBorders>
            <w:tcMar>
              <w:top w:w="80" w:type="dxa"/>
              <w:left w:w="100" w:type="dxa"/>
              <w:bottom w:w="80" w:type="dxa"/>
              <w:right w:w="100" w:type="dxa"/>
            </w:tcMar>
          </w:tcPr>
          <w:p w14:paraId="63DEF4CB" w14:textId="77777777" w:rsidR="00CE070F" w:rsidRDefault="00000000">
            <w:pPr>
              <w:jc w:val="both"/>
              <w:rPr>
                <w:b/>
                <w:bCs/>
                <w:sz w:val="20"/>
                <w:szCs w:val="20"/>
              </w:rPr>
            </w:pPr>
            <w:r>
              <w:rPr>
                <w:b/>
                <w:bCs/>
                <w:sz w:val="20"/>
                <w:szCs w:val="20"/>
              </w:rPr>
              <w:t>SSP 1-2.6</w:t>
            </w:r>
          </w:p>
        </w:tc>
        <w:tc>
          <w:tcPr>
            <w:tcW w:w="1246" w:type="dxa"/>
            <w:tcBorders>
              <w:top w:val="nil"/>
              <w:left w:val="nil"/>
              <w:bottom w:val="single" w:sz="8" w:space="0" w:color="000000"/>
              <w:right w:val="single" w:sz="8" w:space="0" w:color="000000"/>
            </w:tcBorders>
            <w:tcMar>
              <w:top w:w="80" w:type="dxa"/>
              <w:left w:w="100" w:type="dxa"/>
              <w:bottom w:w="80" w:type="dxa"/>
              <w:right w:w="100" w:type="dxa"/>
            </w:tcMar>
          </w:tcPr>
          <w:p w14:paraId="7B620382" w14:textId="77777777" w:rsidR="00CE070F" w:rsidRDefault="00000000">
            <w:pPr>
              <w:jc w:val="center"/>
              <w:rPr>
                <w:sz w:val="20"/>
                <w:szCs w:val="20"/>
              </w:rPr>
            </w:pPr>
            <w:r>
              <w:rPr>
                <w:sz w:val="20"/>
                <w:szCs w:val="20"/>
              </w:rPr>
              <w:t>Never</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7A2D846A"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3F3DCFD1" w14:textId="77777777" w:rsidR="00CE070F" w:rsidRDefault="00000000">
            <w:pPr>
              <w:jc w:val="center"/>
              <w:rPr>
                <w:sz w:val="20"/>
                <w:szCs w:val="20"/>
              </w:rPr>
            </w:pPr>
            <w:r>
              <w:rPr>
                <w:sz w:val="20"/>
                <w:szCs w:val="20"/>
              </w:rPr>
              <w:t>Never</w:t>
            </w:r>
          </w:p>
        </w:tc>
        <w:tc>
          <w:tcPr>
            <w:tcW w:w="1291" w:type="dxa"/>
            <w:tcBorders>
              <w:top w:val="nil"/>
              <w:left w:val="nil"/>
              <w:bottom w:val="single" w:sz="8" w:space="0" w:color="000000"/>
              <w:right w:val="single" w:sz="8" w:space="0" w:color="000000"/>
            </w:tcBorders>
            <w:tcMar>
              <w:top w:w="80" w:type="dxa"/>
              <w:left w:w="100" w:type="dxa"/>
              <w:bottom w:w="80" w:type="dxa"/>
              <w:right w:w="100" w:type="dxa"/>
            </w:tcMar>
          </w:tcPr>
          <w:p w14:paraId="415A61C3" w14:textId="77777777" w:rsidR="00CE070F" w:rsidRDefault="00000000">
            <w:pPr>
              <w:jc w:val="center"/>
              <w:rPr>
                <w:sz w:val="20"/>
                <w:szCs w:val="20"/>
              </w:rPr>
            </w:pPr>
            <w:r>
              <w:rPr>
                <w:sz w:val="20"/>
                <w:szCs w:val="20"/>
              </w:rPr>
              <w:t>2021–2030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436551B4"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20FC3465" w14:textId="77777777" w:rsidR="00CE070F" w:rsidRDefault="00000000">
            <w:pPr>
              <w:jc w:val="center"/>
              <w:rPr>
                <w:sz w:val="20"/>
                <w:szCs w:val="20"/>
              </w:rPr>
            </w:pPr>
            <w:r>
              <w:rPr>
                <w:sz w:val="20"/>
                <w:szCs w:val="20"/>
              </w:rPr>
              <w:t>Never</w:t>
            </w:r>
          </w:p>
        </w:tc>
      </w:tr>
      <w:tr w:rsidR="00CE070F" w14:paraId="105A0C30" w14:textId="77777777" w:rsidTr="00D90761">
        <w:trPr>
          <w:trHeight w:val="405"/>
        </w:trPr>
        <w:tc>
          <w:tcPr>
            <w:tcW w:w="1124" w:type="dxa"/>
            <w:tcBorders>
              <w:top w:val="nil"/>
              <w:left w:val="single" w:sz="8" w:space="0" w:color="000000"/>
              <w:bottom w:val="single" w:sz="8" w:space="0" w:color="000000"/>
              <w:right w:val="single" w:sz="8" w:space="0" w:color="000000"/>
            </w:tcBorders>
            <w:tcMar>
              <w:top w:w="80" w:type="dxa"/>
              <w:left w:w="100" w:type="dxa"/>
              <w:bottom w:w="80" w:type="dxa"/>
              <w:right w:w="100" w:type="dxa"/>
            </w:tcMar>
          </w:tcPr>
          <w:p w14:paraId="7ADE2F78" w14:textId="77777777" w:rsidR="00CE070F" w:rsidRDefault="00000000">
            <w:pPr>
              <w:jc w:val="both"/>
              <w:rPr>
                <w:b/>
                <w:bCs/>
                <w:sz w:val="20"/>
                <w:szCs w:val="20"/>
              </w:rPr>
            </w:pPr>
            <w:r>
              <w:rPr>
                <w:b/>
                <w:bCs/>
                <w:sz w:val="20"/>
                <w:szCs w:val="20"/>
              </w:rPr>
              <w:t>SSP 2-4.5</w:t>
            </w:r>
          </w:p>
        </w:tc>
        <w:tc>
          <w:tcPr>
            <w:tcW w:w="1246" w:type="dxa"/>
            <w:tcBorders>
              <w:top w:val="nil"/>
              <w:left w:val="nil"/>
              <w:bottom w:val="single" w:sz="8" w:space="0" w:color="000000"/>
              <w:right w:val="single" w:sz="8" w:space="0" w:color="000000"/>
            </w:tcBorders>
            <w:tcMar>
              <w:top w:w="80" w:type="dxa"/>
              <w:left w:w="100" w:type="dxa"/>
              <w:bottom w:w="80" w:type="dxa"/>
              <w:right w:w="100" w:type="dxa"/>
            </w:tcMar>
          </w:tcPr>
          <w:p w14:paraId="38D014B7" w14:textId="77777777" w:rsidR="00CE070F" w:rsidRDefault="00000000">
            <w:pPr>
              <w:jc w:val="center"/>
              <w:rPr>
                <w:sz w:val="20"/>
                <w:szCs w:val="20"/>
              </w:rPr>
            </w:pPr>
            <w:r>
              <w:rPr>
                <w:sz w:val="20"/>
                <w:szCs w:val="20"/>
              </w:rPr>
              <w:t>Pre-2100*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21B78FB7"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1A113427" w14:textId="77777777" w:rsidR="00CE070F" w:rsidRDefault="00000000">
            <w:pPr>
              <w:jc w:val="center"/>
              <w:rPr>
                <w:sz w:val="20"/>
                <w:szCs w:val="20"/>
              </w:rPr>
            </w:pPr>
            <w:r>
              <w:rPr>
                <w:sz w:val="20"/>
                <w:szCs w:val="20"/>
              </w:rPr>
              <w:t>Never</w:t>
            </w:r>
          </w:p>
        </w:tc>
        <w:tc>
          <w:tcPr>
            <w:tcW w:w="1291" w:type="dxa"/>
            <w:tcBorders>
              <w:top w:val="nil"/>
              <w:left w:val="nil"/>
              <w:bottom w:val="single" w:sz="8" w:space="0" w:color="000000"/>
              <w:right w:val="single" w:sz="8" w:space="0" w:color="000000"/>
            </w:tcBorders>
            <w:tcMar>
              <w:top w:w="80" w:type="dxa"/>
              <w:left w:w="100" w:type="dxa"/>
              <w:bottom w:w="80" w:type="dxa"/>
              <w:right w:w="100" w:type="dxa"/>
            </w:tcMar>
          </w:tcPr>
          <w:p w14:paraId="210A7963" w14:textId="77777777" w:rsidR="00CE070F" w:rsidRDefault="00000000">
            <w:pPr>
              <w:jc w:val="center"/>
              <w:rPr>
                <w:sz w:val="20"/>
                <w:szCs w:val="20"/>
              </w:rPr>
            </w:pPr>
            <w:r>
              <w:rPr>
                <w:sz w:val="20"/>
                <w:szCs w:val="20"/>
              </w:rPr>
              <w:t>2021–2030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29DF8DCD"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004FCC37" w14:textId="77777777" w:rsidR="00CE070F" w:rsidRDefault="00000000">
            <w:pPr>
              <w:jc w:val="center"/>
              <w:rPr>
                <w:sz w:val="20"/>
                <w:szCs w:val="20"/>
              </w:rPr>
            </w:pPr>
            <w:r>
              <w:rPr>
                <w:sz w:val="20"/>
                <w:szCs w:val="20"/>
              </w:rPr>
              <w:t>Never</w:t>
            </w:r>
          </w:p>
        </w:tc>
      </w:tr>
      <w:tr w:rsidR="00CE070F" w14:paraId="6F6E2EC9" w14:textId="77777777" w:rsidTr="00D90761">
        <w:trPr>
          <w:trHeight w:val="405"/>
        </w:trPr>
        <w:tc>
          <w:tcPr>
            <w:tcW w:w="1124" w:type="dxa"/>
            <w:tcBorders>
              <w:top w:val="nil"/>
              <w:left w:val="single" w:sz="8" w:space="0" w:color="000000"/>
              <w:bottom w:val="single" w:sz="8" w:space="0" w:color="000000"/>
              <w:right w:val="single" w:sz="8" w:space="0" w:color="000000"/>
            </w:tcBorders>
            <w:tcMar>
              <w:top w:w="80" w:type="dxa"/>
              <w:left w:w="100" w:type="dxa"/>
              <w:bottom w:w="80" w:type="dxa"/>
              <w:right w:w="100" w:type="dxa"/>
            </w:tcMar>
          </w:tcPr>
          <w:p w14:paraId="69923560" w14:textId="77777777" w:rsidR="00CE070F" w:rsidRDefault="00000000">
            <w:pPr>
              <w:jc w:val="both"/>
              <w:rPr>
                <w:b/>
                <w:bCs/>
                <w:sz w:val="20"/>
                <w:szCs w:val="20"/>
              </w:rPr>
            </w:pPr>
            <w:r>
              <w:rPr>
                <w:b/>
                <w:bCs/>
                <w:sz w:val="20"/>
                <w:szCs w:val="20"/>
              </w:rPr>
              <w:t>SSP 3-7.0</w:t>
            </w:r>
          </w:p>
        </w:tc>
        <w:tc>
          <w:tcPr>
            <w:tcW w:w="1246" w:type="dxa"/>
            <w:tcBorders>
              <w:top w:val="nil"/>
              <w:left w:val="nil"/>
              <w:bottom w:val="single" w:sz="8" w:space="0" w:color="000000"/>
              <w:right w:val="single" w:sz="8" w:space="0" w:color="000000"/>
            </w:tcBorders>
            <w:tcMar>
              <w:top w:w="80" w:type="dxa"/>
              <w:left w:w="100" w:type="dxa"/>
              <w:bottom w:w="80" w:type="dxa"/>
              <w:right w:w="100" w:type="dxa"/>
            </w:tcMar>
          </w:tcPr>
          <w:p w14:paraId="291684F7" w14:textId="77777777" w:rsidR="00CE070F" w:rsidRDefault="00000000">
            <w:pPr>
              <w:jc w:val="center"/>
              <w:rPr>
                <w:sz w:val="20"/>
                <w:szCs w:val="20"/>
              </w:rPr>
            </w:pPr>
            <w:r>
              <w:rPr>
                <w:sz w:val="20"/>
                <w:szCs w:val="20"/>
              </w:rPr>
              <w:t>Pre-2100*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5FF7C2A8"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3EF39972" w14:textId="77777777" w:rsidR="00CE070F" w:rsidRDefault="00000000">
            <w:pPr>
              <w:jc w:val="center"/>
              <w:rPr>
                <w:sz w:val="20"/>
                <w:szCs w:val="20"/>
              </w:rPr>
            </w:pPr>
            <w:r>
              <w:rPr>
                <w:sz w:val="20"/>
                <w:szCs w:val="20"/>
              </w:rPr>
              <w:t>Never</w:t>
            </w:r>
          </w:p>
        </w:tc>
        <w:tc>
          <w:tcPr>
            <w:tcW w:w="1291" w:type="dxa"/>
            <w:tcBorders>
              <w:top w:val="nil"/>
              <w:left w:val="nil"/>
              <w:bottom w:val="single" w:sz="8" w:space="0" w:color="000000"/>
              <w:right w:val="single" w:sz="8" w:space="0" w:color="000000"/>
            </w:tcBorders>
            <w:tcMar>
              <w:top w:w="80" w:type="dxa"/>
              <w:left w:w="100" w:type="dxa"/>
              <w:bottom w:w="80" w:type="dxa"/>
              <w:right w:w="100" w:type="dxa"/>
            </w:tcMar>
          </w:tcPr>
          <w:p w14:paraId="22529244" w14:textId="77777777" w:rsidR="00CE070F" w:rsidRDefault="00000000">
            <w:pPr>
              <w:jc w:val="center"/>
              <w:rPr>
                <w:sz w:val="20"/>
                <w:szCs w:val="20"/>
              </w:rPr>
            </w:pPr>
            <w:r>
              <w:rPr>
                <w:sz w:val="20"/>
                <w:szCs w:val="20"/>
              </w:rPr>
              <w:t>2021–2030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54C20B1A" w14:textId="77777777" w:rsidR="00CE070F" w:rsidRDefault="00000000">
            <w:pPr>
              <w:jc w:val="center"/>
              <w:rPr>
                <w:sz w:val="20"/>
                <w:szCs w:val="20"/>
              </w:rPr>
            </w:pPr>
            <w:r>
              <w:rPr>
                <w:sz w:val="20"/>
                <w:szCs w:val="20"/>
              </w:rPr>
              <w:t>2081–2090</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3330BA77" w14:textId="77777777" w:rsidR="00CE070F" w:rsidRDefault="00000000">
            <w:pPr>
              <w:jc w:val="center"/>
              <w:rPr>
                <w:sz w:val="20"/>
                <w:szCs w:val="20"/>
              </w:rPr>
            </w:pPr>
            <w:r>
              <w:rPr>
                <w:sz w:val="20"/>
                <w:szCs w:val="20"/>
              </w:rPr>
              <w:t>Never</w:t>
            </w:r>
          </w:p>
        </w:tc>
      </w:tr>
      <w:tr w:rsidR="00CE070F" w14:paraId="63283DB2" w14:textId="77777777" w:rsidTr="00D90761">
        <w:trPr>
          <w:trHeight w:val="405"/>
        </w:trPr>
        <w:tc>
          <w:tcPr>
            <w:tcW w:w="1124" w:type="dxa"/>
            <w:tcBorders>
              <w:top w:val="nil"/>
              <w:left w:val="single" w:sz="8" w:space="0" w:color="000000"/>
              <w:bottom w:val="single" w:sz="8" w:space="0" w:color="000000"/>
              <w:right w:val="single" w:sz="8" w:space="0" w:color="000000"/>
            </w:tcBorders>
            <w:tcMar>
              <w:top w:w="80" w:type="dxa"/>
              <w:left w:w="100" w:type="dxa"/>
              <w:bottom w:w="80" w:type="dxa"/>
              <w:right w:w="100" w:type="dxa"/>
            </w:tcMar>
          </w:tcPr>
          <w:p w14:paraId="7105C0C4" w14:textId="77777777" w:rsidR="00CE070F" w:rsidRDefault="00000000">
            <w:pPr>
              <w:jc w:val="both"/>
              <w:rPr>
                <w:b/>
                <w:bCs/>
                <w:sz w:val="20"/>
                <w:szCs w:val="20"/>
              </w:rPr>
            </w:pPr>
            <w:r>
              <w:rPr>
                <w:b/>
                <w:bCs/>
                <w:sz w:val="20"/>
                <w:szCs w:val="20"/>
              </w:rPr>
              <w:t>SSP 5-8.5</w:t>
            </w:r>
          </w:p>
        </w:tc>
        <w:tc>
          <w:tcPr>
            <w:tcW w:w="1246" w:type="dxa"/>
            <w:tcBorders>
              <w:top w:val="nil"/>
              <w:left w:val="nil"/>
              <w:bottom w:val="single" w:sz="8" w:space="0" w:color="000000"/>
              <w:right w:val="single" w:sz="8" w:space="0" w:color="000000"/>
            </w:tcBorders>
            <w:tcMar>
              <w:top w:w="80" w:type="dxa"/>
              <w:left w:w="100" w:type="dxa"/>
              <w:bottom w:w="80" w:type="dxa"/>
              <w:right w:w="100" w:type="dxa"/>
            </w:tcMar>
          </w:tcPr>
          <w:p w14:paraId="04C100D7" w14:textId="77777777" w:rsidR="00CE070F" w:rsidRDefault="00000000">
            <w:pPr>
              <w:jc w:val="center"/>
              <w:rPr>
                <w:sz w:val="20"/>
                <w:szCs w:val="20"/>
              </w:rPr>
            </w:pPr>
            <w:r>
              <w:rPr>
                <w:sz w:val="20"/>
                <w:szCs w:val="20"/>
              </w:rPr>
              <w:t>Pre-2100*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7B49DF4A" w14:textId="77777777" w:rsidR="00CE070F" w:rsidRDefault="00000000">
            <w:pPr>
              <w:jc w:val="center"/>
              <w:rPr>
                <w:sz w:val="20"/>
                <w:szCs w:val="20"/>
              </w:rPr>
            </w:pPr>
            <w:r>
              <w:rPr>
                <w:sz w:val="20"/>
                <w:szCs w:val="20"/>
              </w:rPr>
              <w:t>Never</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5C081A02" w14:textId="77777777" w:rsidR="00CE070F" w:rsidRDefault="00000000">
            <w:pPr>
              <w:jc w:val="center"/>
              <w:rPr>
                <w:sz w:val="20"/>
                <w:szCs w:val="20"/>
              </w:rPr>
            </w:pPr>
            <w:r>
              <w:rPr>
                <w:sz w:val="20"/>
                <w:szCs w:val="20"/>
              </w:rPr>
              <w:t>Never</w:t>
            </w:r>
          </w:p>
        </w:tc>
        <w:tc>
          <w:tcPr>
            <w:tcW w:w="1291" w:type="dxa"/>
            <w:tcBorders>
              <w:top w:val="nil"/>
              <w:left w:val="nil"/>
              <w:bottom w:val="single" w:sz="8" w:space="0" w:color="000000"/>
              <w:right w:val="single" w:sz="8" w:space="0" w:color="000000"/>
            </w:tcBorders>
            <w:tcMar>
              <w:top w:w="80" w:type="dxa"/>
              <w:left w:w="100" w:type="dxa"/>
              <w:bottom w:w="80" w:type="dxa"/>
              <w:right w:w="100" w:type="dxa"/>
            </w:tcMar>
          </w:tcPr>
          <w:p w14:paraId="3DDAAFF2" w14:textId="77777777" w:rsidR="00CE070F" w:rsidRDefault="00000000">
            <w:pPr>
              <w:jc w:val="center"/>
              <w:rPr>
                <w:sz w:val="20"/>
                <w:szCs w:val="20"/>
              </w:rPr>
            </w:pPr>
            <w:r>
              <w:rPr>
                <w:sz w:val="20"/>
                <w:szCs w:val="20"/>
              </w:rPr>
              <w:t>2021–2030</w:t>
            </w:r>
          </w:p>
        </w:tc>
        <w:tc>
          <w:tcPr>
            <w:tcW w:w="1413" w:type="dxa"/>
            <w:tcBorders>
              <w:top w:val="nil"/>
              <w:left w:val="nil"/>
              <w:bottom w:val="single" w:sz="8" w:space="0" w:color="000000"/>
              <w:right w:val="single" w:sz="8" w:space="0" w:color="000000"/>
            </w:tcBorders>
            <w:tcMar>
              <w:top w:w="80" w:type="dxa"/>
              <w:left w:w="100" w:type="dxa"/>
              <w:bottom w:w="80" w:type="dxa"/>
              <w:right w:w="100" w:type="dxa"/>
            </w:tcMar>
          </w:tcPr>
          <w:p w14:paraId="099C9C00" w14:textId="77777777" w:rsidR="00CE070F" w:rsidRDefault="00000000">
            <w:pPr>
              <w:jc w:val="center"/>
              <w:rPr>
                <w:sz w:val="20"/>
                <w:szCs w:val="20"/>
              </w:rPr>
            </w:pPr>
            <w:r>
              <w:rPr>
                <w:sz w:val="20"/>
                <w:szCs w:val="20"/>
              </w:rPr>
              <w:t>2071–2080</w:t>
            </w:r>
          </w:p>
        </w:tc>
        <w:tc>
          <w:tcPr>
            <w:tcW w:w="1269" w:type="dxa"/>
            <w:tcBorders>
              <w:top w:val="nil"/>
              <w:left w:val="nil"/>
              <w:bottom w:val="single" w:sz="8" w:space="0" w:color="000000"/>
              <w:right w:val="single" w:sz="8" w:space="0" w:color="000000"/>
            </w:tcBorders>
            <w:tcMar>
              <w:top w:w="80" w:type="dxa"/>
              <w:left w:w="100" w:type="dxa"/>
              <w:bottom w:w="80" w:type="dxa"/>
              <w:right w:w="100" w:type="dxa"/>
            </w:tcMar>
          </w:tcPr>
          <w:p w14:paraId="5819719B" w14:textId="77777777" w:rsidR="00CE070F" w:rsidRDefault="00000000">
            <w:pPr>
              <w:jc w:val="center"/>
              <w:rPr>
                <w:sz w:val="20"/>
                <w:szCs w:val="20"/>
              </w:rPr>
            </w:pPr>
            <w:r>
              <w:rPr>
                <w:sz w:val="20"/>
                <w:szCs w:val="20"/>
              </w:rPr>
              <w:t>Never</w:t>
            </w:r>
          </w:p>
        </w:tc>
      </w:tr>
    </w:tbl>
    <w:p w14:paraId="19D3AF35" w14:textId="77777777" w:rsidR="00CE070F" w:rsidRPr="00700E13" w:rsidRDefault="00000000">
      <w:pPr>
        <w:spacing w:before="200"/>
        <w:jc w:val="both"/>
        <w:rPr>
          <w:lang w:val="en-AU"/>
        </w:rPr>
      </w:pPr>
      <w:r w:rsidRPr="00700E13">
        <w:rPr>
          <w:i/>
          <w:iCs/>
          <w:sz w:val="20"/>
          <w:szCs w:val="20"/>
          <w:lang w:val="en-AU"/>
        </w:rPr>
        <w:t xml:space="preserve">Note. </w:t>
      </w:r>
      <w:r w:rsidRPr="00700E13">
        <w:rPr>
          <w:sz w:val="20"/>
          <w:szCs w:val="20"/>
          <w:lang w:val="en-AU"/>
        </w:rPr>
        <w:t xml:space="preserve">Triggers reported as the first decade in which the relevant high-confidence analogue area falls below 25.88 km². Under the unconstrained framing, the high-confidence area within a jurisdiction is compared directly to 25.88 km². Under the constrained framing, the net available area (high-confidence area minus the constraint footprint) is compared to 25.88 km². "Never" indicates the trigger is not reached within the 21st century. </w:t>
      </w:r>
      <w:r w:rsidRPr="00700E13">
        <w:rPr>
          <w:i/>
          <w:iCs/>
          <w:sz w:val="20"/>
          <w:szCs w:val="20"/>
          <w:lang w:val="en-AU"/>
        </w:rPr>
        <w:t>*Pre-2100</w:t>
      </w:r>
      <w:r w:rsidRPr="00700E13">
        <w:rPr>
          <w:sz w:val="20"/>
          <w:szCs w:val="20"/>
          <w:lang w:val="en-AU"/>
        </w:rPr>
        <w:t xml:space="preserve"> indicates that the unconstrained optimal-analogue area in State Waters declines to 0 km² by 2091–2100 but per-decade trajectories were not available to pinpoint the exact trigger year.</w:t>
      </w:r>
    </w:p>
    <w:sectPr w:rsidR="00CE070F" w:rsidRPr="00700E13" w:rsidSect="00700E13">
      <w:headerReference w:type="default" r:id="rId16"/>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A86F8" w14:textId="77777777" w:rsidR="000278F9" w:rsidRDefault="000278F9" w:rsidP="00700E13">
      <w:pPr>
        <w:spacing w:line="240" w:lineRule="auto"/>
      </w:pPr>
      <w:r>
        <w:separator/>
      </w:r>
    </w:p>
  </w:endnote>
  <w:endnote w:type="continuationSeparator" w:id="0">
    <w:p w14:paraId="64DBF06A" w14:textId="77777777" w:rsidR="000278F9" w:rsidRDefault="000278F9" w:rsidP="00700E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AC31317-7292-4F09-ADA2-1DDEF625740E}"/>
  </w:font>
  <w:font w:name="Cambria">
    <w:panose1 w:val="02040503050406030204"/>
    <w:charset w:val="00"/>
    <w:family w:val="roman"/>
    <w:pitch w:val="variable"/>
    <w:sig w:usb0="E00006FF" w:usb1="420024FF" w:usb2="02000000" w:usb3="00000000" w:csb0="0000019F" w:csb1="00000000"/>
    <w:embedRegular r:id="rId2" w:fontKey="{692A25B2-2730-4825-984E-88B9B1C54CD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5F184" w14:textId="77777777" w:rsidR="000278F9" w:rsidRDefault="000278F9" w:rsidP="00700E13">
      <w:pPr>
        <w:spacing w:line="240" w:lineRule="auto"/>
      </w:pPr>
      <w:r>
        <w:separator/>
      </w:r>
    </w:p>
  </w:footnote>
  <w:footnote w:type="continuationSeparator" w:id="0">
    <w:p w14:paraId="68109613" w14:textId="77777777" w:rsidR="000278F9" w:rsidRDefault="000278F9" w:rsidP="00700E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999B" w14:textId="77777777" w:rsidR="00700E13" w:rsidRPr="00700E13" w:rsidRDefault="00700E13" w:rsidP="00700E13">
    <w:pPr>
      <w:jc w:val="center"/>
      <w:rPr>
        <w:b/>
        <w:bCs/>
        <w:color w:val="222222"/>
        <w:lang w:val="en-AU"/>
      </w:rPr>
    </w:pPr>
    <w:r w:rsidRPr="00700E13">
      <w:rPr>
        <w:b/>
        <w:bCs/>
        <w:color w:val="222222"/>
        <w:lang w:val="en-AU"/>
      </w:rPr>
      <w:t>Supporting Information for</w:t>
    </w:r>
  </w:p>
  <w:p w14:paraId="23703C45" w14:textId="23C4DC3D" w:rsidR="00700E13" w:rsidRPr="00700E13" w:rsidRDefault="00700E13" w:rsidP="00700E13">
    <w:pPr>
      <w:jc w:val="center"/>
      <w:rPr>
        <w:b/>
        <w:bCs/>
        <w:color w:val="222222"/>
        <w:lang w:val="en-AU"/>
      </w:rPr>
    </w:pPr>
    <w:r w:rsidRPr="00700E13">
      <w:rPr>
        <w:b/>
        <w:bCs/>
        <w:color w:val="222222"/>
        <w:lang w:val="en-AU"/>
      </w:rPr>
      <w:t>Climate analogues as a tool for marine aquaculture planning and adaptation</w:t>
    </w:r>
  </w:p>
  <w:p w14:paraId="79886B9C" w14:textId="77777777" w:rsidR="00700E13" w:rsidRPr="00700E13" w:rsidRDefault="00700E13">
    <w:pPr>
      <w:pStyle w:val="Header"/>
      <w:rPr>
        <w:lang w:val="en-AU"/>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70F"/>
    <w:rsid w:val="000278F9"/>
    <w:rsid w:val="002C197E"/>
    <w:rsid w:val="00313658"/>
    <w:rsid w:val="00367BAD"/>
    <w:rsid w:val="006B4330"/>
    <w:rsid w:val="00700E13"/>
    <w:rsid w:val="00710808"/>
    <w:rsid w:val="009D6729"/>
    <w:rsid w:val="009D7ACB"/>
    <w:rsid w:val="00B127D8"/>
    <w:rsid w:val="00C60CEC"/>
    <w:rsid w:val="00C77B48"/>
    <w:rsid w:val="00CE070F"/>
    <w:rsid w:val="00D86AD4"/>
    <w:rsid w:val="00D90761"/>
    <w:rsid w:val="00DA1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855B9"/>
  <w15:docId w15:val="{447A7921-802D-41FB-8B0D-145E73343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700E13"/>
    <w:pPr>
      <w:tabs>
        <w:tab w:val="center" w:pos="4513"/>
        <w:tab w:val="right" w:pos="9026"/>
      </w:tabs>
      <w:spacing w:line="240" w:lineRule="auto"/>
    </w:pPr>
  </w:style>
  <w:style w:type="character" w:customStyle="1" w:styleId="HeaderChar">
    <w:name w:val="Header Char"/>
    <w:basedOn w:val="DefaultParagraphFont"/>
    <w:link w:val="Header"/>
    <w:uiPriority w:val="99"/>
    <w:rsid w:val="00700E13"/>
  </w:style>
  <w:style w:type="paragraph" w:styleId="Footer">
    <w:name w:val="footer"/>
    <w:basedOn w:val="Normal"/>
    <w:link w:val="FooterChar"/>
    <w:uiPriority w:val="99"/>
    <w:unhideWhenUsed/>
    <w:rsid w:val="00700E13"/>
    <w:pPr>
      <w:tabs>
        <w:tab w:val="center" w:pos="4513"/>
        <w:tab w:val="right" w:pos="9026"/>
      </w:tabs>
      <w:spacing w:line="240" w:lineRule="auto"/>
    </w:pPr>
  </w:style>
  <w:style w:type="character" w:customStyle="1" w:styleId="FooterChar">
    <w:name w:val="Footer Char"/>
    <w:basedOn w:val="DefaultParagraphFont"/>
    <w:link w:val="Footer"/>
    <w:uiPriority w:val="99"/>
    <w:rsid w:val="00700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tasmaniantimes.com/2024/10/big-stink-over-mass-salmon-mortality/"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www.abc.net.au/news/2023-12-15/tas-fish-kill-reported-at-tassal-triabunna-salmon-lease/10322618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abc.net.au/news/2023-12-15/tas-fish-kill-reported-at-tassal-triabunna-salmon-lease/103226180" TargetMode="External"/><Relationship Id="rId5" Type="http://schemas.openxmlformats.org/officeDocument/2006/relationships/endnotes" Target="endnotes.xml"/><Relationship Id="rId15" Type="http://schemas.openxmlformats.org/officeDocument/2006/relationships/hyperlink" Target="https://www.abc.net.au/news/2024-10-24/tasmania-salmon-deaths-in-macquarie-harbour/104510894" TargetMode="External"/><Relationship Id="rId10" Type="http://schemas.openxmlformats.org/officeDocument/2006/relationships/hyperlink" Target="https://www.fishfarmingexpert.com/australia-petuna-salmon-die-off/warm-water-blamed-for-petuna-salmon-die-off/1332390" TargetMode="External"/><Relationship Id="rId4" Type="http://schemas.openxmlformats.org/officeDocument/2006/relationships/footnotes" Target="footnotes.xml"/><Relationship Id="rId9" Type="http://schemas.openxmlformats.org/officeDocument/2006/relationships/hyperlink" Target="https://tasmaniantimes.com/2022/02/another-mass-fish-kill-in-tas-aquaculture/" TargetMode="External"/><Relationship Id="rId14" Type="http://schemas.openxmlformats.org/officeDocument/2006/relationships/hyperlink" Target="https://pulsetasmania.com.au/news/1150-tonnes-of-dead-salmon-removed-from-macquarie-harbour-in-six-months/"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c9f92db8-2851-4df9-9d12-fab52f5b1415}"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1167</Words>
  <Characters>6652</Characters>
  <Application>Microsoft Office Word</Application>
  <DocSecurity>0</DocSecurity>
  <Lines>55</Lines>
  <Paragraphs>15</Paragraphs>
  <ScaleCrop>false</ScaleCrop>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Marina Christofidis</cp:lastModifiedBy>
  <cp:revision>6</cp:revision>
  <dcterms:created xsi:type="dcterms:W3CDTF">2026-06-01T08:03:00Z</dcterms:created>
  <dcterms:modified xsi:type="dcterms:W3CDTF">2026-06-02T23:11:00Z</dcterms:modified>
</cp:coreProperties>
</file>