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ABB6C">
      <w:pPr>
        <w:pStyle w:val="4"/>
        <w:rPr>
          <w:rFonts w:hint="default" w:ascii="Times New Roman" w:hAnsi="Times New Roman" w:cs="Times New Roman"/>
          <w:sz w:val="21"/>
          <w:szCs w:val="21"/>
        </w:rPr>
      </w:pPr>
      <w:bookmarkStart w:id="0" w:name="X7d2283310013ac72f6f2de15d504756f7959bd9"/>
      <w:r>
        <w:rPr>
          <w:rFonts w:hint="default" w:ascii="Times New Roman" w:hAnsi="Times New Roman" w:cs="Times New Roman"/>
          <w:sz w:val="21"/>
          <w:szCs w:val="21"/>
        </w:rPr>
        <w:t xml:space="preserve">STROBE Statement – Checklist for Cohort Studies </w:t>
      </w:r>
    </w:p>
    <w:p w14:paraId="5CC89F44">
      <w:pPr>
        <w:pStyle w:val="23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Manuscript Title:</w:t>
      </w:r>
      <w:r>
        <w:rPr>
          <w:rFonts w:hint="default" w:ascii="Times New Roman" w:hAnsi="Times New Roman" w:cs="Times New Roman"/>
          <w:sz w:val="21"/>
          <w:szCs w:val="21"/>
        </w:rPr>
        <w:t xml:space="preserve"> Changes in reticulocyte hemoglobin content (Ret‑He) and serum ferritin (SF) in very preterm infants within the first 14 days after birth</w:t>
      </w:r>
    </w:p>
    <w:tbl>
      <w:tblPr>
        <w:tblStyle w:val="41"/>
        <w:tblW w:w="911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8"/>
        <w:gridCol w:w="2906"/>
        <w:gridCol w:w="3216"/>
        <w:gridCol w:w="1422"/>
      </w:tblGrid>
      <w:tr w14:paraId="6A88D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themeColor="dark1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13CAC524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i w:val="0"/>
                <w:color w:val="000000" w:themeColor="dark1"/>
                <w:sz w:val="24"/>
                <w:szCs w:val="24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 w:themeColor="dark1"/>
                <w:sz w:val="24"/>
                <w:szCs w:val="24"/>
                <w14:textFill>
                  <w14:solidFill>
                    <w14:schemeClr w14:val="dk1"/>
                  </w14:solidFill>
                </w14:textFill>
              </w:rPr>
              <w:t>Item No.</w:t>
            </w:r>
          </w:p>
        </w:tc>
        <w:tc>
          <w:tcPr>
            <w:tcW w:w="0" w:type="auto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1E627FB9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i w:val="0"/>
                <w:color w:val="000000" w:themeColor="dark1"/>
                <w:sz w:val="24"/>
                <w:szCs w:val="24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 w:themeColor="dark1"/>
                <w:sz w:val="24"/>
                <w:szCs w:val="24"/>
                <w14:textFill>
                  <w14:solidFill>
                    <w14:schemeClr w14:val="dk1"/>
                  </w14:solidFill>
                </w14:textFill>
              </w:rPr>
              <w:t>Recommendation</w:t>
            </w:r>
          </w:p>
        </w:tc>
        <w:tc>
          <w:tcPr>
            <w:tcW w:w="3216" w:type="dxa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5B8CAE97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i w:val="0"/>
                <w:color w:val="000000" w:themeColor="dark1"/>
                <w:sz w:val="24"/>
                <w:szCs w:val="24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 w:themeColor="dark1"/>
                <w:sz w:val="24"/>
                <w:szCs w:val="24"/>
                <w14:textFill>
                  <w14:solidFill>
                    <w14:schemeClr w14:val="dk1"/>
                  </w14:solidFill>
                </w14:textFill>
              </w:rPr>
              <w:t>Location in Manuscript</w:t>
            </w:r>
          </w:p>
        </w:tc>
        <w:tc>
          <w:tcPr>
            <w:tcW w:w="1422" w:type="dxa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425A89CF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i w:val="0"/>
                <w:color w:val="000000" w:themeColor="dark1"/>
                <w:sz w:val="24"/>
                <w:szCs w:val="24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 w:themeColor="dark1"/>
                <w:sz w:val="24"/>
                <w:szCs w:val="24"/>
                <w14:textFill>
                  <w14:solidFill>
                    <w14:schemeClr w14:val="dk1"/>
                  </w14:solidFill>
                </w14:textFill>
              </w:rPr>
              <w:t>Your Page</w:t>
            </w:r>
          </w:p>
        </w:tc>
      </w:tr>
      <w:tr w14:paraId="31A9C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15D9F32F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/>
                <w:i w:val="0"/>
                <w:color w:val="000000"/>
                <w:sz w:val="24"/>
                <w:szCs w:val="24"/>
              </w:rPr>
              <w:t>Title and abstract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52B30BBA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3AE65606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4E5D902B">
            <w:pPr>
              <w:pStyle w:val="24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</w:p>
        </w:tc>
      </w:tr>
      <w:tr w14:paraId="570D7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40649AA7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1a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2686AF81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Indicate study design in title or abstract</w:t>
            </w: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AF792ED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Title + subtitle “Retrospective study”</w:t>
            </w: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7EAB747F">
            <w:pPr>
              <w:pStyle w:val="24"/>
              <w:snapToGrid w:val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</w:tr>
      <w:tr w14:paraId="6868FB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4634A516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1b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5C2C769A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Provide informative and balanced summary</w:t>
            </w: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A9E1AC8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Abstract (full text)</w:t>
            </w: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06FF0C17">
            <w:pPr>
              <w:pStyle w:val="24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3-4</w:t>
            </w:r>
          </w:p>
        </w:tc>
      </w:tr>
      <w:tr w14:paraId="31F6E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7045A763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/>
                <w:i w:val="0"/>
                <w:color w:val="000000"/>
                <w:sz w:val="24"/>
                <w:szCs w:val="24"/>
              </w:rPr>
              <w:t>Introduction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5F9ECCAC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7CED56E4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5A45C593">
            <w:pPr>
              <w:pStyle w:val="24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</w:p>
        </w:tc>
      </w:tr>
      <w:tr w14:paraId="5F9DE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D119E53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130F08AC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Explain scientific background and rationale</w:t>
            </w: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1DD2947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Introduction, paragraphs 1–2</w:t>
            </w: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70D60840">
            <w:pPr>
              <w:pStyle w:val="24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5-6</w:t>
            </w:r>
          </w:p>
        </w:tc>
      </w:tr>
      <w:tr w14:paraId="46FC0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11D28B24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CC4E08D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State objectives and prespecified hypotheses</w:t>
            </w: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9E6E325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Introduction, final paragraph</w:t>
            </w: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73C71BA1">
            <w:pPr>
              <w:pStyle w:val="24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</w:tr>
      <w:tr w14:paraId="56038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54B8D22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</w:rPr>
              <w:t>Methods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7C63030D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1F9C202C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432243C3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</w:p>
        </w:tc>
      </w:tr>
      <w:tr w14:paraId="3BDA9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457A1736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73ED1795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Present key elements of study design early</w:t>
            </w: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F165723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Methods → Subjects, first sentence</w:t>
            </w: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0214A553">
            <w:pPr>
              <w:pStyle w:val="24"/>
              <w:snapToGrid w:val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</w:tr>
      <w:tr w14:paraId="7B486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7F1C0DB9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1098A2E6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Describe setting, locations, and relevant dates</w:t>
            </w: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1BE79B06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Methods → Subjects (institution, 2017–2019, PND3/14)</w:t>
            </w: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1E01460D">
            <w:pPr>
              <w:pStyle w:val="24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6-7</w:t>
            </w:r>
          </w:p>
        </w:tc>
      </w:tr>
      <w:tr w14:paraId="51CA65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2ABD00C8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6a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F5A7CCB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Eligibility criteria, sources, selection methods</w:t>
            </w: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1FB9202D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Methods → Inclusion/exclusion criteria</w:t>
            </w: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3723564A">
            <w:pPr>
              <w:pStyle w:val="24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</w:tr>
      <w:tr w14:paraId="2FD5A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E9601BC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6b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59CB3688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Matching criteria (not applicable)</w:t>
            </w: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1886E757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419CA5A4">
            <w:pPr>
              <w:pStyle w:val="24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—</w:t>
            </w:r>
          </w:p>
        </w:tc>
      </w:tr>
      <w:tr w14:paraId="435EA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203D25BD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281E1A4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Define outcomes, exposures, confounders</w:t>
            </w: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7429FAC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Methods → Definition of low iron status</w:t>
            </w: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06672081">
            <w:pPr>
              <w:pStyle w:val="24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</w:tr>
      <w:tr w14:paraId="07000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5B8EF09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8*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3640BD28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Data sources and measurement methods</w:t>
            </w: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D5A585A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Methods → Subjects + Laboratory Methods</w:t>
            </w: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7682A3F4">
            <w:pPr>
              <w:pStyle w:val="24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6-8</w:t>
            </w:r>
          </w:p>
        </w:tc>
      </w:tr>
      <w:tr w14:paraId="73516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2EB51B01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3AC256BD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Efforts to address potential bias</w:t>
            </w: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2E8734A7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Limitations + exclusion criteria</w:t>
            </w: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03139CDB">
            <w:pPr>
              <w:pStyle w:val="24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7,14-15</w:t>
            </w:r>
          </w:p>
        </w:tc>
      </w:tr>
      <w:tr w14:paraId="47168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2030C68F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3C11CBC8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Explain study size determination</w:t>
            </w: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506BD670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Not applicable – consecutive enrollment</w:t>
            </w: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6020C2ED">
            <w:pPr>
              <w:pStyle w:val="24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—</w:t>
            </w:r>
          </w:p>
        </w:tc>
      </w:tr>
      <w:tr w14:paraId="7EA32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994E6EC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23DCF57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Handling of quantitative variables</w:t>
            </w: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7BE15014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Methods → Data Analysis</w:t>
            </w: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72592B0D">
            <w:pPr>
              <w:pStyle w:val="24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</w:tr>
      <w:tr w14:paraId="791E4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1F34B689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12a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36E6886E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Statistical methods</w:t>
            </w: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0D530ED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Methods → Data Analysis</w:t>
            </w: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1E93C074">
            <w:pPr>
              <w:pStyle w:val="24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</w:tr>
      <w:tr w14:paraId="0A03E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ACCB504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12b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3267627A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Subgroup and interaction analyses</w:t>
            </w: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1EC6148B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Methods → Data Analysis (exploratory subgroup)</w:t>
            </w: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61E12D8F">
            <w:pPr>
              <w:pStyle w:val="24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</w:tr>
      <w:tr w14:paraId="6909B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890980E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12c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3A76B83D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Missing data handling</w:t>
            </w: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352763F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Results → Table 2 footnote</w:t>
            </w: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59B1E71F">
            <w:pPr>
              <w:pStyle w:val="24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22</w:t>
            </w:r>
          </w:p>
        </w:tc>
      </w:tr>
      <w:tr w14:paraId="0348C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30B30385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12d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400BAC93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Loss to follow-up</w:t>
            </w: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5CDBE79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Not applicable – fixed time points</w:t>
            </w: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78A53DCE">
            <w:pPr>
              <w:pStyle w:val="24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eastAsia="等线"/>
                <w:sz w:val="24"/>
              </w:rPr>
              <w:t>—</w:t>
            </w:r>
          </w:p>
        </w:tc>
      </w:tr>
      <w:tr w14:paraId="7F452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624C982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12e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5284D73D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Sensitivity analyses</w:t>
            </w: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3BB25F30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Not performed – exploratory study</w:t>
            </w: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5CCDC003">
            <w:pPr>
              <w:pStyle w:val="24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eastAsia="等线"/>
                <w:sz w:val="24"/>
              </w:rPr>
              <w:t>—</w:t>
            </w:r>
          </w:p>
        </w:tc>
      </w:tr>
      <w:tr w14:paraId="1633E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305472C6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</w:rPr>
              <w:t>Results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1BBE8B16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3CD2E6FE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28D651A9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</w:p>
        </w:tc>
      </w:tr>
      <w:tr w14:paraId="21B8D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56A2AF59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13a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36191137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Numbers at each stage of study</w:t>
            </w: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DCBCAE5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Results → Baseline characteristics + Fig.1</w:t>
            </w: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2D62AFA4">
            <w:pPr>
              <w:pStyle w:val="24"/>
              <w:tabs>
                <w:tab w:val="left" w:pos="491"/>
              </w:tabs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9-10,20</w:t>
            </w:r>
          </w:p>
        </w:tc>
      </w:tr>
      <w:tr w14:paraId="642F6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330830D6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13b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33B066D2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Reasons for non-participation</w:t>
            </w: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3CFD3A5D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Fig.1 + exclusion criteria</w:t>
            </w: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3A96ACC5">
            <w:pPr>
              <w:pStyle w:val="24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7,20</w:t>
            </w:r>
          </w:p>
        </w:tc>
      </w:tr>
      <w:tr w14:paraId="521D0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5F90F0D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13c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1B2D5157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Use of flow diagram</w:t>
            </w: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1DCD714B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Fig.1</w:t>
            </w: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1CA560BC">
            <w:pPr>
              <w:pStyle w:val="24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</w:tr>
      <w:tr w14:paraId="5D4D7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E1D5ACB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14a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BD6918D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Characteristics of participants</w:t>
            </w: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429F2B05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Table 1</w:t>
            </w: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037281CE">
            <w:pPr>
              <w:pStyle w:val="24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21-22</w:t>
            </w:r>
          </w:p>
        </w:tc>
      </w:tr>
      <w:tr w14:paraId="69F33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E3986FC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14b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71F21A28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Missing data for each variable</w:t>
            </w: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647A164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Table 2 footnote (SF n=55, Ret-He n=117)</w:t>
            </w: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49BB7136">
            <w:pPr>
              <w:pStyle w:val="24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22</w:t>
            </w:r>
          </w:p>
        </w:tc>
      </w:tr>
      <w:tr w14:paraId="112BA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7E4C8050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14c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7AEB5E4B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Summarise follow-up time</w:t>
            </w: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560B74E6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Not applicable – no follow-up interval</w:t>
            </w: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03F34584">
            <w:pPr>
              <w:pStyle w:val="24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—</w:t>
            </w:r>
          </w:p>
        </w:tc>
      </w:tr>
      <w:tr w14:paraId="4077B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2EBAE36B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15*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134C528F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Outcome events or summary measures</w:t>
            </w: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25590C8C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Table 2 + Hematological parameters section</w:t>
            </w: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2AFB8DBE">
            <w:pPr>
              <w:pStyle w:val="24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22</w:t>
            </w:r>
          </w:p>
        </w:tc>
      </w:tr>
      <w:tr w14:paraId="7C467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41FD91D3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16a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52A543CA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Unadjusted/adjusted estimates</w:t>
            </w: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54D28E5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Not applicable – unadjusted only</w:t>
            </w: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3094404A">
            <w:pPr>
              <w:pStyle w:val="24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—</w:t>
            </w:r>
          </w:p>
        </w:tc>
      </w:tr>
      <w:tr w14:paraId="6D24E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7A30B2A2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16b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59AC67AA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Category boundaries for continuous variables</w:t>
            </w: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306F590F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Exploratory analysis section (cutoff 26.25 pg)</w:t>
            </w: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138BDBAD">
            <w:pPr>
              <w:pStyle w:val="24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11-12</w:t>
            </w:r>
          </w:p>
        </w:tc>
      </w:tr>
      <w:tr w14:paraId="01E6CE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26EE4D52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16c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1C147D25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Relative to absolute risk</w:t>
            </w: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20E6D269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Not applicable – no relative risk</w:t>
            </w: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2C582558">
            <w:pPr>
              <w:pStyle w:val="24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—</w:t>
            </w:r>
          </w:p>
        </w:tc>
      </w:tr>
      <w:tr w14:paraId="6F6A6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A5AD516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2B2DC25A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Other analyses (subgroups, etc.)</w:t>
            </w: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DA67424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Subgroup analysis by DCC/GA</w:t>
            </w: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46B82750">
            <w:pPr>
              <w:pStyle w:val="24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</w:tr>
      <w:tr w14:paraId="21551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C7D84C4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</w:rPr>
              <w:t>Discussion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9D954C4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7A9EC64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7CA993FB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</w:p>
        </w:tc>
      </w:tr>
      <w:tr w14:paraId="529F0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40423632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BD3AA1D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Summarise key results</w:t>
            </w: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4CCFD95A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Discussion first paragraph + Conclusion</w:t>
            </w: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3E75D9B6">
            <w:pPr>
              <w:pStyle w:val="24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12,15-16</w:t>
            </w:r>
          </w:p>
        </w:tc>
      </w:tr>
      <w:tr w14:paraId="2675F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7C66FA57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762EC083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Discuss limitations</w:t>
            </w: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519F6A82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Limitations section (7 items)</w:t>
            </w: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10B89C30">
            <w:pPr>
              <w:pStyle w:val="24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14-15</w:t>
            </w:r>
          </w:p>
        </w:tc>
      </w:tr>
      <w:tr w14:paraId="0A3211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2027C4D5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5DEA43DE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Cautious overall interpretation</w:t>
            </w: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2D489375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Conclusion (suggest, may not be necessary, requires validation)</w:t>
            </w: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794A7BF6">
            <w:pPr>
              <w:pStyle w:val="24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15-16</w:t>
            </w:r>
          </w:p>
        </w:tc>
      </w:tr>
      <w:tr w14:paraId="2547B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712BD83B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391F3167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Generalisability</w:t>
            </w: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1DE9F3C0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Discussion final paragraph + Conclusion</w:t>
            </w: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3E7E8544">
            <w:pPr>
              <w:pStyle w:val="24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14-16</w:t>
            </w:r>
          </w:p>
        </w:tc>
      </w:tr>
      <w:tr w14:paraId="258D8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25BBCF6A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/>
                <w:i w:val="0"/>
                <w:color w:val="000000"/>
                <w:sz w:val="24"/>
                <w:szCs w:val="24"/>
              </w:rPr>
              <w:t>Other information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572F3E8D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307C4A3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34A56CA6">
            <w:pPr>
              <w:pStyle w:val="24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</w:p>
        </w:tc>
      </w:tr>
      <w:tr w14:paraId="6989E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68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9F87383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0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79E4DC66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Source of funding and role of funders</w:t>
            </w:r>
          </w:p>
        </w:tc>
        <w:tc>
          <w:tcPr>
            <w:tcW w:w="3216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E41132A">
            <w:pPr>
              <w:pStyle w:val="24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</w:rPr>
              <w:t>Funding section</w:t>
            </w:r>
          </w:p>
        </w:tc>
        <w:tc>
          <w:tcPr>
            <w:tcW w:w="1422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4D299842">
            <w:pPr>
              <w:pStyle w:val="24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19</w:t>
            </w:r>
            <w:bookmarkStart w:id="2" w:name="_GoBack"/>
            <w:bookmarkEnd w:id="2"/>
          </w:p>
        </w:tc>
      </w:tr>
    </w:tbl>
    <w:p w14:paraId="01D387AE">
      <w:pPr>
        <w:rPr>
          <w:rFonts w:hint="default" w:ascii="Times New Roman" w:hAnsi="Times New Roman" w:cs="Times New Roman"/>
          <w:sz w:val="21"/>
          <w:szCs w:val="21"/>
        </w:rPr>
      </w:pPr>
    </w:p>
    <w:bookmarkEnd w:id="0"/>
    <w:p w14:paraId="3C4E4A22">
      <w:pPr>
        <w:pStyle w:val="3"/>
        <w:rPr>
          <w:rFonts w:hint="default" w:ascii="Times New Roman" w:hAnsi="Times New Roman" w:cs="Times New Roman"/>
          <w:sz w:val="21"/>
          <w:szCs w:val="21"/>
        </w:rPr>
      </w:pPr>
      <w:bookmarkStart w:id="1" w:name="需要我直接生成一份word文档吗"/>
    </w:p>
    <w:bookmarkEnd w:id="1"/>
    <w:sectPr>
      <w:footnotePr>
        <w:numRestart w:val="eachSect"/>
      </w:footnotePr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Segoe UI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ptos Display">
    <w:altName w:val="Segoe UI Variable Display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Segoe UI Variable Display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905A49"/>
    <w:rsid w:val="2E424519"/>
    <w:rsid w:val="2EBD707C"/>
    <w:rsid w:val="59B368E2"/>
    <w:rsid w:val="5EE026B8"/>
    <w:rsid w:val="63267D59"/>
    <w:rsid w:val="63801743"/>
    <w:rsid w:val="67BE4CCD"/>
    <w:rsid w:val="69B75786"/>
    <w:rsid w:val="7CC72B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paragraph" w:styleId="2">
    <w:name w:val="heading 1"/>
    <w:basedOn w:val="1"/>
    <w:next w:val="3"/>
    <w:link w:val="3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2"/>
    <w:basedOn w:val="1"/>
    <w:next w:val="3"/>
    <w:link w:val="3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3"/>
    <w:basedOn w:val="1"/>
    <w:next w:val="3"/>
    <w:link w:val="3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6">
    <w:name w:val="heading 4"/>
    <w:basedOn w:val="1"/>
    <w:next w:val="3"/>
    <w:link w:val="3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7">
    <w:name w:val="heading 5"/>
    <w:basedOn w:val="1"/>
    <w:next w:val="3"/>
    <w:link w:val="3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8">
    <w:name w:val="heading 6"/>
    <w:basedOn w:val="1"/>
    <w:next w:val="3"/>
    <w:link w:val="36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7"/>
    <w:basedOn w:val="1"/>
    <w:next w:val="3"/>
    <w:link w:val="37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3"/>
    <w:link w:val="38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3"/>
    <w:link w:val="3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9">
    <w:name w:val="Default Paragraph Font"/>
    <w:semiHidden/>
    <w:unhideWhenUsed/>
    <w:qFormat/>
    <w:uiPriority w:val="0"/>
  </w:style>
  <w:style w:type="table" w:default="1" w:styleId="18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qFormat/>
    <w:uiPriority w:val="0"/>
    <w:pPr>
      <w:spacing w:before="180" w:after="180"/>
    </w:pPr>
  </w:style>
  <w:style w:type="paragraph" w:styleId="12">
    <w:name w:val="caption"/>
    <w:basedOn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4">
    <w:name w:val="Date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styleId="15">
    <w:name w:val="Title"/>
    <w:basedOn w:val="1"/>
    <w:next w:val="3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z w:val="56"/>
      <w:szCs w:val="56"/>
    </w:rPr>
  </w:style>
  <w:style w:type="paragraph" w:styleId="16">
    <w:name w:val="Subtitle"/>
    <w:basedOn w:val="15"/>
    <w:next w:val="3"/>
    <w:link w:val="26"/>
    <w:qFormat/>
    <w:uiPriority w:val="11"/>
    <w:rPr>
      <w:rFonts w:eastAsiaTheme="majorEastAsia" w:cstheme="majorBidi"/>
      <w:spacing w:val="15"/>
      <w:sz w:val="28"/>
      <w:szCs w:val="28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Hyperlink"/>
    <w:basedOn w:val="21"/>
    <w:qFormat/>
    <w:uiPriority w:val="0"/>
    <w:rPr>
      <w:color w:val="156082" w:themeColor="accent1"/>
      <w14:textFill>
        <w14:solidFill>
          <w14:schemeClr w14:val="accent1"/>
        </w14:solidFill>
      </w14:textFill>
    </w:rPr>
  </w:style>
  <w:style w:type="character" w:customStyle="1" w:styleId="21">
    <w:name w:val="Body Text Char"/>
    <w:basedOn w:val="19"/>
    <w:link w:val="3"/>
    <w:qFormat/>
    <w:uiPriority w:val="0"/>
  </w:style>
  <w:style w:type="character" w:styleId="22">
    <w:name w:val="footnote reference"/>
    <w:basedOn w:val="21"/>
    <w:qFormat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character" w:customStyle="1" w:styleId="25">
    <w:name w:val="Title Char"/>
    <w:basedOn w:val="19"/>
    <w:link w:val="15"/>
    <w:qFormat/>
    <w:uiPriority w:val="10"/>
    <w:rPr>
      <w:rFonts w:asciiTheme="majorHAnsi" w:hAnsiTheme="majorHAnsi" w:eastAsiaTheme="majorEastAsia" w:cstheme="majorBidi"/>
      <w:sz w:val="56"/>
      <w:szCs w:val="56"/>
    </w:rPr>
  </w:style>
  <w:style w:type="character" w:customStyle="1" w:styleId="26">
    <w:name w:val="Subtitle Char"/>
    <w:basedOn w:val="19"/>
    <w:link w:val="1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27">
    <w:name w:val="Author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customStyle="1" w:styleId="28">
    <w:name w:val="Abstract Title"/>
    <w:basedOn w:val="1"/>
    <w:next w:val="29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29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0">
    <w:name w:val="Bibliography"/>
    <w:basedOn w:val="1"/>
    <w:qFormat/>
    <w:uiPriority w:val="0"/>
  </w:style>
  <w:style w:type="character" w:customStyle="1" w:styleId="31">
    <w:name w:val="Heading 1 Char"/>
    <w:basedOn w:val="19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32">
    <w:name w:val="Heading 2 Char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33">
    <w:name w:val="Heading 3 Char"/>
    <w:basedOn w:val="19"/>
    <w:link w:val="5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34">
    <w:name w:val="Heading 4 Char"/>
    <w:basedOn w:val="19"/>
    <w:link w:val="6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35">
    <w:name w:val="Heading 5 Char"/>
    <w:basedOn w:val="19"/>
    <w:link w:val="7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36">
    <w:name w:val="Heading 6 Char"/>
    <w:basedOn w:val="19"/>
    <w:link w:val="8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7">
    <w:name w:val="Heading 7 Char"/>
    <w:basedOn w:val="19"/>
    <w:link w:val="9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8">
    <w:name w:val="Heading 8 Char"/>
    <w:basedOn w:val="19"/>
    <w:link w:val="10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9">
    <w:name w:val="Heading 9 Char"/>
    <w:basedOn w:val="19"/>
    <w:link w:val="11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40">
    <w:name w:val="Footnote Block Text"/>
    <w:basedOn w:val="17"/>
    <w:next w:val="17"/>
    <w:unhideWhenUsed/>
    <w:qFormat/>
    <w:uiPriority w:val="9"/>
    <w:pPr>
      <w:spacing w:before="100" w:after="100"/>
      <w:ind w:left="480" w:right="480" w:firstLine="0"/>
    </w:pPr>
  </w:style>
  <w:style w:type="table" w:customStyle="1" w:styleId="41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42">
    <w:name w:val="Definition Term"/>
    <w:basedOn w:val="1"/>
    <w:next w:val="43"/>
    <w:qFormat/>
    <w:uiPriority w:val="0"/>
    <w:pPr>
      <w:keepNext/>
      <w:keepLines/>
      <w:spacing w:after="0"/>
    </w:pPr>
    <w:rPr>
      <w:b/>
    </w:rPr>
  </w:style>
  <w:style w:type="paragraph" w:customStyle="1" w:styleId="43">
    <w:name w:val="Definition"/>
    <w:basedOn w:val="1"/>
    <w:qFormat/>
    <w:uiPriority w:val="0"/>
  </w:style>
  <w:style w:type="paragraph" w:customStyle="1" w:styleId="44">
    <w:name w:val="Table Caption"/>
    <w:basedOn w:val="12"/>
    <w:qFormat/>
    <w:uiPriority w:val="0"/>
    <w:pPr>
      <w:keepNext/>
    </w:pPr>
  </w:style>
  <w:style w:type="paragraph" w:customStyle="1" w:styleId="45">
    <w:name w:val="Image Caption"/>
    <w:basedOn w:val="12"/>
    <w:qFormat/>
    <w:uiPriority w:val="0"/>
  </w:style>
  <w:style w:type="paragraph" w:customStyle="1" w:styleId="46">
    <w:name w:val="Figure"/>
    <w:basedOn w:val="1"/>
    <w:qFormat/>
    <w:uiPriority w:val="0"/>
  </w:style>
  <w:style w:type="paragraph" w:customStyle="1" w:styleId="47">
    <w:name w:val="Captioned Figure"/>
    <w:basedOn w:val="46"/>
    <w:qFormat/>
    <w:uiPriority w:val="0"/>
    <w:pPr>
      <w:keepNext/>
    </w:pPr>
  </w:style>
  <w:style w:type="character" w:customStyle="1" w:styleId="48">
    <w:name w:val="Verbatim Char"/>
    <w:basedOn w:val="21"/>
    <w:link w:val="49"/>
    <w:qFormat/>
    <w:uiPriority w:val="0"/>
    <w:rPr>
      <w:rFonts w:ascii="Consolas" w:hAnsi="Consolas"/>
      <w:sz w:val="22"/>
    </w:rPr>
  </w:style>
  <w:style w:type="paragraph" w:customStyle="1" w:styleId="49">
    <w:name w:val="Source Code"/>
    <w:basedOn w:val="1"/>
    <w:link w:val="48"/>
    <w:qFormat/>
    <w:uiPriority w:val="0"/>
    <w:pPr>
      <w:wordWrap w:val="0"/>
    </w:pPr>
  </w:style>
  <w:style w:type="character" w:customStyle="1" w:styleId="50">
    <w:name w:val="Section Number"/>
    <w:basedOn w:val="21"/>
    <w:qFormat/>
    <w:uiPriority w:val="0"/>
  </w:style>
  <w:style w:type="paragraph" w:customStyle="1" w:styleId="51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color w:val="104862" w:themeColor="accent1" w:themeShade="BF"/>
    </w:rPr>
  </w:style>
  <w:style w:type="character" w:customStyle="1" w:styleId="52">
    <w:name w:val="KeywordTok"/>
    <w:basedOn w:val="48"/>
    <w:qFormat/>
    <w:uiPriority w:val="0"/>
    <w:rPr>
      <w:b/>
      <w:color w:val="007020"/>
    </w:rPr>
  </w:style>
  <w:style w:type="character" w:customStyle="1" w:styleId="53">
    <w:name w:val="DataTypeTok"/>
    <w:basedOn w:val="48"/>
    <w:qFormat/>
    <w:uiPriority w:val="0"/>
    <w:rPr>
      <w:color w:val="902000"/>
    </w:rPr>
  </w:style>
  <w:style w:type="character" w:customStyle="1" w:styleId="54">
    <w:name w:val="DecValTok"/>
    <w:basedOn w:val="48"/>
    <w:qFormat/>
    <w:uiPriority w:val="0"/>
    <w:rPr>
      <w:color w:val="40A070"/>
    </w:rPr>
  </w:style>
  <w:style w:type="character" w:customStyle="1" w:styleId="55">
    <w:name w:val="BaseNTok"/>
    <w:basedOn w:val="48"/>
    <w:qFormat/>
    <w:uiPriority w:val="0"/>
    <w:rPr>
      <w:color w:val="40A070"/>
    </w:rPr>
  </w:style>
  <w:style w:type="character" w:customStyle="1" w:styleId="56">
    <w:name w:val="FloatTok"/>
    <w:basedOn w:val="48"/>
    <w:qFormat/>
    <w:uiPriority w:val="0"/>
    <w:rPr>
      <w:color w:val="40A070"/>
    </w:rPr>
  </w:style>
  <w:style w:type="character" w:customStyle="1" w:styleId="57">
    <w:name w:val="ConstantTok"/>
    <w:basedOn w:val="48"/>
    <w:qFormat/>
    <w:uiPriority w:val="0"/>
    <w:rPr>
      <w:color w:val="880000"/>
    </w:rPr>
  </w:style>
  <w:style w:type="character" w:customStyle="1" w:styleId="58">
    <w:name w:val="CharTok"/>
    <w:basedOn w:val="48"/>
    <w:qFormat/>
    <w:uiPriority w:val="0"/>
    <w:rPr>
      <w:color w:val="4070A0"/>
    </w:rPr>
  </w:style>
  <w:style w:type="character" w:customStyle="1" w:styleId="59">
    <w:name w:val="SpecialCharTok"/>
    <w:basedOn w:val="48"/>
    <w:qFormat/>
    <w:uiPriority w:val="0"/>
    <w:rPr>
      <w:color w:val="4070A0"/>
    </w:rPr>
  </w:style>
  <w:style w:type="character" w:customStyle="1" w:styleId="60">
    <w:name w:val="StringTok"/>
    <w:basedOn w:val="48"/>
    <w:qFormat/>
    <w:uiPriority w:val="0"/>
    <w:rPr>
      <w:color w:val="4070A0"/>
    </w:rPr>
  </w:style>
  <w:style w:type="character" w:customStyle="1" w:styleId="61">
    <w:name w:val="VerbatimStringTok"/>
    <w:basedOn w:val="48"/>
    <w:qFormat/>
    <w:uiPriority w:val="0"/>
    <w:rPr>
      <w:color w:val="4070A0"/>
    </w:rPr>
  </w:style>
  <w:style w:type="character" w:customStyle="1" w:styleId="62">
    <w:name w:val="SpecialStringTok"/>
    <w:basedOn w:val="48"/>
    <w:qFormat/>
    <w:uiPriority w:val="0"/>
    <w:rPr>
      <w:color w:val="BB6688"/>
    </w:rPr>
  </w:style>
  <w:style w:type="character" w:customStyle="1" w:styleId="63">
    <w:name w:val="ImportTok"/>
    <w:basedOn w:val="48"/>
    <w:qFormat/>
    <w:uiPriority w:val="0"/>
    <w:rPr>
      <w:b/>
      <w:color w:val="008000"/>
    </w:rPr>
  </w:style>
  <w:style w:type="character" w:customStyle="1" w:styleId="64">
    <w:name w:val="CommentTok"/>
    <w:basedOn w:val="48"/>
    <w:qFormat/>
    <w:uiPriority w:val="0"/>
    <w:rPr>
      <w:i/>
      <w:color w:val="60A0B0"/>
    </w:rPr>
  </w:style>
  <w:style w:type="character" w:customStyle="1" w:styleId="65">
    <w:name w:val="DocumentationTok"/>
    <w:basedOn w:val="48"/>
    <w:qFormat/>
    <w:uiPriority w:val="0"/>
    <w:rPr>
      <w:i/>
      <w:color w:val="BA2121"/>
    </w:rPr>
  </w:style>
  <w:style w:type="character" w:customStyle="1" w:styleId="66">
    <w:name w:val="AnnotationTok"/>
    <w:basedOn w:val="48"/>
    <w:qFormat/>
    <w:uiPriority w:val="0"/>
    <w:rPr>
      <w:b/>
      <w:i/>
      <w:color w:val="60A0B0"/>
    </w:rPr>
  </w:style>
  <w:style w:type="character" w:customStyle="1" w:styleId="67">
    <w:name w:val="CommentVarTok"/>
    <w:basedOn w:val="48"/>
    <w:qFormat/>
    <w:uiPriority w:val="0"/>
    <w:rPr>
      <w:b/>
      <w:i/>
      <w:color w:val="60A0B0"/>
    </w:rPr>
  </w:style>
  <w:style w:type="character" w:customStyle="1" w:styleId="68">
    <w:name w:val="OtherTok"/>
    <w:basedOn w:val="48"/>
    <w:qFormat/>
    <w:uiPriority w:val="0"/>
    <w:rPr>
      <w:color w:val="007020"/>
    </w:rPr>
  </w:style>
  <w:style w:type="character" w:customStyle="1" w:styleId="69">
    <w:name w:val="FunctionTok"/>
    <w:basedOn w:val="48"/>
    <w:qFormat/>
    <w:uiPriority w:val="0"/>
    <w:rPr>
      <w:color w:val="06287E"/>
    </w:rPr>
  </w:style>
  <w:style w:type="character" w:customStyle="1" w:styleId="70">
    <w:name w:val="VariableTok"/>
    <w:basedOn w:val="48"/>
    <w:qFormat/>
    <w:uiPriority w:val="0"/>
    <w:rPr>
      <w:color w:val="19177C"/>
    </w:rPr>
  </w:style>
  <w:style w:type="character" w:customStyle="1" w:styleId="71">
    <w:name w:val="ControlFlowTok"/>
    <w:basedOn w:val="48"/>
    <w:qFormat/>
    <w:uiPriority w:val="0"/>
    <w:rPr>
      <w:b/>
      <w:color w:val="007020"/>
    </w:rPr>
  </w:style>
  <w:style w:type="character" w:customStyle="1" w:styleId="72">
    <w:name w:val="OperatorTok"/>
    <w:basedOn w:val="48"/>
    <w:qFormat/>
    <w:uiPriority w:val="0"/>
    <w:rPr>
      <w:color w:val="666666"/>
    </w:rPr>
  </w:style>
  <w:style w:type="character" w:customStyle="1" w:styleId="73">
    <w:name w:val="BuiltInTok"/>
    <w:basedOn w:val="48"/>
    <w:qFormat/>
    <w:uiPriority w:val="0"/>
    <w:rPr>
      <w:color w:val="008000"/>
    </w:rPr>
  </w:style>
  <w:style w:type="character" w:customStyle="1" w:styleId="74">
    <w:name w:val="ExtensionTok"/>
    <w:basedOn w:val="48"/>
    <w:qFormat/>
    <w:uiPriority w:val="0"/>
  </w:style>
  <w:style w:type="character" w:customStyle="1" w:styleId="75">
    <w:name w:val="PreprocessorTok"/>
    <w:basedOn w:val="48"/>
    <w:qFormat/>
    <w:uiPriority w:val="0"/>
    <w:rPr>
      <w:color w:val="BC7A00"/>
    </w:rPr>
  </w:style>
  <w:style w:type="character" w:customStyle="1" w:styleId="76">
    <w:name w:val="AttributeTok"/>
    <w:basedOn w:val="48"/>
    <w:qFormat/>
    <w:uiPriority w:val="0"/>
    <w:rPr>
      <w:color w:val="7D9029"/>
    </w:rPr>
  </w:style>
  <w:style w:type="character" w:customStyle="1" w:styleId="77">
    <w:name w:val="RegionMarkerTok"/>
    <w:basedOn w:val="48"/>
    <w:qFormat/>
    <w:uiPriority w:val="0"/>
  </w:style>
  <w:style w:type="character" w:customStyle="1" w:styleId="78">
    <w:name w:val="InformationTok"/>
    <w:basedOn w:val="48"/>
    <w:qFormat/>
    <w:uiPriority w:val="0"/>
    <w:rPr>
      <w:b/>
      <w:i/>
      <w:color w:val="60A0B0"/>
    </w:rPr>
  </w:style>
  <w:style w:type="character" w:customStyle="1" w:styleId="79">
    <w:name w:val="WarningTok"/>
    <w:basedOn w:val="48"/>
    <w:qFormat/>
    <w:uiPriority w:val="0"/>
    <w:rPr>
      <w:b/>
      <w:i/>
      <w:color w:val="60A0B0"/>
    </w:rPr>
  </w:style>
  <w:style w:type="character" w:customStyle="1" w:styleId="80">
    <w:name w:val="AlertTok"/>
    <w:basedOn w:val="48"/>
    <w:qFormat/>
    <w:uiPriority w:val="0"/>
    <w:rPr>
      <w:b/>
      <w:color w:val="FF0000"/>
    </w:rPr>
  </w:style>
  <w:style w:type="character" w:customStyle="1" w:styleId="81">
    <w:name w:val="ErrorTok"/>
    <w:basedOn w:val="48"/>
    <w:qFormat/>
    <w:uiPriority w:val="0"/>
    <w:rPr>
      <w:b/>
      <w:color w:val="FF0000"/>
    </w:rPr>
  </w:style>
  <w:style w:type="character" w:customStyle="1" w:styleId="82">
    <w:name w:val="NormalTok"/>
    <w:basedOn w:val="4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414</Words>
  <Characters>2405</Characters>
  <Lines>12</Lines>
  <Paragraphs>8</Paragraphs>
  <TotalTime>3</TotalTime>
  <ScaleCrop>false</ScaleCrop>
  <LinksUpToDate>false</LinksUpToDate>
  <CharactersWithSpaces>2672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1970-01-01T00:00:00Z</dcterms:created>
  <dc:creator>可爱女人</dc:creator>
  <cp:lastModifiedBy>可爱女人</cp:lastModifiedBy>
  <dcterms:modified xsi:type="dcterms:W3CDTF">2026-06-01T07:08:58Z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eyJoZGlkIjoiYTZlODYyYWU3NjQ2MTRlODU5ZjI3Y2YxZTdiZDMzNmUiLCJ1c2VySWQiOiIyNTM2NjIyNzkifQ==</vt:lpwstr>
  </property>
  <property fmtid="{D5CDD505-2E9C-101B-9397-08002B2CF9AE}" pid="3" name="KSOProductBuildVer">
    <vt:lpwstr>2052-12.1.0.26375</vt:lpwstr>
  </property>
  <property fmtid="{D5CDD505-2E9C-101B-9397-08002B2CF9AE}" pid="4" name="ICV">
    <vt:lpwstr>851204A02F3448C482F9738860EDAA8F_13</vt:lpwstr>
  </property>
</Properties>
</file>