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C2E9" w14:textId="77777777" w:rsidR="000B611D" w:rsidRPr="000B611D" w:rsidRDefault="000B611D" w:rsidP="000B611D">
      <w:pPr>
        <w:spacing w:after="0" w:line="480" w:lineRule="auto"/>
        <w:rPr>
          <w:rFonts w:ascii="Times New Roman" w:eastAsia="Times New Roman" w:hAnsi="Times New Roman" w:cs="Times New Roman"/>
          <w:color w:val="000000"/>
          <w:kern w:val="2"/>
          <w:sz w:val="24"/>
          <w:szCs w:val="24"/>
          <w:lang w:eastAsia="ja-JP"/>
        </w:rPr>
      </w:pPr>
      <w:r w:rsidRPr="000B611D">
        <w:rPr>
          <w:rFonts w:ascii="Times New Roman" w:eastAsia="Times New Roman" w:hAnsi="Times New Roman" w:cs="Times New Roman"/>
          <w:b/>
          <w:color w:val="000000"/>
          <w:kern w:val="2"/>
          <w:sz w:val="24"/>
          <w:szCs w:val="24"/>
          <w:lang w:eastAsia="ja-JP"/>
        </w:rPr>
        <w:t xml:space="preserve">Title: </w:t>
      </w:r>
      <w:r w:rsidRPr="000B611D">
        <w:rPr>
          <w:rFonts w:ascii="Times New Roman" w:eastAsia="Times New Roman" w:hAnsi="Times New Roman" w:cs="Times New Roman"/>
          <w:color w:val="000000"/>
          <w:kern w:val="2"/>
          <w:sz w:val="24"/>
          <w:szCs w:val="24"/>
          <w:lang w:eastAsia="ja-JP"/>
        </w:rPr>
        <w:t>A skeletal–smooth muscle interface mediates levator ani attachment to the rectum and vagina: a macroscopic and histological study</w:t>
      </w:r>
    </w:p>
    <w:p w14:paraId="761EA49A" w14:textId="77777777" w:rsidR="000B611D" w:rsidRPr="0033621B" w:rsidRDefault="000B611D" w:rsidP="000B611D">
      <w:pPr>
        <w:spacing w:after="0" w:line="480" w:lineRule="auto"/>
        <w:rPr>
          <w:rFonts w:ascii="Times New Roman" w:hAnsi="Times New Roman" w:cs="Times New Roman" w:hint="eastAsia"/>
          <w:b/>
          <w:kern w:val="2"/>
          <w:sz w:val="24"/>
          <w:szCs w:val="24"/>
          <w:lang w:val="es-ES_tradnl" w:eastAsia="ja-JP"/>
        </w:rPr>
      </w:pPr>
    </w:p>
    <w:p w14:paraId="109DAE38" w14:textId="77777777" w:rsidR="000B611D" w:rsidRPr="000B611D" w:rsidRDefault="000B611D" w:rsidP="000B611D">
      <w:pPr>
        <w:spacing w:after="0" w:line="480" w:lineRule="auto"/>
        <w:rPr>
          <w:rFonts w:ascii="Times New Roman" w:eastAsia="Times New Roman" w:hAnsi="Times New Roman" w:cs="Times New Roman"/>
          <w:b/>
          <w:kern w:val="2"/>
          <w:sz w:val="24"/>
          <w:szCs w:val="24"/>
          <w:lang w:val="es-ES_tradnl" w:eastAsia="ja-JP"/>
        </w:rPr>
      </w:pPr>
      <w:proofErr w:type="spellStart"/>
      <w:r w:rsidRPr="000B611D">
        <w:rPr>
          <w:rFonts w:ascii="Times New Roman" w:eastAsia="Times New Roman" w:hAnsi="Times New Roman" w:cs="Times New Roman"/>
          <w:b/>
          <w:kern w:val="2"/>
          <w:sz w:val="24"/>
          <w:szCs w:val="24"/>
          <w:lang w:val="es-ES_tradnl" w:eastAsia="ja-JP"/>
        </w:rPr>
        <w:t>Authors</w:t>
      </w:r>
      <w:proofErr w:type="spellEnd"/>
      <w:r w:rsidRPr="000B611D">
        <w:rPr>
          <w:rFonts w:ascii="Times New Roman" w:eastAsia="Times New Roman" w:hAnsi="Times New Roman" w:cs="Times New Roman"/>
          <w:b/>
          <w:kern w:val="2"/>
          <w:sz w:val="24"/>
          <w:szCs w:val="24"/>
          <w:lang w:val="es-ES_tradnl" w:eastAsia="ja-JP"/>
        </w:rPr>
        <w:t>:</w:t>
      </w:r>
      <w:r w:rsidRPr="000B611D">
        <w:rPr>
          <w:rFonts w:ascii="Times New Roman" w:eastAsia="Times New Roman" w:hAnsi="Times New Roman" w:cs="Times New Roman"/>
          <w:kern w:val="2"/>
          <w:sz w:val="24"/>
          <w:szCs w:val="24"/>
          <w:lang w:val="es-ES_tradnl" w:eastAsia="ja-JP"/>
        </w:rPr>
        <w:t xml:space="preserve">  Satoru Muro</w:t>
      </w:r>
      <w:r w:rsidRPr="000B611D">
        <w:rPr>
          <w:rFonts w:ascii="Times New Roman" w:eastAsia="Times New Roman" w:hAnsi="Times New Roman" w:cs="Times New Roman"/>
          <w:kern w:val="2"/>
          <w:sz w:val="24"/>
          <w:szCs w:val="24"/>
          <w:vertAlign w:val="superscript"/>
          <w:lang w:val="es-ES_tradnl" w:eastAsia="ja-JP"/>
        </w:rPr>
        <w:t>1</w:t>
      </w:r>
      <w:r w:rsidRPr="000B611D">
        <w:rPr>
          <w:rFonts w:ascii="Times New Roman" w:eastAsia="Times New Roman" w:hAnsi="Times New Roman" w:cs="Times New Roman"/>
          <w:b/>
          <w:kern w:val="2"/>
          <w:sz w:val="24"/>
          <w:szCs w:val="24"/>
          <w:vertAlign w:val="superscript"/>
          <w:lang w:val="es-ES_tradnl" w:eastAsia="ja-JP"/>
        </w:rPr>
        <w:t>*</w:t>
      </w:r>
      <w:r w:rsidRPr="000B611D">
        <w:rPr>
          <w:rFonts w:ascii="Times New Roman" w:eastAsia="Times New Roman" w:hAnsi="Times New Roman" w:cs="Times New Roman"/>
          <w:kern w:val="2"/>
          <w:sz w:val="24"/>
          <w:szCs w:val="24"/>
          <w:lang w:val="es-ES_tradnl" w:eastAsia="ja-JP"/>
        </w:rPr>
        <w:t>, Akimoto Nimura</w:t>
      </w:r>
      <w:r w:rsidRPr="000B611D">
        <w:rPr>
          <w:rFonts w:ascii="Times New Roman" w:eastAsia="Times New Roman" w:hAnsi="Times New Roman" w:cs="Times New Roman"/>
          <w:kern w:val="2"/>
          <w:sz w:val="24"/>
          <w:szCs w:val="24"/>
          <w:vertAlign w:val="superscript"/>
          <w:lang w:val="es-ES_tradnl" w:eastAsia="ja-JP"/>
        </w:rPr>
        <w:t>2</w:t>
      </w:r>
      <w:r w:rsidRPr="000B611D">
        <w:rPr>
          <w:rFonts w:ascii="Times New Roman" w:eastAsia="Times New Roman" w:hAnsi="Times New Roman" w:cs="Times New Roman"/>
          <w:kern w:val="2"/>
          <w:sz w:val="24"/>
          <w:szCs w:val="24"/>
          <w:lang w:val="es-ES_tradnl" w:eastAsia="ja-JP"/>
        </w:rPr>
        <w:t>, Keiichi Akita</w:t>
      </w:r>
      <w:r w:rsidRPr="000B611D">
        <w:rPr>
          <w:rFonts w:ascii="Times New Roman" w:eastAsia="Times New Roman" w:hAnsi="Times New Roman" w:cs="Times New Roman"/>
          <w:kern w:val="2"/>
          <w:sz w:val="24"/>
          <w:szCs w:val="24"/>
          <w:vertAlign w:val="superscript"/>
          <w:lang w:val="es-ES_tradnl" w:eastAsia="ja-JP"/>
        </w:rPr>
        <w:t>1</w:t>
      </w:r>
    </w:p>
    <w:p w14:paraId="0C316101" w14:textId="77777777" w:rsidR="000B611D" w:rsidRPr="000B611D" w:rsidRDefault="000B611D" w:rsidP="000B611D">
      <w:pPr>
        <w:spacing w:after="0" w:line="480" w:lineRule="auto"/>
        <w:rPr>
          <w:rFonts w:ascii="Times New Roman" w:eastAsia="Times New Roman" w:hAnsi="Times New Roman" w:cs="Times New Roman"/>
          <w:kern w:val="2"/>
          <w:sz w:val="24"/>
          <w:szCs w:val="24"/>
          <w:lang w:val="es-ES_tradnl" w:eastAsia="ja-JP"/>
        </w:rPr>
      </w:pPr>
    </w:p>
    <w:p w14:paraId="5D6321DA" w14:textId="77777777" w:rsidR="000B611D" w:rsidRPr="000B611D" w:rsidRDefault="000B611D" w:rsidP="000B611D">
      <w:pPr>
        <w:spacing w:after="0" w:line="480" w:lineRule="auto"/>
        <w:rPr>
          <w:rFonts w:ascii="Times New Roman" w:eastAsia="Times New Roman" w:hAnsi="Times New Roman" w:cs="Times New Roman"/>
          <w:kern w:val="2"/>
          <w:sz w:val="24"/>
          <w:szCs w:val="24"/>
          <w:lang w:val="es-ES_tradnl" w:eastAsia="ja-JP"/>
        </w:rPr>
      </w:pPr>
      <w:r w:rsidRPr="000B611D">
        <w:rPr>
          <w:rFonts w:ascii="Times New Roman" w:eastAsia="Times New Roman" w:hAnsi="Times New Roman" w:cs="Times New Roman"/>
          <w:b/>
          <w:kern w:val="2"/>
          <w:sz w:val="24"/>
          <w:szCs w:val="24"/>
          <w:vertAlign w:val="superscript"/>
          <w:lang w:val="es-ES_tradnl" w:eastAsia="ja-JP"/>
        </w:rPr>
        <w:t>*</w:t>
      </w:r>
      <w:proofErr w:type="spellStart"/>
      <w:r w:rsidRPr="000B611D">
        <w:rPr>
          <w:rFonts w:ascii="Times New Roman" w:eastAsia="Times New Roman" w:hAnsi="Times New Roman" w:cs="Times New Roman"/>
          <w:b/>
          <w:kern w:val="2"/>
          <w:sz w:val="24"/>
          <w:szCs w:val="24"/>
          <w:lang w:val="es-ES_tradnl" w:eastAsia="ja-JP"/>
        </w:rPr>
        <w:t>Corresponding</w:t>
      </w:r>
      <w:proofErr w:type="spellEnd"/>
      <w:r w:rsidRPr="000B611D">
        <w:rPr>
          <w:rFonts w:ascii="Times New Roman" w:eastAsia="Times New Roman" w:hAnsi="Times New Roman" w:cs="Times New Roman"/>
          <w:b/>
          <w:kern w:val="2"/>
          <w:sz w:val="24"/>
          <w:szCs w:val="24"/>
          <w:lang w:val="es-ES_tradnl" w:eastAsia="ja-JP"/>
        </w:rPr>
        <w:t xml:space="preserve"> Author:</w:t>
      </w:r>
      <w:r w:rsidRPr="000B611D">
        <w:rPr>
          <w:rFonts w:ascii="Times New Roman" w:eastAsia="Times New Roman" w:hAnsi="Times New Roman" w:cs="Times New Roman"/>
          <w:kern w:val="2"/>
          <w:sz w:val="24"/>
          <w:szCs w:val="24"/>
          <w:lang w:val="es-ES_tradnl" w:eastAsia="ja-JP"/>
        </w:rPr>
        <w:t xml:space="preserve"> Dr. Satoru Muro, </w:t>
      </w:r>
      <w:proofErr w:type="spellStart"/>
      <w:r w:rsidRPr="000B611D">
        <w:rPr>
          <w:rFonts w:ascii="Times New Roman" w:eastAsia="Times New Roman" w:hAnsi="Times New Roman" w:cs="Times New Roman"/>
          <w:kern w:val="2"/>
          <w:sz w:val="24"/>
          <w:szCs w:val="24"/>
          <w:lang w:val="es-ES_tradnl" w:eastAsia="ja-JP"/>
        </w:rPr>
        <w:t>Department</w:t>
      </w:r>
      <w:proofErr w:type="spellEnd"/>
      <w:r w:rsidRPr="000B611D">
        <w:rPr>
          <w:rFonts w:ascii="Times New Roman" w:eastAsia="Times New Roman" w:hAnsi="Times New Roman" w:cs="Times New Roman"/>
          <w:kern w:val="2"/>
          <w:sz w:val="24"/>
          <w:szCs w:val="24"/>
          <w:lang w:val="es-ES_tradnl" w:eastAsia="ja-JP"/>
        </w:rPr>
        <w:t xml:space="preserve"> of </w:t>
      </w:r>
      <w:proofErr w:type="spellStart"/>
      <w:r w:rsidRPr="000B611D">
        <w:rPr>
          <w:rFonts w:ascii="Times New Roman" w:eastAsia="Times New Roman" w:hAnsi="Times New Roman" w:cs="Times New Roman"/>
          <w:kern w:val="2"/>
          <w:sz w:val="24"/>
          <w:szCs w:val="24"/>
          <w:lang w:val="es-ES_tradnl" w:eastAsia="ja-JP"/>
        </w:rPr>
        <w:t>Clinical</w:t>
      </w:r>
      <w:proofErr w:type="spellEnd"/>
      <w:r w:rsidRPr="000B611D">
        <w:rPr>
          <w:rFonts w:ascii="Times New Roman" w:eastAsia="Times New Roman" w:hAnsi="Times New Roman" w:cs="Times New Roman"/>
          <w:kern w:val="2"/>
          <w:sz w:val="24"/>
          <w:szCs w:val="24"/>
          <w:lang w:val="es-ES_tradnl" w:eastAsia="ja-JP"/>
        </w:rPr>
        <w:t xml:space="preserve"> Anatomy, </w:t>
      </w:r>
      <w:proofErr w:type="spellStart"/>
      <w:r w:rsidRPr="000B611D">
        <w:rPr>
          <w:rFonts w:ascii="Times New Roman" w:eastAsia="Times New Roman" w:hAnsi="Times New Roman" w:cs="Times New Roman"/>
          <w:kern w:val="2"/>
          <w:sz w:val="24"/>
          <w:szCs w:val="24"/>
          <w:lang w:val="es-ES_tradnl" w:eastAsia="ja-JP"/>
        </w:rPr>
        <w:t>Graduate</w:t>
      </w:r>
      <w:proofErr w:type="spellEnd"/>
      <w:r w:rsidRPr="000B611D">
        <w:rPr>
          <w:rFonts w:ascii="Times New Roman" w:eastAsia="Times New Roman" w:hAnsi="Times New Roman" w:cs="Times New Roman"/>
          <w:kern w:val="2"/>
          <w:sz w:val="24"/>
          <w:szCs w:val="24"/>
          <w:lang w:val="es-ES_tradnl" w:eastAsia="ja-JP"/>
        </w:rPr>
        <w:t xml:space="preserve"> School of Medical and Dental </w:t>
      </w:r>
      <w:proofErr w:type="spellStart"/>
      <w:r w:rsidRPr="000B611D">
        <w:rPr>
          <w:rFonts w:ascii="Times New Roman" w:eastAsia="Times New Roman" w:hAnsi="Times New Roman" w:cs="Times New Roman"/>
          <w:kern w:val="2"/>
          <w:sz w:val="24"/>
          <w:szCs w:val="24"/>
          <w:lang w:val="es-ES_tradnl" w:eastAsia="ja-JP"/>
        </w:rPr>
        <w:t>Sciences</w:t>
      </w:r>
      <w:proofErr w:type="spellEnd"/>
      <w:r w:rsidRPr="000B611D">
        <w:rPr>
          <w:rFonts w:ascii="Times New Roman" w:eastAsia="Times New Roman" w:hAnsi="Times New Roman" w:cs="Times New Roman"/>
          <w:kern w:val="2"/>
          <w:sz w:val="24"/>
          <w:szCs w:val="24"/>
          <w:lang w:val="es-ES_tradnl" w:eastAsia="ja-JP"/>
        </w:rPr>
        <w:t xml:space="preserve">, </w:t>
      </w:r>
      <w:proofErr w:type="spellStart"/>
      <w:r w:rsidRPr="000B611D">
        <w:rPr>
          <w:rFonts w:ascii="Times New Roman" w:eastAsia="Times New Roman" w:hAnsi="Times New Roman" w:cs="Times New Roman"/>
          <w:kern w:val="2"/>
          <w:sz w:val="24"/>
          <w:szCs w:val="24"/>
          <w:lang w:val="es-ES_tradnl" w:eastAsia="ja-JP"/>
        </w:rPr>
        <w:t>Institute</w:t>
      </w:r>
      <w:proofErr w:type="spellEnd"/>
      <w:r w:rsidRPr="000B611D">
        <w:rPr>
          <w:rFonts w:ascii="Times New Roman" w:eastAsia="Times New Roman" w:hAnsi="Times New Roman" w:cs="Times New Roman"/>
          <w:kern w:val="2"/>
          <w:sz w:val="24"/>
          <w:szCs w:val="24"/>
          <w:lang w:val="es-ES_tradnl" w:eastAsia="ja-JP"/>
        </w:rPr>
        <w:t xml:space="preserve"> of Science Tokyo, 1-5-45 </w:t>
      </w:r>
      <w:proofErr w:type="spellStart"/>
      <w:r w:rsidRPr="000B611D">
        <w:rPr>
          <w:rFonts w:ascii="Times New Roman" w:eastAsia="Times New Roman" w:hAnsi="Times New Roman" w:cs="Times New Roman"/>
          <w:kern w:val="2"/>
          <w:sz w:val="24"/>
          <w:szCs w:val="24"/>
          <w:lang w:val="es-ES_tradnl" w:eastAsia="ja-JP"/>
        </w:rPr>
        <w:t>Yushima</w:t>
      </w:r>
      <w:proofErr w:type="spellEnd"/>
      <w:r w:rsidRPr="000B611D">
        <w:rPr>
          <w:rFonts w:ascii="Times New Roman" w:eastAsia="Times New Roman" w:hAnsi="Times New Roman" w:cs="Times New Roman"/>
          <w:kern w:val="2"/>
          <w:sz w:val="24"/>
          <w:szCs w:val="24"/>
          <w:lang w:val="es-ES_tradnl" w:eastAsia="ja-JP"/>
        </w:rPr>
        <w:t xml:space="preserve">, </w:t>
      </w:r>
      <w:proofErr w:type="spellStart"/>
      <w:r w:rsidRPr="000B611D">
        <w:rPr>
          <w:rFonts w:ascii="Times New Roman" w:eastAsia="Times New Roman" w:hAnsi="Times New Roman" w:cs="Times New Roman"/>
          <w:kern w:val="2"/>
          <w:sz w:val="24"/>
          <w:szCs w:val="24"/>
          <w:lang w:val="es-ES_tradnl" w:eastAsia="ja-JP"/>
        </w:rPr>
        <w:t>Bunkyo-ku</w:t>
      </w:r>
      <w:proofErr w:type="spellEnd"/>
      <w:r w:rsidRPr="000B611D">
        <w:rPr>
          <w:rFonts w:ascii="Times New Roman" w:eastAsia="Times New Roman" w:hAnsi="Times New Roman" w:cs="Times New Roman"/>
          <w:kern w:val="2"/>
          <w:sz w:val="24"/>
          <w:szCs w:val="24"/>
          <w:lang w:val="es-ES_tradnl" w:eastAsia="ja-JP"/>
        </w:rPr>
        <w:t>, Tokyo 113-8510, Japan</w:t>
      </w:r>
    </w:p>
    <w:p w14:paraId="3F1694C4" w14:textId="77777777" w:rsidR="000B611D" w:rsidRPr="000B611D" w:rsidRDefault="000B611D" w:rsidP="000B611D">
      <w:pPr>
        <w:spacing w:after="0" w:line="480" w:lineRule="auto"/>
        <w:rPr>
          <w:rFonts w:ascii="Times New Roman" w:eastAsia="Times New Roman" w:hAnsi="Times New Roman" w:cs="Times New Roman"/>
          <w:kern w:val="2"/>
          <w:sz w:val="24"/>
          <w:szCs w:val="24"/>
          <w:lang w:val="es-ES_tradnl" w:eastAsia="ja-JP"/>
        </w:rPr>
      </w:pPr>
      <w:r w:rsidRPr="000B611D">
        <w:rPr>
          <w:rFonts w:ascii="Times New Roman" w:eastAsia="Times New Roman" w:hAnsi="Times New Roman" w:cs="Times New Roman"/>
          <w:kern w:val="2"/>
          <w:sz w:val="24"/>
          <w:szCs w:val="24"/>
          <w:lang w:val="es-ES_tradnl" w:eastAsia="ja-JP"/>
        </w:rPr>
        <w:t>Email: muro.fana@tmd.ac.jp</w:t>
      </w:r>
    </w:p>
    <w:p w14:paraId="6056049C" w14:textId="77777777" w:rsidR="000B611D" w:rsidRPr="000B611D" w:rsidRDefault="000B611D" w:rsidP="000B611D">
      <w:pPr>
        <w:spacing w:after="0" w:line="480" w:lineRule="auto"/>
        <w:rPr>
          <w:rFonts w:ascii="Times New Roman" w:eastAsia="Times New Roman" w:hAnsi="Times New Roman" w:cs="Times New Roman"/>
          <w:kern w:val="2"/>
          <w:sz w:val="24"/>
          <w:szCs w:val="24"/>
          <w:lang w:val="es-ES_tradnl" w:eastAsia="ja-JP"/>
        </w:rPr>
      </w:pPr>
    </w:p>
    <w:p w14:paraId="5EFBB39B" w14:textId="25B0F7D2" w:rsidR="000B611D" w:rsidRPr="000B611D" w:rsidRDefault="000B611D" w:rsidP="000B611D">
      <w:pPr>
        <w:spacing w:after="0" w:line="480" w:lineRule="auto"/>
        <w:rPr>
          <w:rFonts w:ascii="Times New Roman" w:eastAsia="Times New Roman" w:hAnsi="Times New Roman" w:cs="Times New Roman"/>
          <w:b/>
          <w:kern w:val="2"/>
          <w:sz w:val="24"/>
          <w:szCs w:val="24"/>
          <w:lang w:eastAsia="ja-JP"/>
        </w:rPr>
      </w:pPr>
      <w:r>
        <w:rPr>
          <w:rFonts w:ascii="Times New Roman" w:eastAsia="Times New Roman" w:hAnsi="Times New Roman" w:cs="Times New Roman"/>
          <w:b/>
          <w:kern w:val="2"/>
          <w:sz w:val="24"/>
          <w:szCs w:val="24"/>
          <w:lang w:eastAsia="ja-JP"/>
        </w:rPr>
        <w:t>Online Resource 1</w:t>
      </w:r>
      <w:r w:rsidRPr="000B611D">
        <w:rPr>
          <w:rFonts w:ascii="Times New Roman" w:eastAsia="Times New Roman" w:hAnsi="Times New Roman" w:cs="Times New Roman"/>
          <w:b/>
          <w:kern w:val="2"/>
          <w:sz w:val="24"/>
          <w:szCs w:val="24"/>
          <w:lang w:eastAsia="ja-JP"/>
        </w:rPr>
        <w:t>. Summary of examined LA–visceral interfaces and consistency of structural findings</w:t>
      </w:r>
    </w:p>
    <w:tbl>
      <w:tblPr>
        <w:tblStyle w:val="a3"/>
        <w:tblW w:w="0" w:type="auto"/>
        <w:tblLook w:val="04A0" w:firstRow="1" w:lastRow="0" w:firstColumn="1" w:lastColumn="0" w:noHBand="0" w:noVBand="1"/>
      </w:tblPr>
      <w:tblGrid>
        <w:gridCol w:w="1351"/>
        <w:gridCol w:w="1430"/>
        <w:gridCol w:w="4427"/>
        <w:gridCol w:w="1808"/>
      </w:tblGrid>
      <w:tr w:rsidR="000B611D" w:rsidRPr="000B611D" w14:paraId="29FEE7D0" w14:textId="77777777" w:rsidTr="00660891">
        <w:tc>
          <w:tcPr>
            <w:tcW w:w="1364" w:type="dxa"/>
          </w:tcPr>
          <w:p w14:paraId="79262077" w14:textId="77777777" w:rsidR="000B611D" w:rsidRPr="000B611D" w:rsidRDefault="000B611D" w:rsidP="000B611D">
            <w:pPr>
              <w:jc w:val="center"/>
              <w:rPr>
                <w:rFonts w:ascii="Times New Roman" w:eastAsia="Times New Roman" w:hAnsi="Times New Roman"/>
                <w:b/>
              </w:rPr>
            </w:pPr>
            <w:r w:rsidRPr="000B611D">
              <w:rPr>
                <w:rFonts w:ascii="Times New Roman" w:eastAsia="Times New Roman" w:hAnsi="Times New Roman"/>
                <w:b/>
              </w:rPr>
              <w:t>Interface examined</w:t>
            </w:r>
          </w:p>
        </w:tc>
        <w:tc>
          <w:tcPr>
            <w:tcW w:w="1443" w:type="dxa"/>
          </w:tcPr>
          <w:p w14:paraId="46B8694B" w14:textId="77777777" w:rsidR="000B611D" w:rsidRPr="000B611D" w:rsidRDefault="000B611D" w:rsidP="000B611D">
            <w:pPr>
              <w:jc w:val="right"/>
              <w:rPr>
                <w:rFonts w:ascii="Times New Roman" w:eastAsia="Times New Roman" w:hAnsi="Times New Roman"/>
                <w:b/>
              </w:rPr>
            </w:pPr>
            <w:r w:rsidRPr="000B611D">
              <w:rPr>
                <w:rFonts w:ascii="Times New Roman" w:eastAsia="Times New Roman" w:hAnsi="Times New Roman"/>
                <w:b/>
              </w:rPr>
              <w:t>Specimens analyzed</w:t>
            </w:r>
          </w:p>
        </w:tc>
        <w:tc>
          <w:tcPr>
            <w:tcW w:w="4701" w:type="dxa"/>
          </w:tcPr>
          <w:p w14:paraId="2BAC4A06" w14:textId="77777777" w:rsidR="000B611D" w:rsidRPr="000B611D" w:rsidRDefault="000B611D" w:rsidP="000B611D">
            <w:pPr>
              <w:jc w:val="center"/>
              <w:rPr>
                <w:rFonts w:ascii="Times New Roman" w:eastAsia="Times New Roman" w:hAnsi="Times New Roman"/>
                <w:b/>
              </w:rPr>
            </w:pPr>
            <w:r w:rsidRPr="000B611D">
              <w:rPr>
                <w:rFonts w:ascii="Times New Roman" w:eastAsia="Times New Roman" w:hAnsi="Times New Roman"/>
                <w:b/>
              </w:rPr>
              <w:t>Main structural features</w:t>
            </w:r>
          </w:p>
        </w:tc>
        <w:tc>
          <w:tcPr>
            <w:tcW w:w="1842" w:type="dxa"/>
          </w:tcPr>
          <w:p w14:paraId="0BA0919D" w14:textId="77777777" w:rsidR="000B611D" w:rsidRPr="000B611D" w:rsidRDefault="000B611D" w:rsidP="000B611D">
            <w:pPr>
              <w:jc w:val="center"/>
              <w:rPr>
                <w:rFonts w:ascii="Times New Roman" w:eastAsia="Times New Roman" w:hAnsi="Times New Roman"/>
                <w:b/>
              </w:rPr>
            </w:pPr>
            <w:r w:rsidRPr="000B611D">
              <w:rPr>
                <w:rFonts w:ascii="Times New Roman" w:eastAsia="Times New Roman" w:hAnsi="Times New Roman"/>
                <w:b/>
              </w:rPr>
              <w:t>Consistency</w:t>
            </w:r>
          </w:p>
        </w:tc>
      </w:tr>
      <w:tr w:rsidR="000B611D" w:rsidRPr="000B611D" w14:paraId="2FFF9FE9" w14:textId="77777777" w:rsidTr="00660891">
        <w:tc>
          <w:tcPr>
            <w:tcW w:w="1364" w:type="dxa"/>
          </w:tcPr>
          <w:p w14:paraId="330FDDBF"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LA–rectal interface</w:t>
            </w:r>
          </w:p>
        </w:tc>
        <w:tc>
          <w:tcPr>
            <w:tcW w:w="1443" w:type="dxa"/>
          </w:tcPr>
          <w:p w14:paraId="02BAB14C" w14:textId="77777777" w:rsidR="000B611D" w:rsidRPr="000B611D" w:rsidRDefault="000B611D" w:rsidP="000B611D">
            <w:pPr>
              <w:jc w:val="right"/>
              <w:rPr>
                <w:rFonts w:ascii="Times New Roman" w:eastAsia="Times New Roman" w:hAnsi="Times New Roman"/>
              </w:rPr>
            </w:pPr>
            <w:r w:rsidRPr="000B611D">
              <w:rPr>
                <w:rFonts w:ascii="Times New Roman" w:eastAsia="Times New Roman" w:hAnsi="Times New Roman"/>
              </w:rPr>
              <w:t>n = 6</w:t>
            </w:r>
          </w:p>
        </w:tc>
        <w:tc>
          <w:tcPr>
            <w:tcW w:w="4701" w:type="dxa"/>
          </w:tcPr>
          <w:p w14:paraId="4F3059F8"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Smooth muscle components continuous with the rectal longitudinal muscle layer extended beyond the rectal wall, spread over the superior and inferior surfaces of the LA, and interdigitated between skeletal muscle bundles of the LA</w:t>
            </w:r>
          </w:p>
        </w:tc>
        <w:tc>
          <w:tcPr>
            <w:tcW w:w="1842" w:type="dxa"/>
          </w:tcPr>
          <w:p w14:paraId="0CF86321"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Observed consistently across specimens</w:t>
            </w:r>
          </w:p>
        </w:tc>
      </w:tr>
      <w:tr w:rsidR="000B611D" w:rsidRPr="000B611D" w14:paraId="046FA2C3" w14:textId="77777777" w:rsidTr="00660891">
        <w:tc>
          <w:tcPr>
            <w:tcW w:w="1364" w:type="dxa"/>
          </w:tcPr>
          <w:p w14:paraId="7CA68CF3"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LA–vaginal interface</w:t>
            </w:r>
          </w:p>
        </w:tc>
        <w:tc>
          <w:tcPr>
            <w:tcW w:w="1443" w:type="dxa"/>
          </w:tcPr>
          <w:p w14:paraId="1C7A4848" w14:textId="77777777" w:rsidR="000B611D" w:rsidRPr="000B611D" w:rsidRDefault="000B611D" w:rsidP="000B611D">
            <w:pPr>
              <w:jc w:val="right"/>
              <w:rPr>
                <w:rFonts w:ascii="Times New Roman" w:eastAsia="Times New Roman" w:hAnsi="Times New Roman"/>
              </w:rPr>
            </w:pPr>
            <w:r w:rsidRPr="000B611D">
              <w:rPr>
                <w:rFonts w:ascii="Times New Roman" w:eastAsia="Times New Roman" w:hAnsi="Times New Roman"/>
              </w:rPr>
              <w:t>n = 4</w:t>
            </w:r>
          </w:p>
        </w:tc>
        <w:tc>
          <w:tcPr>
            <w:tcW w:w="4701" w:type="dxa"/>
          </w:tcPr>
          <w:p w14:paraId="1A33AB54"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Smooth muscle components continuous with the vaginal muscular layer extended laterally, enveloped adjacent LA bundles, and interdigitated between skeletal muscle bundles of the LA</w:t>
            </w:r>
          </w:p>
        </w:tc>
        <w:tc>
          <w:tcPr>
            <w:tcW w:w="1842" w:type="dxa"/>
          </w:tcPr>
          <w:p w14:paraId="4B407FB2" w14:textId="77777777" w:rsidR="000B611D" w:rsidRPr="000B611D" w:rsidRDefault="000B611D" w:rsidP="000B611D">
            <w:pPr>
              <w:rPr>
                <w:rFonts w:ascii="Times New Roman" w:eastAsia="Times New Roman" w:hAnsi="Times New Roman"/>
              </w:rPr>
            </w:pPr>
            <w:r w:rsidRPr="000B611D">
              <w:rPr>
                <w:rFonts w:ascii="Times New Roman" w:eastAsia="Times New Roman" w:hAnsi="Times New Roman"/>
              </w:rPr>
              <w:t>Observed consistently across specimens</w:t>
            </w:r>
          </w:p>
        </w:tc>
      </w:tr>
    </w:tbl>
    <w:p w14:paraId="49C3D72D" w14:textId="77777777" w:rsidR="000B611D" w:rsidRPr="000B611D" w:rsidRDefault="000B611D" w:rsidP="000B611D">
      <w:pPr>
        <w:spacing w:after="0" w:line="480" w:lineRule="auto"/>
        <w:rPr>
          <w:rFonts w:ascii="Times New Roman" w:eastAsia="Times New Roman" w:hAnsi="Times New Roman" w:cs="Times New Roman"/>
          <w:kern w:val="2"/>
          <w:sz w:val="24"/>
          <w:szCs w:val="24"/>
          <w:lang w:eastAsia="ja-JP"/>
        </w:rPr>
      </w:pPr>
      <w:r w:rsidRPr="000B611D">
        <w:rPr>
          <w:rFonts w:ascii="Times New Roman" w:eastAsia="Times New Roman" w:hAnsi="Times New Roman" w:cs="Times New Roman"/>
          <w:kern w:val="2"/>
          <w:sz w:val="24"/>
          <w:szCs w:val="24"/>
          <w:lang w:eastAsia="ja-JP"/>
        </w:rPr>
        <w:t xml:space="preserve">LA, levator ani. </w:t>
      </w:r>
    </w:p>
    <w:p w14:paraId="414720DF" w14:textId="5CEFAD57" w:rsidR="000B611D" w:rsidRPr="000B611D" w:rsidRDefault="000B611D" w:rsidP="000B611D">
      <w:pPr>
        <w:spacing w:after="0" w:line="480" w:lineRule="auto"/>
        <w:rPr>
          <w:rFonts w:ascii="Times New Roman" w:eastAsia="Times New Roman" w:hAnsi="Times New Roman" w:cs="Times New Roman"/>
          <w:kern w:val="2"/>
          <w:sz w:val="24"/>
          <w:szCs w:val="24"/>
          <w:lang w:eastAsia="ja-JP"/>
        </w:rPr>
      </w:pPr>
      <w:r w:rsidRPr="000B611D">
        <w:rPr>
          <w:rFonts w:ascii="Times New Roman" w:eastAsia="Times New Roman" w:hAnsi="Times New Roman" w:cs="Times New Roman"/>
          <w:kern w:val="2"/>
          <w:sz w:val="24"/>
          <w:szCs w:val="24"/>
          <w:lang w:eastAsia="ja-JP"/>
        </w:rPr>
        <w:t>Minor interindividual variation was observed, primarily in the gross prominence and apparent thickness of smooth muscle components spreading over the superior and inferior surfaces of the LA; these variations were not quantitatively assessed.</w:t>
      </w:r>
    </w:p>
    <w:p w14:paraId="60C4E0F4" w14:textId="77777777" w:rsidR="00287D48" w:rsidRDefault="00287D48"/>
    <w:sectPr w:rsidR="00287D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11D"/>
    <w:rsid w:val="00010EC1"/>
    <w:rsid w:val="000B611D"/>
    <w:rsid w:val="00287D48"/>
    <w:rsid w:val="0033621B"/>
    <w:rsid w:val="009E5EBE"/>
    <w:rsid w:val="00F642E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41C8E2"/>
  <w15:chartTrackingRefBased/>
  <w15:docId w15:val="{F18E2FB0-1EC5-4C3C-96A4-6568A11E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Grid Table Light"/>
    <w:basedOn w:val="a1"/>
    <w:uiPriority w:val="40"/>
    <w:rsid w:val="000B611D"/>
    <w:pPr>
      <w:spacing w:after="0" w:line="240" w:lineRule="auto"/>
    </w:pPr>
    <w:rPr>
      <w:rFonts w:ascii="Cambria" w:eastAsia="ＭＳ 明朝" w:hAnsi="Cambria" w:cs="Times New Roman"/>
      <w:kern w:val="2"/>
      <w:sz w:val="24"/>
      <w:szCs w:val="24"/>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4">
    <w:name w:val="annotation text"/>
    <w:basedOn w:val="a"/>
    <w:link w:val="a5"/>
    <w:uiPriority w:val="99"/>
    <w:semiHidden/>
    <w:unhideWhenUsed/>
    <w:rsid w:val="000B611D"/>
    <w:pPr>
      <w:spacing w:line="240" w:lineRule="auto"/>
    </w:pPr>
    <w:rPr>
      <w:sz w:val="20"/>
      <w:szCs w:val="20"/>
    </w:rPr>
  </w:style>
  <w:style w:type="character" w:customStyle="1" w:styleId="a5">
    <w:name w:val="コメント文字列 (文字)"/>
    <w:basedOn w:val="a0"/>
    <w:link w:val="a4"/>
    <w:uiPriority w:val="99"/>
    <w:semiHidden/>
    <w:rsid w:val="000B611D"/>
    <w:rPr>
      <w:sz w:val="20"/>
      <w:szCs w:val="20"/>
      <w:lang w:val="en-US"/>
    </w:rPr>
  </w:style>
  <w:style w:type="character" w:styleId="a6">
    <w:name w:val="annotation reference"/>
    <w:basedOn w:val="a0"/>
    <w:uiPriority w:val="99"/>
    <w:semiHidden/>
    <w:unhideWhenUsed/>
    <w:rsid w:val="000B611D"/>
    <w:rPr>
      <w:sz w:val="16"/>
    </w:rPr>
  </w:style>
  <w:style w:type="paragraph" w:styleId="a7">
    <w:name w:val="Balloon Text"/>
    <w:basedOn w:val="a"/>
    <w:link w:val="a8"/>
    <w:uiPriority w:val="99"/>
    <w:semiHidden/>
    <w:unhideWhenUsed/>
    <w:rsid w:val="000B611D"/>
    <w:pPr>
      <w:spacing w:after="0" w:line="240" w:lineRule="auto"/>
    </w:pPr>
    <w:rPr>
      <w:rFonts w:ascii="Segoe UI" w:hAnsi="Segoe UI" w:cs="Segoe UI"/>
      <w:sz w:val="18"/>
      <w:szCs w:val="18"/>
    </w:rPr>
  </w:style>
  <w:style w:type="character" w:customStyle="1" w:styleId="a8">
    <w:name w:val="吹き出し (文字)"/>
    <w:basedOn w:val="a0"/>
    <w:link w:val="a7"/>
    <w:uiPriority w:val="99"/>
    <w:semiHidden/>
    <w:rsid w:val="000B611D"/>
    <w:rPr>
      <w:rFonts w:ascii="Segoe UI" w:hAnsi="Segoe UI" w:cs="Segoe UI"/>
      <w:sz w:val="18"/>
      <w:szCs w:val="18"/>
      <w:lang w:val="en-US"/>
    </w:rPr>
  </w:style>
  <w:style w:type="paragraph" w:styleId="a9">
    <w:name w:val="Revision"/>
    <w:hidden/>
    <w:uiPriority w:val="99"/>
    <w:semiHidden/>
    <w:rsid w:val="00F642E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807128">
      <w:bodyDiv w:val="1"/>
      <w:marLeft w:val="0"/>
      <w:marRight w:val="0"/>
      <w:marTop w:val="0"/>
      <w:marBottom w:val="0"/>
      <w:divBdr>
        <w:top w:val="none" w:sz="0" w:space="0" w:color="auto"/>
        <w:left w:val="none" w:sz="0" w:space="0" w:color="auto"/>
        <w:bottom w:val="none" w:sz="0" w:space="0" w:color="auto"/>
        <w:right w:val="none" w:sz="0" w:space="0" w:color="auto"/>
      </w:divBdr>
      <w:divsChild>
        <w:div w:id="1842700883">
          <w:marLeft w:val="0"/>
          <w:marRight w:val="0"/>
          <w:marTop w:val="0"/>
          <w:marBottom w:val="300"/>
          <w:divBdr>
            <w:top w:val="single" w:sz="2" w:space="0" w:color="E5E7EB"/>
            <w:left w:val="single" w:sz="2" w:space="0" w:color="E5E7EB"/>
            <w:bottom w:val="single" w:sz="6" w:space="0" w:color="E2EDF2"/>
            <w:right w:val="single" w:sz="2" w:space="0" w:color="E5E7EB"/>
          </w:divBdr>
          <w:divsChild>
            <w:div w:id="2119058580">
              <w:marLeft w:val="0"/>
              <w:marRight w:val="0"/>
              <w:marTop w:val="0"/>
              <w:marBottom w:val="300"/>
              <w:divBdr>
                <w:top w:val="single" w:sz="2" w:space="0" w:color="E5E7EB"/>
                <w:left w:val="single" w:sz="18" w:space="8" w:color="D7E5EC"/>
                <w:bottom w:val="single" w:sz="2" w:space="0" w:color="E5E7EB"/>
                <w:right w:val="single" w:sz="2" w:space="0" w:color="E5E7EB"/>
              </w:divBdr>
              <w:divsChild>
                <w:div w:id="284777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88118386">
      <w:bodyDiv w:val="1"/>
      <w:marLeft w:val="0"/>
      <w:marRight w:val="0"/>
      <w:marTop w:val="0"/>
      <w:marBottom w:val="0"/>
      <w:divBdr>
        <w:top w:val="none" w:sz="0" w:space="0" w:color="auto"/>
        <w:left w:val="none" w:sz="0" w:space="0" w:color="auto"/>
        <w:bottom w:val="none" w:sz="0" w:space="0" w:color="auto"/>
        <w:right w:val="none" w:sz="0" w:space="0" w:color="auto"/>
      </w:divBdr>
      <w:divsChild>
        <w:div w:id="1969165629">
          <w:marLeft w:val="0"/>
          <w:marRight w:val="0"/>
          <w:marTop w:val="0"/>
          <w:marBottom w:val="300"/>
          <w:divBdr>
            <w:top w:val="single" w:sz="2" w:space="0" w:color="E5E7EB"/>
            <w:left w:val="single" w:sz="2" w:space="0" w:color="E5E7EB"/>
            <w:bottom w:val="single" w:sz="6" w:space="0" w:color="E2EDF2"/>
            <w:right w:val="single" w:sz="2" w:space="0" w:color="E5E7EB"/>
          </w:divBdr>
          <w:divsChild>
            <w:div w:id="1945070389">
              <w:marLeft w:val="0"/>
              <w:marRight w:val="0"/>
              <w:marTop w:val="0"/>
              <w:marBottom w:val="300"/>
              <w:divBdr>
                <w:top w:val="single" w:sz="2" w:space="0" w:color="E5E7EB"/>
                <w:left w:val="single" w:sz="18" w:space="8" w:color="D7E5EC"/>
                <w:bottom w:val="single" w:sz="2" w:space="0" w:color="E5E7EB"/>
                <w:right w:val="single" w:sz="2" w:space="0" w:color="E5E7EB"/>
              </w:divBdr>
              <w:divsChild>
                <w:div w:id="966425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暁 室生</cp:lastModifiedBy>
  <cp:revision>3</cp:revision>
  <dcterms:created xsi:type="dcterms:W3CDTF">2026-05-31T12:18:00Z</dcterms:created>
  <dcterms:modified xsi:type="dcterms:W3CDTF">2026-06-01T06:49:00Z</dcterms:modified>
</cp:coreProperties>
</file>