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E077" w14:textId="1FEA72AC" w:rsidR="00064549" w:rsidRPr="00064549" w:rsidRDefault="007633BA" w:rsidP="00A87D38">
      <w:pPr>
        <w:spacing w:after="0" w:line="360" w:lineRule="auto"/>
        <w:rPr>
          <w:lang w:val="en-US"/>
        </w:rPr>
      </w:pPr>
      <w:r w:rsidRPr="007633BA">
        <w:rPr>
          <w:rFonts w:ascii="Arial" w:eastAsiaTheme="majorEastAsia" w:hAnsi="Arial" w:cs="Arial"/>
          <w:b/>
          <w:bCs/>
          <w:lang w:val="en-US"/>
        </w:rPr>
        <w:t>SUPPLEMENTA</w:t>
      </w:r>
      <w:r w:rsidR="00FC5AF7">
        <w:rPr>
          <w:rFonts w:ascii="Arial" w:eastAsiaTheme="majorEastAsia" w:hAnsi="Arial" w:cs="Arial"/>
          <w:b/>
          <w:bCs/>
          <w:lang w:val="en-US"/>
        </w:rPr>
        <w:t>RY</w:t>
      </w:r>
      <w:r w:rsidRPr="007633BA">
        <w:rPr>
          <w:rFonts w:ascii="Arial" w:eastAsiaTheme="majorEastAsia" w:hAnsi="Arial" w:cs="Arial"/>
          <w:b/>
          <w:bCs/>
          <w:lang w:val="en-US"/>
        </w:rPr>
        <w:t xml:space="preserve"> METHODS</w:t>
      </w:r>
    </w:p>
    <w:p w14:paraId="69F630CE" w14:textId="77777777" w:rsidR="00D15B7E" w:rsidRPr="00494761" w:rsidRDefault="00D15B7E" w:rsidP="00C6789C">
      <w:pPr>
        <w:spacing w:after="0" w:line="360" w:lineRule="auto"/>
        <w:rPr>
          <w:rFonts w:ascii="Arial" w:hAnsi="Arial" w:cs="Arial"/>
          <w:b/>
          <w:bCs/>
          <w:lang w:val="en-GB"/>
        </w:rPr>
      </w:pPr>
    </w:p>
    <w:p w14:paraId="3F589560" w14:textId="53563351" w:rsidR="00D15B7E" w:rsidRPr="00494761" w:rsidRDefault="00FA1AD4" w:rsidP="00C6789C">
      <w:pPr>
        <w:spacing w:after="0" w:line="360" w:lineRule="auto"/>
        <w:rPr>
          <w:rFonts w:ascii="Arial" w:hAnsi="Arial" w:cs="Arial"/>
          <w:b/>
          <w:bCs/>
          <w:lang w:val="en-GB"/>
        </w:rPr>
      </w:pPr>
      <w:r w:rsidRPr="00494761">
        <w:rPr>
          <w:rFonts w:ascii="Arial" w:hAnsi="Arial" w:cs="Arial"/>
          <w:b/>
          <w:bCs/>
          <w:lang w:val="en-GB"/>
        </w:rPr>
        <w:t>Tissue dissociation from FFPE sections</w:t>
      </w:r>
    </w:p>
    <w:p w14:paraId="0586B1EC" w14:textId="6939A5BC" w:rsidR="00FA1AD4" w:rsidRPr="00FA1AD4" w:rsidRDefault="00FA1AD4" w:rsidP="00C6789C">
      <w:pPr>
        <w:spacing w:after="0" w:line="360" w:lineRule="auto"/>
        <w:jc w:val="both"/>
        <w:rPr>
          <w:rFonts w:ascii="Arial" w:hAnsi="Arial" w:cs="Arial"/>
          <w:lang w:val="en-GB"/>
        </w:rPr>
      </w:pPr>
      <w:r w:rsidRPr="00FA1AD4">
        <w:rPr>
          <w:rFonts w:ascii="Arial" w:hAnsi="Arial" w:cs="Arial"/>
          <w:lang w:val="en-GB"/>
        </w:rPr>
        <w:t xml:space="preserve">For each case, 60-µm FFPE tissue sections were cut using a microtome and transferred into </w:t>
      </w:r>
      <w:proofErr w:type="spellStart"/>
      <w:r w:rsidRPr="00FA1AD4">
        <w:rPr>
          <w:rFonts w:ascii="Arial" w:hAnsi="Arial" w:cs="Arial"/>
          <w:lang w:val="en-GB"/>
        </w:rPr>
        <w:t>GentleMACS</w:t>
      </w:r>
      <w:proofErr w:type="spellEnd"/>
      <w:r w:rsidRPr="00FA1AD4">
        <w:rPr>
          <w:rFonts w:ascii="Arial" w:hAnsi="Arial" w:cs="Arial"/>
          <w:lang w:val="en-GB"/>
        </w:rPr>
        <w:t>™ tubes (</w:t>
      </w:r>
      <w:proofErr w:type="spellStart"/>
      <w:r w:rsidRPr="00FA1AD4">
        <w:rPr>
          <w:rFonts w:ascii="Arial" w:hAnsi="Arial" w:cs="Arial"/>
          <w:lang w:val="en-GB"/>
        </w:rPr>
        <w:t>Miltenyi</w:t>
      </w:r>
      <w:proofErr w:type="spellEnd"/>
      <w:r w:rsidRPr="00FA1AD4">
        <w:rPr>
          <w:rFonts w:ascii="Arial" w:hAnsi="Arial" w:cs="Arial"/>
          <w:lang w:val="en-GB"/>
        </w:rPr>
        <w:t xml:space="preserve"> Biotec). Sections were deparaffinised by </w:t>
      </w:r>
      <w:r w:rsidR="009C5A84">
        <w:rPr>
          <w:rFonts w:ascii="Arial" w:hAnsi="Arial" w:cs="Arial"/>
          <w:lang w:val="en-GB"/>
        </w:rPr>
        <w:t>three</w:t>
      </w:r>
      <w:r w:rsidR="009C5A84" w:rsidRPr="00FA1AD4">
        <w:rPr>
          <w:rFonts w:ascii="Arial" w:hAnsi="Arial" w:cs="Arial"/>
          <w:lang w:val="en-GB"/>
        </w:rPr>
        <w:t xml:space="preserve"> </w:t>
      </w:r>
      <w:r w:rsidRPr="00FA1AD4">
        <w:rPr>
          <w:rFonts w:ascii="Arial" w:hAnsi="Arial" w:cs="Arial"/>
          <w:lang w:val="en-GB"/>
        </w:rPr>
        <w:t>incubations in Bio-Clear (Bio-</w:t>
      </w:r>
      <w:proofErr w:type="spellStart"/>
      <w:r w:rsidRPr="00FA1AD4">
        <w:rPr>
          <w:rFonts w:ascii="Arial" w:hAnsi="Arial" w:cs="Arial"/>
          <w:lang w:val="en-GB"/>
        </w:rPr>
        <w:t>Optica</w:t>
      </w:r>
      <w:proofErr w:type="spellEnd"/>
      <w:r w:rsidRPr="00FA1AD4">
        <w:rPr>
          <w:rFonts w:ascii="Arial" w:hAnsi="Arial" w:cs="Arial"/>
          <w:lang w:val="en-GB"/>
        </w:rPr>
        <w:t xml:space="preserve">) for 10 min each, followed by sequential rehydration in 100%, </w:t>
      </w:r>
      <w:r w:rsidR="009C5A84">
        <w:rPr>
          <w:rFonts w:ascii="Arial" w:hAnsi="Arial" w:cs="Arial"/>
          <w:lang w:val="en-GB"/>
        </w:rPr>
        <w:t>70</w:t>
      </w:r>
      <w:r w:rsidRPr="00FA1AD4">
        <w:rPr>
          <w:rFonts w:ascii="Arial" w:hAnsi="Arial" w:cs="Arial"/>
          <w:lang w:val="en-GB"/>
        </w:rPr>
        <w:t xml:space="preserve">% and </w:t>
      </w:r>
      <w:r w:rsidR="009C5A84">
        <w:rPr>
          <w:rFonts w:ascii="Arial" w:hAnsi="Arial" w:cs="Arial"/>
          <w:lang w:val="en-GB"/>
        </w:rPr>
        <w:t>5</w:t>
      </w:r>
      <w:r w:rsidRPr="00FA1AD4">
        <w:rPr>
          <w:rFonts w:ascii="Arial" w:hAnsi="Arial" w:cs="Arial"/>
          <w:lang w:val="en-GB"/>
        </w:rPr>
        <w:t>0% ethanol (</w:t>
      </w:r>
      <w:r w:rsidR="009C5A84">
        <w:rPr>
          <w:rFonts w:ascii="Arial" w:hAnsi="Arial" w:cs="Arial"/>
          <w:lang w:val="en-GB"/>
        </w:rPr>
        <w:t>1</w:t>
      </w:r>
      <w:r w:rsidRPr="00FA1AD4">
        <w:rPr>
          <w:rFonts w:ascii="Arial" w:hAnsi="Arial" w:cs="Arial"/>
          <w:lang w:val="en-GB"/>
        </w:rPr>
        <w:t xml:space="preserve"> min per step) and a final wash in </w:t>
      </w:r>
      <w:r w:rsidR="009C5A84">
        <w:rPr>
          <w:rFonts w:ascii="Arial" w:hAnsi="Arial" w:cs="Arial"/>
          <w:lang w:val="en-GB"/>
        </w:rPr>
        <w:t>Milli-Q</w:t>
      </w:r>
      <w:r w:rsidR="009C5A84" w:rsidRPr="00FA1AD4">
        <w:rPr>
          <w:rFonts w:ascii="Arial" w:hAnsi="Arial" w:cs="Arial"/>
          <w:lang w:val="en-GB"/>
        </w:rPr>
        <w:t xml:space="preserve"> </w:t>
      </w:r>
      <w:r w:rsidRPr="00FA1AD4">
        <w:rPr>
          <w:rFonts w:ascii="Arial" w:hAnsi="Arial" w:cs="Arial"/>
          <w:lang w:val="en-GB"/>
        </w:rPr>
        <w:t>water. Antigen retrieval was performed by incubating samples in Tris/EDTA buffer (10 mM Tris, 1 mM EDTA, pH 8.0)</w:t>
      </w:r>
      <w:r w:rsidR="009C5A84">
        <w:rPr>
          <w:rFonts w:ascii="Arial" w:hAnsi="Arial" w:cs="Arial"/>
          <w:lang w:val="en-GB"/>
        </w:rPr>
        <w:t xml:space="preserve"> for 1 minute at room temperature (RT) and then</w:t>
      </w:r>
      <w:r w:rsidRPr="00FA1AD4">
        <w:rPr>
          <w:rFonts w:ascii="Arial" w:hAnsi="Arial" w:cs="Arial"/>
          <w:lang w:val="en-GB"/>
        </w:rPr>
        <w:t xml:space="preserve"> for 30 min at 95 °C in a water bath. Tubes were allowed to cool to </w:t>
      </w:r>
      <w:r w:rsidR="009C5A84">
        <w:rPr>
          <w:rFonts w:ascii="Arial" w:hAnsi="Arial" w:cs="Arial"/>
          <w:lang w:val="en-GB"/>
        </w:rPr>
        <w:t>RT</w:t>
      </w:r>
      <w:r w:rsidRPr="00FA1AD4">
        <w:rPr>
          <w:rFonts w:ascii="Arial" w:hAnsi="Arial" w:cs="Arial"/>
          <w:lang w:val="en-GB"/>
        </w:rPr>
        <w:t xml:space="preserve"> for 20 min and washed twice in Hank’s Balanced Salt Solution (HBSS; Gibco).</w:t>
      </w:r>
      <w:r w:rsidR="00494761">
        <w:rPr>
          <w:rFonts w:ascii="Arial" w:hAnsi="Arial" w:cs="Arial"/>
          <w:lang w:val="en-GB"/>
        </w:rPr>
        <w:t xml:space="preserve"> </w:t>
      </w:r>
      <w:r w:rsidRPr="00FA1AD4">
        <w:rPr>
          <w:rFonts w:ascii="Arial" w:hAnsi="Arial" w:cs="Arial"/>
          <w:lang w:val="en-GB"/>
        </w:rPr>
        <w:t xml:space="preserve">Enzymatic and mechanical dissociation were carried out by adding collagenase IV (final concentration 1 mg/mL) and </w:t>
      </w:r>
      <w:proofErr w:type="spellStart"/>
      <w:r w:rsidRPr="00FA1AD4">
        <w:rPr>
          <w:rFonts w:ascii="Arial" w:hAnsi="Arial" w:cs="Arial"/>
          <w:lang w:val="en-GB"/>
        </w:rPr>
        <w:t>CaCl</w:t>
      </w:r>
      <w:proofErr w:type="spellEnd"/>
      <w:r w:rsidRPr="00FA1AD4">
        <w:rPr>
          <w:rFonts w:ascii="Cambria Math" w:hAnsi="Cambria Math" w:cs="Cambria Math"/>
          <w:lang w:val="en-GB"/>
        </w:rPr>
        <w:t>₂</w:t>
      </w:r>
      <w:r w:rsidRPr="00FA1AD4">
        <w:rPr>
          <w:rFonts w:ascii="Arial" w:hAnsi="Arial" w:cs="Arial"/>
          <w:lang w:val="en-GB"/>
        </w:rPr>
        <w:t xml:space="preserve"> (5 mM) in HBSS, followed by incubation at 37 °C for 10 min. Samples were processed on a </w:t>
      </w:r>
      <w:proofErr w:type="spellStart"/>
      <w:r w:rsidRPr="00FA1AD4">
        <w:rPr>
          <w:rFonts w:ascii="Arial" w:hAnsi="Arial" w:cs="Arial"/>
          <w:lang w:val="en-GB"/>
        </w:rPr>
        <w:t>GentleMACS</w:t>
      </w:r>
      <w:proofErr w:type="spellEnd"/>
      <w:r w:rsidRPr="00FA1AD4">
        <w:rPr>
          <w:rFonts w:ascii="Arial" w:hAnsi="Arial" w:cs="Arial"/>
          <w:lang w:val="en-GB"/>
        </w:rPr>
        <w:t xml:space="preserve">™ </w:t>
      </w:r>
      <w:proofErr w:type="spellStart"/>
      <w:r w:rsidRPr="00FA1AD4">
        <w:rPr>
          <w:rFonts w:ascii="Arial" w:hAnsi="Arial" w:cs="Arial"/>
          <w:lang w:val="en-GB"/>
        </w:rPr>
        <w:t>dissociator</w:t>
      </w:r>
      <w:proofErr w:type="spellEnd"/>
      <w:r w:rsidRPr="00FA1AD4">
        <w:rPr>
          <w:rFonts w:ascii="Arial" w:hAnsi="Arial" w:cs="Arial"/>
          <w:lang w:val="en-GB"/>
        </w:rPr>
        <w:t xml:space="preserve"> using the manufacturer’s program C, inspected microscopically, </w:t>
      </w:r>
      <w:r w:rsidR="009C5A84">
        <w:rPr>
          <w:rFonts w:ascii="Arial" w:hAnsi="Arial" w:cs="Arial"/>
          <w:lang w:val="en-GB"/>
        </w:rPr>
        <w:t xml:space="preserve">up to 4 runs, </w:t>
      </w:r>
      <w:r w:rsidRPr="00FA1AD4">
        <w:rPr>
          <w:rFonts w:ascii="Arial" w:hAnsi="Arial" w:cs="Arial"/>
          <w:lang w:val="en-GB"/>
        </w:rPr>
        <w:t>and, if necessary, subjected to an additional cycle (program D) until a predominantly single-cell suspension was obtained. Cell suspensions were passed through 100-µm cell strainers, centrifuged at 1,000 × g for 5 min and the supernatant was discarded. Pellets were washed twice with washing buffer (0.5% bovine serum albumin, 50 mM Tris, 150 mM NaCl, 0.1% Tween-20, pH 7.6), resuspended in the same buffer and counted prior to immunofluorescent staining.</w:t>
      </w:r>
    </w:p>
    <w:p w14:paraId="5F15FFCE" w14:textId="77777777" w:rsidR="00FA1AD4" w:rsidRPr="00FA1AD4" w:rsidRDefault="00FA1AD4" w:rsidP="00C6789C">
      <w:pPr>
        <w:spacing w:after="0" w:line="360" w:lineRule="auto"/>
        <w:jc w:val="both"/>
        <w:rPr>
          <w:rFonts w:ascii="Arial" w:hAnsi="Arial" w:cs="Arial"/>
          <w:lang w:val="en-GB"/>
        </w:rPr>
      </w:pPr>
    </w:p>
    <w:p w14:paraId="20A71A1A" w14:textId="45A11749" w:rsidR="00FA1AD4" w:rsidRPr="00FA1AD4" w:rsidRDefault="00FA1AD4" w:rsidP="00C6789C">
      <w:pPr>
        <w:spacing w:after="0" w:line="360" w:lineRule="auto"/>
        <w:jc w:val="both"/>
        <w:rPr>
          <w:rFonts w:ascii="Arial" w:eastAsia="Arial" w:hAnsi="Arial" w:cs="Arial"/>
          <w:b/>
          <w:bCs/>
          <w:lang w:val="en-US"/>
        </w:rPr>
      </w:pPr>
      <w:r w:rsidRPr="00FA1AD4">
        <w:rPr>
          <w:rFonts w:ascii="Arial" w:eastAsia="Arial" w:hAnsi="Arial" w:cs="Arial"/>
          <w:b/>
          <w:bCs/>
          <w:lang w:val="en-US"/>
        </w:rPr>
        <w:t>Immunofluorescent staining</w:t>
      </w:r>
    </w:p>
    <w:p w14:paraId="6254EE75" w14:textId="375F8447" w:rsidR="00FA1AD4" w:rsidRPr="00FA1AD4" w:rsidRDefault="00FA1AD4" w:rsidP="00C6789C">
      <w:pPr>
        <w:spacing w:after="0" w:line="360" w:lineRule="auto"/>
        <w:jc w:val="both"/>
        <w:rPr>
          <w:rFonts w:ascii="Arial" w:eastAsia="Arial" w:hAnsi="Arial" w:cs="Arial"/>
          <w:lang w:val="en-US"/>
        </w:rPr>
      </w:pPr>
      <w:r w:rsidRPr="00FA1AD4">
        <w:rPr>
          <w:rFonts w:ascii="Arial" w:eastAsia="Arial" w:hAnsi="Arial" w:cs="Arial"/>
          <w:lang w:val="en-US"/>
        </w:rPr>
        <w:t>Approximately 5 × 10⁵ cells per sample were resuspended in phosphate-buffered saline (PBS) and incubated with 0.15% H</w:t>
      </w:r>
      <w:r w:rsidRPr="00FA1AD4">
        <w:rPr>
          <w:rFonts w:ascii="Cambria Math" w:eastAsia="Arial" w:hAnsi="Cambria Math" w:cs="Cambria Math"/>
          <w:lang w:val="en-US"/>
        </w:rPr>
        <w:t>₂</w:t>
      </w:r>
      <w:r w:rsidRPr="00FA1AD4">
        <w:rPr>
          <w:rFonts w:ascii="Arial" w:eastAsia="Arial" w:hAnsi="Arial" w:cs="Arial"/>
          <w:lang w:val="en-US"/>
        </w:rPr>
        <w:t>O</w:t>
      </w:r>
      <w:r w:rsidRPr="00FA1AD4">
        <w:rPr>
          <w:rFonts w:ascii="Cambria Math" w:eastAsia="Arial" w:hAnsi="Cambria Math" w:cs="Cambria Math"/>
          <w:lang w:val="en-US"/>
        </w:rPr>
        <w:t>₂</w:t>
      </w:r>
      <w:r w:rsidRPr="00FA1AD4">
        <w:rPr>
          <w:rFonts w:ascii="Arial" w:eastAsia="Arial" w:hAnsi="Arial" w:cs="Arial"/>
          <w:lang w:val="en-US"/>
        </w:rPr>
        <w:t xml:space="preserve"> in PBS for 30 min at room temperature to quench endogenous peroxidase activity. Cells were washed once with PBS and blocked for 30 min in PBS containing 10% goat serum. After centrifugation (1,000 × g, 5 min), pellets were resuspended in blocking buffer containing mouse anti-CD30 monoclonal antibody (clone Ber-H2, 3 µg/mL) and DAPI (10 µM) and incubated for </w:t>
      </w:r>
      <w:r w:rsidR="00C619D6">
        <w:rPr>
          <w:rFonts w:ascii="Arial" w:eastAsia="Arial" w:hAnsi="Arial" w:cs="Arial"/>
          <w:lang w:val="en-US"/>
        </w:rPr>
        <w:t>60</w:t>
      </w:r>
      <w:r w:rsidRPr="00FA1AD4">
        <w:rPr>
          <w:rFonts w:ascii="Arial" w:eastAsia="Arial" w:hAnsi="Arial" w:cs="Arial"/>
          <w:lang w:val="en-US"/>
        </w:rPr>
        <w:t xml:space="preserve"> min at room temperature in the dark. Cells were then washed in PBS with 1% BSA and processed using the Polink-2 HRP Plus Detection System for mouse primary antibodies (Golden Bridge International) following the manufacturer’s protocol. Briefly, Mouse Antibody Enhancer was added for </w:t>
      </w:r>
      <w:r w:rsidR="00C619D6">
        <w:rPr>
          <w:rFonts w:ascii="Arial" w:eastAsia="Arial" w:hAnsi="Arial" w:cs="Arial"/>
          <w:lang w:val="en-US"/>
        </w:rPr>
        <w:t>3</w:t>
      </w:r>
      <w:r w:rsidRPr="00FA1AD4">
        <w:rPr>
          <w:rFonts w:ascii="Arial" w:eastAsia="Arial" w:hAnsi="Arial" w:cs="Arial"/>
          <w:lang w:val="en-US"/>
        </w:rPr>
        <w:t>0 min, followed by HRP Polymer for 30 min</w:t>
      </w:r>
      <w:r w:rsidR="00C619D6">
        <w:rPr>
          <w:rFonts w:ascii="Arial" w:eastAsia="Arial" w:hAnsi="Arial" w:cs="Arial"/>
          <w:lang w:val="en-US"/>
        </w:rPr>
        <w:t xml:space="preserve"> at RT in the dark</w:t>
      </w:r>
      <w:r w:rsidRPr="00FA1AD4">
        <w:rPr>
          <w:rFonts w:ascii="Arial" w:eastAsia="Arial" w:hAnsi="Arial" w:cs="Arial"/>
          <w:lang w:val="en-US"/>
        </w:rPr>
        <w:t xml:space="preserve">, with washes between steps. Alexa Fluor™ 488 </w:t>
      </w:r>
      <w:proofErr w:type="spellStart"/>
      <w:r w:rsidRPr="00FA1AD4">
        <w:rPr>
          <w:rFonts w:ascii="Arial" w:eastAsia="Arial" w:hAnsi="Arial" w:cs="Arial"/>
          <w:lang w:val="en-US"/>
        </w:rPr>
        <w:t>tyramide</w:t>
      </w:r>
      <w:proofErr w:type="spellEnd"/>
      <w:r w:rsidRPr="00FA1AD4">
        <w:rPr>
          <w:rFonts w:ascii="Arial" w:eastAsia="Arial" w:hAnsi="Arial" w:cs="Arial"/>
          <w:lang w:val="en-US"/>
        </w:rPr>
        <w:t xml:space="preserve"> working solution (</w:t>
      </w:r>
      <w:proofErr w:type="spellStart"/>
      <w:r w:rsidRPr="00FA1AD4">
        <w:rPr>
          <w:rFonts w:ascii="Arial" w:eastAsia="Arial" w:hAnsi="Arial" w:cs="Arial"/>
          <w:lang w:val="en-US"/>
        </w:rPr>
        <w:t>Thermo</w:t>
      </w:r>
      <w:proofErr w:type="spellEnd"/>
      <w:r w:rsidRPr="00FA1AD4">
        <w:rPr>
          <w:rFonts w:ascii="Arial" w:eastAsia="Arial" w:hAnsi="Arial" w:cs="Arial"/>
          <w:lang w:val="en-US"/>
        </w:rPr>
        <w:t xml:space="preserve"> Fisher Scientific) was prepared according to the manufacturer’s instructions and added for 10 min </w:t>
      </w:r>
      <w:r w:rsidR="00C619D6">
        <w:rPr>
          <w:rFonts w:ascii="Arial" w:eastAsia="Arial" w:hAnsi="Arial" w:cs="Arial"/>
          <w:lang w:val="en-US"/>
        </w:rPr>
        <w:t xml:space="preserve">at RT in the dark </w:t>
      </w:r>
      <w:r w:rsidRPr="00FA1AD4">
        <w:rPr>
          <w:rFonts w:ascii="Arial" w:eastAsia="Arial" w:hAnsi="Arial" w:cs="Arial"/>
          <w:lang w:val="en-US"/>
        </w:rPr>
        <w:t xml:space="preserve">to amplify the CD30 signal, after which the reaction was stopped by adding 0.5 M EDTA (final concentration 50 mM). Cells were washed twice with </w:t>
      </w:r>
      <w:r w:rsidR="00C619D6">
        <w:rPr>
          <w:rFonts w:ascii="Arial" w:eastAsia="Arial" w:hAnsi="Arial" w:cs="Arial"/>
          <w:lang w:val="en-US"/>
        </w:rPr>
        <w:t>washing buffer</w:t>
      </w:r>
      <w:r w:rsidRPr="00FA1AD4">
        <w:rPr>
          <w:rFonts w:ascii="Arial" w:eastAsia="Arial" w:hAnsi="Arial" w:cs="Arial"/>
          <w:lang w:val="en-US"/>
        </w:rPr>
        <w:t xml:space="preserve">, </w:t>
      </w:r>
      <w:r w:rsidRPr="00FA1AD4">
        <w:rPr>
          <w:rFonts w:ascii="Arial" w:eastAsia="Arial" w:hAnsi="Arial" w:cs="Arial"/>
          <w:lang w:val="en-US"/>
        </w:rPr>
        <w:lastRenderedPageBreak/>
        <w:t xml:space="preserve">resuspended in 20 µL SB115 buffer (Menarini Silicon Biosystems), incubated for 16–72 h at 4 °C in the dark and then loaded </w:t>
      </w:r>
      <w:r w:rsidR="007066BC">
        <w:rPr>
          <w:rFonts w:ascii="Arial" w:eastAsia="Arial" w:hAnsi="Arial" w:cs="Arial"/>
          <w:lang w:val="en-US"/>
        </w:rPr>
        <w:t>i</w:t>
      </w:r>
      <w:r w:rsidRPr="00FA1AD4">
        <w:rPr>
          <w:rFonts w:ascii="Arial" w:eastAsia="Arial" w:hAnsi="Arial" w:cs="Arial"/>
          <w:lang w:val="en-US"/>
        </w:rPr>
        <w:t xml:space="preserve">nto </w:t>
      </w:r>
      <w:proofErr w:type="spellStart"/>
      <w:r w:rsidRPr="00FA1AD4">
        <w:rPr>
          <w:rFonts w:ascii="Arial" w:eastAsia="Arial" w:hAnsi="Arial" w:cs="Arial"/>
          <w:lang w:val="en-US"/>
        </w:rPr>
        <w:t>DEPArray</w:t>
      </w:r>
      <w:proofErr w:type="spellEnd"/>
      <w:r w:rsidRPr="00FA1AD4">
        <w:rPr>
          <w:rFonts w:ascii="Arial" w:eastAsia="Arial" w:hAnsi="Arial" w:cs="Arial"/>
          <w:lang w:val="en-US"/>
        </w:rPr>
        <w:t>™ cartridges.</w:t>
      </w:r>
    </w:p>
    <w:p w14:paraId="1B301A5D" w14:textId="77777777" w:rsidR="00FA1AD4" w:rsidRDefault="00FA1AD4" w:rsidP="00C6789C">
      <w:pPr>
        <w:spacing w:after="0" w:line="360" w:lineRule="auto"/>
        <w:jc w:val="both"/>
        <w:rPr>
          <w:rFonts w:ascii="Arial" w:eastAsia="Arial" w:hAnsi="Arial" w:cs="Arial"/>
          <w:b/>
          <w:bCs/>
          <w:lang w:val="en-US"/>
        </w:rPr>
      </w:pPr>
    </w:p>
    <w:p w14:paraId="61356A1E" w14:textId="4BC6E01B" w:rsidR="00FA1AD4" w:rsidRPr="00FA1AD4" w:rsidRDefault="00FA1AD4" w:rsidP="00C6789C">
      <w:pPr>
        <w:spacing w:after="0" w:line="360" w:lineRule="auto"/>
        <w:jc w:val="both"/>
        <w:rPr>
          <w:rFonts w:ascii="Arial" w:eastAsia="Arial" w:hAnsi="Arial" w:cs="Arial"/>
          <w:b/>
          <w:bCs/>
          <w:lang w:val="en-US"/>
        </w:rPr>
      </w:pPr>
      <w:proofErr w:type="spellStart"/>
      <w:r w:rsidRPr="00FA1AD4">
        <w:rPr>
          <w:rFonts w:ascii="Arial" w:eastAsia="Arial" w:hAnsi="Arial" w:cs="Arial"/>
          <w:b/>
          <w:bCs/>
          <w:lang w:val="en-US"/>
        </w:rPr>
        <w:t>DEPArray</w:t>
      </w:r>
      <w:proofErr w:type="spellEnd"/>
      <w:r w:rsidRPr="00FA1AD4">
        <w:rPr>
          <w:rFonts w:ascii="Arial" w:eastAsia="Arial" w:hAnsi="Arial" w:cs="Arial"/>
          <w:b/>
          <w:bCs/>
          <w:lang w:val="en-US"/>
        </w:rPr>
        <w:t>™ PLUS-based cell sorting and isolation</w:t>
      </w:r>
    </w:p>
    <w:p w14:paraId="5934E5C0" w14:textId="13330273" w:rsidR="00FA1AD4" w:rsidRPr="00FA1AD4" w:rsidRDefault="00FA1AD4" w:rsidP="00C6789C">
      <w:pPr>
        <w:spacing w:after="0" w:line="360" w:lineRule="auto"/>
        <w:jc w:val="both"/>
        <w:rPr>
          <w:rFonts w:ascii="Arial" w:eastAsia="Arial" w:hAnsi="Arial" w:cs="Arial"/>
          <w:lang w:val="en-US"/>
        </w:rPr>
      </w:pPr>
      <w:r w:rsidRPr="00FA1AD4">
        <w:rPr>
          <w:rFonts w:ascii="Arial" w:eastAsia="Arial" w:hAnsi="Arial" w:cs="Arial"/>
          <w:lang w:val="en-US"/>
        </w:rPr>
        <w:t xml:space="preserve">Prior to loading, SB115 buffer was thawed, equilibrated to room temperature and degassed as recommended by the manufacturer. Stained cells were washed twice in </w:t>
      </w:r>
      <w:r w:rsidR="007066BC">
        <w:rPr>
          <w:rFonts w:ascii="Arial" w:eastAsia="Arial" w:hAnsi="Arial" w:cs="Arial"/>
          <w:lang w:val="en-US"/>
        </w:rPr>
        <w:t>degassed SB115</w:t>
      </w:r>
      <w:r w:rsidRPr="00FA1AD4">
        <w:rPr>
          <w:rFonts w:ascii="Arial" w:eastAsia="Arial" w:hAnsi="Arial" w:cs="Arial"/>
          <w:lang w:val="en-US"/>
        </w:rPr>
        <w:t xml:space="preserve">, counted and resuspended in SB115 at a concentration of 1,800–2,000 cells/µL; </w:t>
      </w:r>
      <w:r w:rsidR="007066BC">
        <w:rPr>
          <w:rFonts w:ascii="Arial" w:eastAsia="Arial" w:hAnsi="Arial" w:cs="Arial"/>
          <w:lang w:val="en-US"/>
        </w:rPr>
        <w:t xml:space="preserve">2.5 mL of degassed SB115 buffer was loaded into the </w:t>
      </w:r>
      <w:proofErr w:type="spellStart"/>
      <w:r w:rsidR="007066BC" w:rsidRPr="00FA1AD4">
        <w:rPr>
          <w:rFonts w:ascii="Arial" w:eastAsia="Arial" w:hAnsi="Arial" w:cs="Arial"/>
          <w:lang w:val="en-US"/>
        </w:rPr>
        <w:t>DEPArray</w:t>
      </w:r>
      <w:proofErr w:type="spellEnd"/>
      <w:r w:rsidR="007066BC" w:rsidRPr="00FA1AD4">
        <w:rPr>
          <w:rFonts w:ascii="Arial" w:eastAsia="Arial" w:hAnsi="Arial" w:cs="Arial"/>
          <w:lang w:val="en-US"/>
        </w:rPr>
        <w:t>™ PLUS cartridge</w:t>
      </w:r>
      <w:r w:rsidR="007066BC">
        <w:rPr>
          <w:rFonts w:ascii="Arial" w:eastAsia="Arial" w:hAnsi="Arial" w:cs="Arial"/>
          <w:lang w:val="en-US"/>
        </w:rPr>
        <w:t xml:space="preserve">, followed by </w:t>
      </w:r>
      <w:r w:rsidRPr="00FA1AD4">
        <w:rPr>
          <w:rFonts w:ascii="Arial" w:eastAsia="Arial" w:hAnsi="Arial" w:cs="Arial"/>
          <w:lang w:val="en-US"/>
        </w:rPr>
        <w:t xml:space="preserve">12 µL of </w:t>
      </w:r>
      <w:r w:rsidR="007066BC">
        <w:rPr>
          <w:rFonts w:ascii="Arial" w:eastAsia="Arial" w:hAnsi="Arial" w:cs="Arial"/>
          <w:lang w:val="en-US"/>
        </w:rPr>
        <w:t>cell</w:t>
      </w:r>
      <w:r w:rsidRPr="00FA1AD4">
        <w:rPr>
          <w:rFonts w:ascii="Arial" w:eastAsia="Arial" w:hAnsi="Arial" w:cs="Arial"/>
          <w:lang w:val="en-US"/>
        </w:rPr>
        <w:t xml:space="preserve"> suspension</w:t>
      </w:r>
      <w:r w:rsidR="007066BC">
        <w:rPr>
          <w:rFonts w:ascii="Arial" w:eastAsia="Arial" w:hAnsi="Arial" w:cs="Arial"/>
          <w:lang w:val="en-US"/>
        </w:rPr>
        <w:t xml:space="preserve">. </w:t>
      </w:r>
      <w:r w:rsidRPr="00FA1AD4">
        <w:rPr>
          <w:rFonts w:ascii="Arial" w:eastAsia="Arial" w:hAnsi="Arial" w:cs="Arial"/>
          <w:lang w:val="en-US"/>
        </w:rPr>
        <w:t xml:space="preserve">After dielectrophoretic cage formation, single cells were </w:t>
      </w:r>
      <w:r w:rsidR="00494761" w:rsidRPr="00FA1AD4">
        <w:rPr>
          <w:rFonts w:ascii="Arial" w:eastAsia="Arial" w:hAnsi="Arial" w:cs="Arial"/>
          <w:lang w:val="en-US"/>
        </w:rPr>
        <w:t>visualized</w:t>
      </w:r>
      <w:r w:rsidRPr="00FA1AD4">
        <w:rPr>
          <w:rFonts w:ascii="Arial" w:eastAsia="Arial" w:hAnsi="Arial" w:cs="Arial"/>
          <w:lang w:val="en-US"/>
        </w:rPr>
        <w:t xml:space="preserve"> on the </w:t>
      </w:r>
      <w:proofErr w:type="spellStart"/>
      <w:r w:rsidRPr="00FA1AD4">
        <w:rPr>
          <w:rFonts w:ascii="Arial" w:eastAsia="Arial" w:hAnsi="Arial" w:cs="Arial"/>
          <w:lang w:val="en-US"/>
        </w:rPr>
        <w:t>DEPArray</w:t>
      </w:r>
      <w:proofErr w:type="spellEnd"/>
      <w:r w:rsidRPr="00FA1AD4">
        <w:rPr>
          <w:rFonts w:ascii="Arial" w:eastAsia="Arial" w:hAnsi="Arial" w:cs="Arial"/>
          <w:lang w:val="en-US"/>
        </w:rPr>
        <w:t>™ PLUS instrument (Menarini Silicon Biosystems) using DAPI, FITC and brightfield channels. CD30-positive large cells with characteristic Hodgkin and Reed–Sternberg morphology were manually selected as HRS cells, while smaller CD30-negative cells served as non-</w:t>
      </w:r>
      <w:r w:rsidR="00494761" w:rsidRPr="00FA1AD4">
        <w:rPr>
          <w:rFonts w:ascii="Arial" w:eastAsia="Arial" w:hAnsi="Arial" w:cs="Arial"/>
          <w:lang w:val="en-US"/>
        </w:rPr>
        <w:t>tumor</w:t>
      </w:r>
      <w:r w:rsidRPr="00FA1AD4">
        <w:rPr>
          <w:rFonts w:ascii="Arial" w:eastAsia="Arial" w:hAnsi="Arial" w:cs="Arial"/>
          <w:lang w:val="en-US"/>
        </w:rPr>
        <w:t xml:space="preserve"> controls (Supplementary Fig. S</w:t>
      </w:r>
      <w:r w:rsidR="00CD730E">
        <w:rPr>
          <w:rFonts w:ascii="Arial" w:eastAsia="Arial" w:hAnsi="Arial" w:cs="Arial"/>
          <w:lang w:val="en-US"/>
        </w:rPr>
        <w:t>2</w:t>
      </w:r>
      <w:r w:rsidRPr="00FA1AD4">
        <w:rPr>
          <w:rFonts w:ascii="Arial" w:eastAsia="Arial" w:hAnsi="Arial" w:cs="Arial"/>
          <w:lang w:val="en-US"/>
        </w:rPr>
        <w:t>).</w:t>
      </w:r>
    </w:p>
    <w:p w14:paraId="14ED04DB" w14:textId="0ADD1401" w:rsidR="00FA1AD4" w:rsidRPr="00494761" w:rsidRDefault="00FA1AD4" w:rsidP="00C6789C">
      <w:pPr>
        <w:spacing w:after="0" w:line="360" w:lineRule="auto"/>
        <w:jc w:val="both"/>
        <w:rPr>
          <w:rFonts w:ascii="Arial" w:eastAsia="Arial" w:hAnsi="Arial" w:cs="Arial"/>
          <w:lang w:val="en-GB"/>
        </w:rPr>
      </w:pPr>
      <w:r w:rsidRPr="00FA1AD4">
        <w:rPr>
          <w:rFonts w:ascii="Arial" w:eastAsia="Arial" w:hAnsi="Arial" w:cs="Arial"/>
          <w:lang w:val="en-US"/>
        </w:rPr>
        <w:t>For each case, between 8 and 62 HRS cells (mean 24.5) were collected as one or more bulk pools into 0.2-mL PCR tubes. Tubes were centrifuged at 14,100 × g for 10 min, the supernatant was carefully removed</w:t>
      </w:r>
      <w:r w:rsidR="007066BC">
        <w:rPr>
          <w:rFonts w:ascii="Arial" w:eastAsia="Arial" w:hAnsi="Arial" w:cs="Arial"/>
          <w:lang w:val="en-US"/>
        </w:rPr>
        <w:t xml:space="preserve"> and added 100 µL of PBS 1X and used the volume</w:t>
      </w:r>
      <w:r w:rsidR="00494761">
        <w:rPr>
          <w:rFonts w:ascii="Arial" w:eastAsia="Arial" w:hAnsi="Arial" w:cs="Arial"/>
          <w:lang w:val="en-US"/>
        </w:rPr>
        <w:t xml:space="preserve"> </w:t>
      </w:r>
      <w:r w:rsidR="007066BC">
        <w:rPr>
          <w:rFonts w:ascii="Arial" w:eastAsia="Arial" w:hAnsi="Arial" w:cs="Arial"/>
          <w:lang w:val="en-US"/>
        </w:rPr>
        <w:t xml:space="preserve">reduction instrument </w:t>
      </w:r>
      <w:r w:rsidR="007066BC" w:rsidRPr="00494761">
        <w:rPr>
          <w:rFonts w:ascii="Arial" w:eastAsia="Arial" w:hAnsi="Arial" w:cs="Arial"/>
          <w:lang w:val="en-GB"/>
        </w:rPr>
        <w:t xml:space="preserve">VR </w:t>
      </w:r>
      <w:proofErr w:type="spellStart"/>
      <w:r w:rsidR="007066BC" w:rsidRPr="00494761">
        <w:rPr>
          <w:rFonts w:ascii="Arial" w:eastAsia="Arial" w:hAnsi="Arial" w:cs="Arial"/>
          <w:lang w:val="en-GB"/>
        </w:rPr>
        <w:t>NxT</w:t>
      </w:r>
      <w:proofErr w:type="spellEnd"/>
      <w:r w:rsidR="007066BC" w:rsidRPr="00494761">
        <w:rPr>
          <w:rFonts w:ascii="Arial" w:eastAsia="Arial" w:hAnsi="Arial" w:cs="Arial"/>
          <w:lang w:val="en-GB"/>
        </w:rPr>
        <w:t>™</w:t>
      </w:r>
      <w:r w:rsidR="007066BC">
        <w:rPr>
          <w:rFonts w:ascii="Arial" w:eastAsia="Arial" w:hAnsi="Arial" w:cs="Arial"/>
          <w:lang w:val="en-GB"/>
        </w:rPr>
        <w:t xml:space="preserve"> </w:t>
      </w:r>
      <w:r w:rsidR="001F45B4">
        <w:rPr>
          <w:rFonts w:ascii="Arial" w:eastAsia="Arial" w:hAnsi="Arial" w:cs="Arial"/>
          <w:lang w:val="en-GB"/>
        </w:rPr>
        <w:t>(Menarini Silicon Biosystems)</w:t>
      </w:r>
      <w:r w:rsidR="00494761">
        <w:rPr>
          <w:rFonts w:ascii="Arial" w:eastAsia="Arial" w:hAnsi="Arial" w:cs="Arial"/>
          <w:lang w:val="en-GB"/>
        </w:rPr>
        <w:t xml:space="preserve"> </w:t>
      </w:r>
      <w:r w:rsidRPr="00FA1AD4">
        <w:rPr>
          <w:rFonts w:ascii="Arial" w:eastAsia="Arial" w:hAnsi="Arial" w:cs="Arial"/>
          <w:lang w:val="en-US"/>
        </w:rPr>
        <w:t>leaving ~1–2 µL</w:t>
      </w:r>
      <w:r w:rsidR="007066BC">
        <w:rPr>
          <w:rFonts w:ascii="Arial" w:eastAsia="Arial" w:hAnsi="Arial" w:cs="Arial"/>
          <w:lang w:val="en-US"/>
        </w:rPr>
        <w:t>.</w:t>
      </w:r>
      <w:r w:rsidRPr="00FA1AD4">
        <w:rPr>
          <w:rFonts w:ascii="Arial" w:eastAsia="Arial" w:hAnsi="Arial" w:cs="Arial"/>
          <w:lang w:val="en-US"/>
        </w:rPr>
        <w:t xml:space="preserve"> Pellets were stored at –20 °C until lysis and whole-genome amplification.</w:t>
      </w:r>
    </w:p>
    <w:p w14:paraId="2591FB37" w14:textId="77777777" w:rsidR="00FA1AD4" w:rsidRPr="00494761" w:rsidRDefault="00FA1AD4" w:rsidP="00C6789C">
      <w:pPr>
        <w:spacing w:after="0" w:line="360" w:lineRule="auto"/>
        <w:jc w:val="both"/>
        <w:rPr>
          <w:rFonts w:ascii="Arial" w:eastAsia="Arial" w:hAnsi="Arial" w:cs="Arial"/>
          <w:b/>
          <w:bCs/>
          <w:lang w:val="en-GB"/>
        </w:rPr>
      </w:pPr>
    </w:p>
    <w:p w14:paraId="41609001" w14:textId="77777777" w:rsidR="00FA1AD4" w:rsidRPr="00FA1AD4" w:rsidRDefault="00FA1AD4" w:rsidP="00C6789C">
      <w:pPr>
        <w:spacing w:after="0" w:line="360" w:lineRule="auto"/>
        <w:jc w:val="both"/>
        <w:rPr>
          <w:rFonts w:ascii="Arial" w:eastAsia="Arial" w:hAnsi="Arial" w:cs="Arial"/>
          <w:b/>
          <w:bCs/>
          <w:lang w:val="en-GB"/>
        </w:rPr>
      </w:pPr>
      <w:r w:rsidRPr="00FA1AD4">
        <w:rPr>
          <w:rFonts w:ascii="Arial" w:eastAsia="Arial" w:hAnsi="Arial" w:cs="Arial"/>
          <w:b/>
          <w:bCs/>
          <w:lang w:val="en-GB"/>
        </w:rPr>
        <w:t xml:space="preserve">Whole-genome sequencing analysis </w:t>
      </w:r>
    </w:p>
    <w:p w14:paraId="635FB366" w14:textId="75F07A34" w:rsidR="00FA1AD4" w:rsidRDefault="00FA1AD4" w:rsidP="00C6789C">
      <w:pPr>
        <w:spacing w:after="0" w:line="360" w:lineRule="auto"/>
        <w:jc w:val="both"/>
        <w:rPr>
          <w:rFonts w:ascii="Arial" w:eastAsia="Arial" w:hAnsi="Arial" w:cs="Arial"/>
          <w:lang w:val="en-GB"/>
        </w:rPr>
      </w:pPr>
      <w:r w:rsidRPr="00FA1AD4">
        <w:rPr>
          <w:rFonts w:ascii="Arial" w:eastAsia="Arial" w:hAnsi="Arial" w:cs="Arial"/>
          <w:lang w:val="en-GB"/>
        </w:rPr>
        <w:t xml:space="preserve">Cell pellets were lysed and whole-genome amplification was performed with the </w:t>
      </w:r>
      <w:proofErr w:type="spellStart"/>
      <w:r w:rsidRPr="00FA1AD4">
        <w:rPr>
          <w:rFonts w:ascii="Arial" w:eastAsia="Arial" w:hAnsi="Arial" w:cs="Arial"/>
          <w:lang w:val="en-GB"/>
        </w:rPr>
        <w:t>PicoPLEX</w:t>
      </w:r>
      <w:proofErr w:type="spellEnd"/>
      <w:r w:rsidRPr="00FA1AD4">
        <w:rPr>
          <w:rFonts w:ascii="Arial" w:eastAsia="Arial" w:hAnsi="Arial" w:cs="Arial"/>
          <w:lang w:val="en-GB"/>
        </w:rPr>
        <w:t>® Gold Single Cell DNA-</w:t>
      </w:r>
      <w:proofErr w:type="spellStart"/>
      <w:r w:rsidRPr="00FA1AD4">
        <w:rPr>
          <w:rFonts w:ascii="Arial" w:eastAsia="Arial" w:hAnsi="Arial" w:cs="Arial"/>
          <w:lang w:val="en-GB"/>
        </w:rPr>
        <w:t>Seq</w:t>
      </w:r>
      <w:proofErr w:type="spellEnd"/>
      <w:r w:rsidRPr="00FA1AD4">
        <w:rPr>
          <w:rFonts w:ascii="Arial" w:eastAsia="Arial" w:hAnsi="Arial" w:cs="Arial"/>
          <w:lang w:val="en-GB"/>
        </w:rPr>
        <w:t xml:space="preserve"> kit (Takara Bio) following the manufacturer’s protocol. Amplified DNA was quantified using Qubit dsDNA HS Assay (</w:t>
      </w:r>
      <w:proofErr w:type="spellStart"/>
      <w:r w:rsidRPr="00FA1AD4">
        <w:rPr>
          <w:rFonts w:ascii="Arial" w:eastAsia="Arial" w:hAnsi="Arial" w:cs="Arial"/>
          <w:lang w:val="en-GB"/>
        </w:rPr>
        <w:t>Thermo</w:t>
      </w:r>
      <w:proofErr w:type="spellEnd"/>
      <w:r w:rsidRPr="00FA1AD4">
        <w:rPr>
          <w:rFonts w:ascii="Arial" w:eastAsia="Arial" w:hAnsi="Arial" w:cs="Arial"/>
          <w:lang w:val="en-GB"/>
        </w:rPr>
        <w:t xml:space="preserve"> Fisher Scientific) and fragment size distributions were assessed on a </w:t>
      </w:r>
      <w:proofErr w:type="spellStart"/>
      <w:r w:rsidRPr="00FA1AD4">
        <w:rPr>
          <w:rFonts w:ascii="Arial" w:eastAsia="Arial" w:hAnsi="Arial" w:cs="Arial"/>
          <w:lang w:val="en-GB"/>
        </w:rPr>
        <w:t>TapeStation</w:t>
      </w:r>
      <w:proofErr w:type="spellEnd"/>
      <w:r w:rsidRPr="00FA1AD4">
        <w:rPr>
          <w:rFonts w:ascii="Arial" w:eastAsia="Arial" w:hAnsi="Arial" w:cs="Arial"/>
          <w:lang w:val="en-GB"/>
        </w:rPr>
        <w:t xml:space="preserve"> (Agilent). Dual-indexed libraries were prepared using the DNA HT Dual Index Kit (Takara Bio), pooled at equimolar concentrations and purified with </w:t>
      </w:r>
      <w:proofErr w:type="spellStart"/>
      <w:r w:rsidRPr="00FA1AD4">
        <w:rPr>
          <w:rFonts w:ascii="Arial" w:eastAsia="Arial" w:hAnsi="Arial" w:cs="Arial"/>
          <w:lang w:val="en-GB"/>
        </w:rPr>
        <w:t>AMPure</w:t>
      </w:r>
      <w:proofErr w:type="spellEnd"/>
      <w:r w:rsidRPr="00FA1AD4">
        <w:rPr>
          <w:rFonts w:ascii="Arial" w:eastAsia="Arial" w:hAnsi="Arial" w:cs="Arial"/>
          <w:lang w:val="en-GB"/>
        </w:rPr>
        <w:t xml:space="preserve"> XP beads (Beckman Coulter). Final libraries were sequenced on an Illumina </w:t>
      </w:r>
      <w:proofErr w:type="spellStart"/>
      <w:r w:rsidRPr="00FA1AD4">
        <w:rPr>
          <w:rFonts w:ascii="Arial" w:eastAsia="Arial" w:hAnsi="Arial" w:cs="Arial"/>
          <w:lang w:val="en-GB"/>
        </w:rPr>
        <w:t>NovaSeq</w:t>
      </w:r>
      <w:proofErr w:type="spellEnd"/>
      <w:r w:rsidRPr="00FA1AD4">
        <w:rPr>
          <w:rFonts w:ascii="Arial" w:eastAsia="Arial" w:hAnsi="Arial" w:cs="Arial"/>
          <w:lang w:val="en-GB"/>
        </w:rPr>
        <w:t>™ X system using 2 × 150 bp paired-end chemistry, targeting an average depth of 15× in tumour samples and 4× in matched normal or pooled control samples.</w:t>
      </w:r>
    </w:p>
    <w:p w14:paraId="0913064A" w14:textId="77777777" w:rsidR="00FA1AD4" w:rsidRDefault="00FA1AD4" w:rsidP="00C6789C">
      <w:pPr>
        <w:spacing w:after="0" w:line="360" w:lineRule="auto"/>
        <w:jc w:val="both"/>
        <w:rPr>
          <w:rFonts w:ascii="Arial" w:eastAsia="Arial" w:hAnsi="Arial" w:cs="Arial"/>
          <w:lang w:val="en-GB"/>
        </w:rPr>
      </w:pPr>
    </w:p>
    <w:p w14:paraId="5A4F51C4" w14:textId="6AEDA90C" w:rsidR="00FA1AD4" w:rsidRPr="00FA1AD4" w:rsidRDefault="00FA1AD4" w:rsidP="00C6789C">
      <w:pPr>
        <w:spacing w:after="0" w:line="360" w:lineRule="auto"/>
        <w:jc w:val="both"/>
        <w:rPr>
          <w:rFonts w:ascii="Arial" w:eastAsia="Arial" w:hAnsi="Arial" w:cs="Arial"/>
          <w:lang w:val="en-GB"/>
        </w:rPr>
      </w:pPr>
      <w:r w:rsidRPr="00FA1AD4">
        <w:rPr>
          <w:rFonts w:ascii="Arial" w:eastAsia="Arial" w:hAnsi="Arial" w:cs="Arial"/>
          <w:b/>
          <w:bCs/>
          <w:lang w:val="en-GB"/>
        </w:rPr>
        <w:t>Whole-genome sequencing data processing</w:t>
      </w:r>
    </w:p>
    <w:p w14:paraId="21ED5502" w14:textId="6FB7ED64" w:rsidR="00FA1AD4" w:rsidRDefault="00FA1AD4" w:rsidP="00C6789C">
      <w:pPr>
        <w:spacing w:after="0" w:line="360" w:lineRule="auto"/>
        <w:jc w:val="both"/>
        <w:rPr>
          <w:rFonts w:ascii="Arial" w:eastAsia="Arial" w:hAnsi="Arial" w:cs="Arial"/>
          <w:lang w:val="en-GB"/>
        </w:rPr>
      </w:pPr>
      <w:r w:rsidRPr="00FA1AD4">
        <w:rPr>
          <w:rFonts w:ascii="Arial" w:eastAsia="Arial" w:hAnsi="Arial" w:cs="Arial"/>
          <w:lang w:val="en-GB"/>
        </w:rPr>
        <w:t xml:space="preserve">FASTQ files were inspected using </w:t>
      </w:r>
      <w:proofErr w:type="spellStart"/>
      <w:r w:rsidRPr="00FA1AD4">
        <w:rPr>
          <w:rFonts w:ascii="Arial" w:eastAsia="Arial" w:hAnsi="Arial" w:cs="Arial"/>
          <w:lang w:val="en-GB"/>
        </w:rPr>
        <w:t>fastQC</w:t>
      </w:r>
      <w:proofErr w:type="spellEnd"/>
      <w:r w:rsidRPr="00FA1AD4">
        <w:rPr>
          <w:rFonts w:ascii="Arial" w:eastAsia="Arial" w:hAnsi="Arial" w:cs="Arial"/>
          <w:lang w:val="en-GB"/>
        </w:rPr>
        <w:t xml:space="preserve"> (v0.12) and adapters and low-quality bases were trimmed with Trim Galore (v0.6) using default parameters. Filtered reads were aligned to the GRCh38/hg38 reference genome with BWA-MEM (v0.7.17). BAM files were sorted and indexed with </w:t>
      </w:r>
      <w:proofErr w:type="spellStart"/>
      <w:r w:rsidRPr="00FA1AD4">
        <w:rPr>
          <w:rFonts w:ascii="Arial" w:eastAsia="Arial" w:hAnsi="Arial" w:cs="Arial"/>
          <w:lang w:val="en-GB"/>
        </w:rPr>
        <w:t>Samtools</w:t>
      </w:r>
      <w:proofErr w:type="spellEnd"/>
      <w:r w:rsidRPr="00FA1AD4">
        <w:rPr>
          <w:rFonts w:ascii="Arial" w:eastAsia="Arial" w:hAnsi="Arial" w:cs="Arial"/>
          <w:lang w:val="en-GB"/>
        </w:rPr>
        <w:t xml:space="preserve"> (v1.17), and Picard tools (v2.27) were used to add read groups and mark PCR duplicates. Base quality score recalibration and </w:t>
      </w:r>
      <w:r w:rsidRPr="00FA1AD4">
        <w:rPr>
          <w:rFonts w:ascii="Arial" w:eastAsia="Arial" w:hAnsi="Arial" w:cs="Arial"/>
          <w:lang w:val="en-GB"/>
        </w:rPr>
        <w:lastRenderedPageBreak/>
        <w:t xml:space="preserve">alignment artefact correction were performed with GATK (v4.4) following best-practice recommendations, using known sites from </w:t>
      </w:r>
      <w:proofErr w:type="spellStart"/>
      <w:r w:rsidRPr="00FA1AD4">
        <w:rPr>
          <w:rFonts w:ascii="Arial" w:eastAsia="Arial" w:hAnsi="Arial" w:cs="Arial"/>
          <w:lang w:val="en-GB"/>
        </w:rPr>
        <w:t>dbSNP</w:t>
      </w:r>
      <w:proofErr w:type="spellEnd"/>
      <w:r w:rsidRPr="00FA1AD4">
        <w:rPr>
          <w:rFonts w:ascii="Arial" w:eastAsia="Arial" w:hAnsi="Arial" w:cs="Arial"/>
          <w:lang w:val="en-GB"/>
        </w:rPr>
        <w:t xml:space="preserve"> and Mills and 1000G indels. Final BAMs were evaluated for mapping quality, insert size, depth and coverage uniformity using </w:t>
      </w:r>
      <w:proofErr w:type="spellStart"/>
      <w:r w:rsidRPr="00FA1AD4">
        <w:rPr>
          <w:rFonts w:ascii="Arial" w:eastAsia="Arial" w:hAnsi="Arial" w:cs="Arial"/>
          <w:lang w:val="en-GB"/>
        </w:rPr>
        <w:t>Qualimap</w:t>
      </w:r>
      <w:proofErr w:type="spellEnd"/>
      <w:r w:rsidRPr="00FA1AD4">
        <w:rPr>
          <w:rFonts w:ascii="Arial" w:eastAsia="Arial" w:hAnsi="Arial" w:cs="Arial"/>
          <w:lang w:val="en-GB"/>
        </w:rPr>
        <w:t xml:space="preserve"> (v2.2), and only samples with mean coverage ≥5× and acceptable QC metrics were retained for downstream copy-number, structural variant and mutational signature analyses.</w:t>
      </w:r>
    </w:p>
    <w:p w14:paraId="280AD656" w14:textId="77777777" w:rsidR="00FA1AD4" w:rsidRDefault="00FA1AD4" w:rsidP="00C6789C">
      <w:pPr>
        <w:spacing w:after="0" w:line="360" w:lineRule="auto"/>
        <w:jc w:val="both"/>
        <w:rPr>
          <w:rFonts w:ascii="Arial" w:eastAsia="Arial" w:hAnsi="Arial" w:cs="Arial"/>
          <w:lang w:val="en-GB"/>
        </w:rPr>
      </w:pPr>
    </w:p>
    <w:p w14:paraId="5B550207" w14:textId="5E5527BA" w:rsidR="00FA1AD4" w:rsidRPr="00FA1AD4" w:rsidRDefault="00FA1AD4" w:rsidP="00C6789C">
      <w:pPr>
        <w:spacing w:after="0" w:line="360" w:lineRule="auto"/>
        <w:jc w:val="both"/>
        <w:rPr>
          <w:rFonts w:ascii="Arial" w:eastAsia="Arial" w:hAnsi="Arial" w:cs="Arial"/>
          <w:lang w:val="en-GB"/>
        </w:rPr>
      </w:pPr>
      <w:r w:rsidRPr="00FA1AD4">
        <w:rPr>
          <w:rFonts w:ascii="Arial" w:eastAsia="Arial" w:hAnsi="Arial" w:cs="Arial"/>
          <w:b/>
          <w:bCs/>
          <w:lang w:val="en-GB"/>
        </w:rPr>
        <w:t>Copy-number events</w:t>
      </w:r>
    </w:p>
    <w:p w14:paraId="33E1EB69" w14:textId="7A45655B" w:rsidR="00FA1AD4" w:rsidRDefault="009159B5" w:rsidP="00C6789C">
      <w:pPr>
        <w:spacing w:after="0" w:line="360" w:lineRule="auto"/>
        <w:jc w:val="both"/>
        <w:rPr>
          <w:rFonts w:ascii="Arial" w:eastAsia="Arial" w:hAnsi="Arial" w:cs="Arial"/>
          <w:lang w:val="en-GB"/>
        </w:rPr>
      </w:pPr>
      <w:r w:rsidRPr="009159B5">
        <w:rPr>
          <w:rFonts w:ascii="Arial" w:eastAsia="Arial" w:hAnsi="Arial" w:cs="Arial"/>
          <w:lang w:val="en-GB"/>
        </w:rPr>
        <w:t>Copy-number variations (</w:t>
      </w:r>
      <w:r w:rsidR="00FA1AD4" w:rsidRPr="009159B5">
        <w:rPr>
          <w:rFonts w:ascii="Arial" w:eastAsia="Arial" w:hAnsi="Arial" w:cs="Arial"/>
          <w:lang w:val="en-GB"/>
        </w:rPr>
        <w:t>CNV</w:t>
      </w:r>
      <w:r w:rsidRPr="009159B5">
        <w:rPr>
          <w:rFonts w:ascii="Arial" w:eastAsia="Arial" w:hAnsi="Arial" w:cs="Arial"/>
          <w:lang w:val="en-GB"/>
        </w:rPr>
        <w:t>s</w:t>
      </w:r>
      <w:r>
        <w:rPr>
          <w:rFonts w:ascii="Arial" w:eastAsia="Arial" w:hAnsi="Arial" w:cs="Arial"/>
          <w:lang w:val="en-GB"/>
        </w:rPr>
        <w:t>)</w:t>
      </w:r>
      <w:r w:rsidR="00FA1AD4" w:rsidRPr="00FA1AD4">
        <w:rPr>
          <w:rFonts w:ascii="Arial" w:eastAsia="Arial" w:hAnsi="Arial" w:cs="Arial"/>
          <w:lang w:val="en-GB"/>
        </w:rPr>
        <w:t xml:space="preserve"> calling was performed with the GATK CNV</w:t>
      </w:r>
      <w:r>
        <w:rPr>
          <w:rFonts w:ascii="Arial" w:eastAsia="Arial" w:hAnsi="Arial" w:cs="Arial"/>
          <w:lang w:val="en-GB"/>
        </w:rPr>
        <w:t>s</w:t>
      </w:r>
      <w:r w:rsidR="00FA1AD4" w:rsidRPr="00FA1AD4">
        <w:rPr>
          <w:rFonts w:ascii="Arial" w:eastAsia="Arial" w:hAnsi="Arial" w:cs="Arial"/>
          <w:lang w:val="en-GB"/>
        </w:rPr>
        <w:t xml:space="preserve"> pipeline (v4.4). Coverage profiles were generated using a bin size of 12,744 bp and normalised against a panel of normals built from 16 non-tumour samples sequenced with the same protocol. Segmentation and denoising were carried out using default GATK parameters, restricting analyses to autosomes and sex chromosomes with mapping quality ≥20. Segmented copy-number data were exported to GISTIC2.0 (v2.0) to identify significantly recurrent peaks of amplification and deletion, using a confidence level of 0.99 and a q-value threshold of 0.05. Segment mean log</w:t>
      </w:r>
      <w:r w:rsidR="00FA1AD4" w:rsidRPr="00FA1AD4">
        <w:rPr>
          <w:rFonts w:ascii="Cambria Math" w:eastAsia="Arial" w:hAnsi="Cambria Math" w:cs="Cambria Math"/>
          <w:lang w:val="en-GB"/>
        </w:rPr>
        <w:t>₂</w:t>
      </w:r>
      <w:r w:rsidR="00FA1AD4" w:rsidRPr="00FA1AD4">
        <w:rPr>
          <w:rFonts w:ascii="Arial" w:eastAsia="Arial" w:hAnsi="Arial" w:cs="Arial"/>
          <w:lang w:val="en-GB"/>
        </w:rPr>
        <w:t xml:space="preserve"> ratios &gt;0.2 were classified as gains and </w:t>
      </w:r>
      <w:r w:rsidR="00C6789C">
        <w:rPr>
          <w:rFonts w:ascii="Arial" w:eastAsia="Arial" w:hAnsi="Arial" w:cs="Arial"/>
          <w:lang w:val="en-GB"/>
        </w:rPr>
        <w:t>≤</w:t>
      </w:r>
      <w:r w:rsidR="00FA1AD4" w:rsidRPr="00FA1AD4">
        <w:rPr>
          <w:rFonts w:ascii="Arial" w:eastAsia="Arial" w:hAnsi="Arial" w:cs="Arial"/>
          <w:lang w:val="en-GB"/>
        </w:rPr>
        <w:t>0.25 as losses.</w:t>
      </w:r>
    </w:p>
    <w:p w14:paraId="2E10F489" w14:textId="77777777" w:rsidR="00A94D95" w:rsidRDefault="00A94D95" w:rsidP="00C6789C">
      <w:pPr>
        <w:spacing w:after="0" w:line="360" w:lineRule="auto"/>
        <w:jc w:val="both"/>
        <w:rPr>
          <w:rFonts w:ascii="Arial" w:eastAsia="Arial" w:hAnsi="Arial" w:cs="Arial"/>
          <w:lang w:val="en-GB"/>
        </w:rPr>
      </w:pPr>
    </w:p>
    <w:p w14:paraId="3D3F5390" w14:textId="51693C01" w:rsidR="00A94D95" w:rsidRPr="00A94D95" w:rsidRDefault="00A94D95" w:rsidP="00A94D95">
      <w:pPr>
        <w:spacing w:after="0" w:line="360" w:lineRule="auto"/>
        <w:jc w:val="both"/>
        <w:rPr>
          <w:rFonts w:ascii="Arial" w:eastAsia="Arial" w:hAnsi="Arial" w:cs="Arial"/>
          <w:lang w:val="en-US"/>
        </w:rPr>
      </w:pPr>
      <w:r w:rsidRPr="00A94D95">
        <w:rPr>
          <w:rFonts w:ascii="Arial" w:eastAsia="Arial" w:hAnsi="Arial" w:cs="Arial"/>
          <w:b/>
          <w:bCs/>
          <w:lang w:val="en-US"/>
        </w:rPr>
        <w:t>Structural variants analysis</w:t>
      </w:r>
    </w:p>
    <w:p w14:paraId="24F5F0AB" w14:textId="3F41A055" w:rsidR="00A94D95" w:rsidRDefault="00A94D95" w:rsidP="00A94D95">
      <w:pPr>
        <w:spacing w:after="0" w:line="360" w:lineRule="auto"/>
        <w:jc w:val="both"/>
        <w:rPr>
          <w:rFonts w:ascii="Arial" w:eastAsia="Arial" w:hAnsi="Arial" w:cs="Arial"/>
          <w:lang w:val="en-US"/>
        </w:rPr>
      </w:pPr>
      <w:r w:rsidRPr="00A94D95">
        <w:rPr>
          <w:rFonts w:ascii="Arial" w:eastAsia="Arial" w:hAnsi="Arial" w:cs="Arial"/>
          <w:lang w:val="en-US"/>
        </w:rPr>
        <w:t xml:space="preserve">To conduct structural variants (SVs) detection, </w:t>
      </w:r>
      <w:proofErr w:type="spellStart"/>
      <w:r w:rsidRPr="00A94D95">
        <w:rPr>
          <w:rFonts w:ascii="Arial" w:eastAsia="Arial" w:hAnsi="Arial" w:cs="Arial"/>
          <w:lang w:val="en-US"/>
        </w:rPr>
        <w:t>svABA</w:t>
      </w:r>
      <w:proofErr w:type="spellEnd"/>
      <w:r w:rsidRPr="00A94D95">
        <w:rPr>
          <w:rFonts w:ascii="Arial" w:eastAsia="Arial" w:hAnsi="Arial" w:cs="Arial"/>
          <w:lang w:val="en-US"/>
        </w:rPr>
        <w:t xml:space="preserve"> (v1.1.0) caller was used. Default parameters were used and several reference files were provided to improve accuracy and reduce noisy signals</w:t>
      </w:r>
      <w:r>
        <w:rPr>
          <w:rFonts w:ascii="Arial" w:eastAsia="Arial" w:hAnsi="Arial" w:cs="Arial"/>
          <w:lang w:val="en-US"/>
        </w:rPr>
        <w:t>,</w:t>
      </w:r>
      <w:r w:rsidRPr="00A94D95">
        <w:rPr>
          <w:rFonts w:ascii="Arial" w:eastAsia="Arial" w:hAnsi="Arial" w:cs="Arial"/>
          <w:lang w:val="en-US"/>
        </w:rPr>
        <w:t xml:space="preserve"> a</w:t>
      </w:r>
      <w:r>
        <w:rPr>
          <w:rFonts w:ascii="Arial" w:eastAsia="Arial" w:hAnsi="Arial" w:cs="Arial"/>
          <w:lang w:val="en-US"/>
        </w:rPr>
        <w:t>n ENCODE</w:t>
      </w:r>
      <w:r w:rsidRPr="00A94D95">
        <w:rPr>
          <w:rFonts w:ascii="Arial" w:eastAsia="Arial" w:hAnsi="Arial" w:cs="Arial"/>
          <w:lang w:val="en-US"/>
        </w:rPr>
        <w:t xml:space="preserve"> blacklist was supplied to exclude reads from problematic genomic areas; </w:t>
      </w:r>
      <w:proofErr w:type="spellStart"/>
      <w:r w:rsidRPr="00A94D95">
        <w:rPr>
          <w:rFonts w:ascii="Arial" w:eastAsia="Arial" w:hAnsi="Arial" w:cs="Arial"/>
          <w:lang w:val="en-US"/>
        </w:rPr>
        <w:t>dbSNP</w:t>
      </w:r>
      <w:proofErr w:type="spellEnd"/>
      <w:r w:rsidRPr="00A94D95">
        <w:rPr>
          <w:rFonts w:ascii="Arial" w:eastAsia="Arial" w:hAnsi="Arial" w:cs="Arial"/>
          <w:lang w:val="en-US"/>
        </w:rPr>
        <w:t xml:space="preserve"> (build 146) was used to compare candidate indels against known variants; a microbial reference genome was included to filter contaminant reads; and a simple repeat regions list was provided to avoid misalignment artifacts during contig re-alignment. Low-quality SV calls were filtered based on internal quality metrics and read support thresholds. Identified SVs were annotated using </w:t>
      </w:r>
      <w:proofErr w:type="spellStart"/>
      <w:r w:rsidRPr="00A94D95">
        <w:rPr>
          <w:rFonts w:ascii="Arial" w:eastAsia="Arial" w:hAnsi="Arial" w:cs="Arial"/>
          <w:lang w:val="en-US"/>
        </w:rPr>
        <w:t>AnnotSV</w:t>
      </w:r>
      <w:proofErr w:type="spellEnd"/>
      <w:r w:rsidRPr="00A94D95">
        <w:rPr>
          <w:rFonts w:ascii="Arial" w:eastAsia="Arial" w:hAnsi="Arial" w:cs="Arial"/>
          <w:lang w:val="en-US"/>
        </w:rPr>
        <w:t xml:space="preserve"> (v3.3.9) to provide functional annotation for each variant. To minimize technical artifacts, variants located within repetitive elements or sex chromosomes (X and Y) were excluded. Subsequently, </w:t>
      </w:r>
      <w:proofErr w:type="spellStart"/>
      <w:r w:rsidRPr="00A94D95">
        <w:rPr>
          <w:rFonts w:ascii="Arial" w:eastAsia="Arial" w:hAnsi="Arial" w:cs="Arial"/>
          <w:lang w:val="en-US"/>
        </w:rPr>
        <w:t>GaTSV</w:t>
      </w:r>
      <w:proofErr w:type="spellEnd"/>
      <w:r w:rsidRPr="00A94D95">
        <w:rPr>
          <w:rFonts w:ascii="Arial" w:eastAsia="Arial" w:hAnsi="Arial" w:cs="Arial"/>
          <w:lang w:val="en-US"/>
        </w:rPr>
        <w:t xml:space="preserve"> (v1.0.1) was applied to distinguish somatic from germline SVs and reduce false-positive rates.</w:t>
      </w:r>
    </w:p>
    <w:p w14:paraId="351C2317" w14:textId="77777777" w:rsidR="00A94D95" w:rsidRPr="00A94D95" w:rsidRDefault="00A94D95" w:rsidP="00A94D95">
      <w:pPr>
        <w:spacing w:after="0" w:line="360" w:lineRule="auto"/>
        <w:jc w:val="both"/>
        <w:rPr>
          <w:rFonts w:ascii="Arial" w:eastAsia="Arial" w:hAnsi="Arial" w:cs="Arial"/>
          <w:lang w:val="en-US"/>
        </w:rPr>
      </w:pPr>
    </w:p>
    <w:p w14:paraId="7E7B857A" w14:textId="20CAAE46" w:rsidR="005B1A85" w:rsidRPr="005B1A85" w:rsidRDefault="005B1A85" w:rsidP="00C6789C">
      <w:pPr>
        <w:spacing w:after="0" w:line="360" w:lineRule="auto"/>
        <w:jc w:val="both"/>
        <w:rPr>
          <w:rFonts w:ascii="Arial" w:eastAsia="Arial" w:hAnsi="Arial" w:cs="Arial"/>
          <w:lang w:val="en-GB"/>
        </w:rPr>
      </w:pPr>
      <w:r w:rsidRPr="005B1A85">
        <w:rPr>
          <w:rFonts w:ascii="Arial" w:eastAsia="Arial" w:hAnsi="Arial" w:cs="Arial"/>
          <w:b/>
          <w:bCs/>
          <w:lang w:val="en-GB"/>
        </w:rPr>
        <w:t>Single nucleotide</w:t>
      </w:r>
      <w:r w:rsidR="00A60336">
        <w:rPr>
          <w:rFonts w:ascii="Arial" w:eastAsia="Arial" w:hAnsi="Arial" w:cs="Arial"/>
          <w:b/>
          <w:bCs/>
          <w:lang w:val="en-GB"/>
        </w:rPr>
        <w:t xml:space="preserve"> </w:t>
      </w:r>
      <w:r w:rsidRPr="005B1A85">
        <w:rPr>
          <w:rFonts w:ascii="Arial" w:eastAsia="Arial" w:hAnsi="Arial" w:cs="Arial"/>
          <w:b/>
          <w:bCs/>
          <w:lang w:val="en-GB"/>
        </w:rPr>
        <w:t>variants detection</w:t>
      </w:r>
    </w:p>
    <w:p w14:paraId="012F9937" w14:textId="6030D13E" w:rsidR="00FA1AD4" w:rsidRDefault="005B1A85" w:rsidP="00C6789C">
      <w:pPr>
        <w:spacing w:after="0" w:line="360" w:lineRule="auto"/>
        <w:jc w:val="both"/>
        <w:rPr>
          <w:rFonts w:ascii="Arial" w:eastAsia="Arial" w:hAnsi="Arial" w:cs="Arial"/>
          <w:lang w:val="en-GB"/>
        </w:rPr>
      </w:pPr>
      <w:r w:rsidRPr="005B1A85">
        <w:rPr>
          <w:rFonts w:ascii="Arial" w:eastAsia="Arial" w:hAnsi="Arial" w:cs="Arial"/>
          <w:lang w:val="en-GB"/>
        </w:rPr>
        <w:t>Somatic SNVs</w:t>
      </w:r>
      <w:r w:rsidR="00A60336">
        <w:rPr>
          <w:rFonts w:ascii="Arial" w:eastAsia="Arial" w:hAnsi="Arial" w:cs="Arial"/>
          <w:lang w:val="en-GB"/>
        </w:rPr>
        <w:t xml:space="preserve"> </w:t>
      </w:r>
      <w:r w:rsidR="00A60336" w:rsidRPr="00A60336">
        <w:rPr>
          <w:rFonts w:ascii="Arial" w:eastAsia="Arial" w:hAnsi="Arial" w:cs="Arial"/>
          <w:lang w:val="en-GB"/>
        </w:rPr>
        <w:t>(SNVs)</w:t>
      </w:r>
      <w:r w:rsidRPr="005B1A85">
        <w:rPr>
          <w:rFonts w:ascii="Arial" w:eastAsia="Arial" w:hAnsi="Arial" w:cs="Arial"/>
          <w:lang w:val="en-GB"/>
        </w:rPr>
        <w:t xml:space="preserve"> were called with Mutect2 (GATK v4.4) in tumour-only mode using the GRCh38 reference genome. A panel of normals built from 16 control samples was used together with </w:t>
      </w:r>
      <w:proofErr w:type="spellStart"/>
      <w:r w:rsidRPr="005B1A85">
        <w:rPr>
          <w:rFonts w:ascii="Arial" w:eastAsia="Arial" w:hAnsi="Arial" w:cs="Arial"/>
          <w:lang w:val="en-GB"/>
        </w:rPr>
        <w:t>gnomAD</w:t>
      </w:r>
      <w:proofErr w:type="spellEnd"/>
      <w:r w:rsidRPr="005B1A85">
        <w:rPr>
          <w:rFonts w:ascii="Arial" w:eastAsia="Arial" w:hAnsi="Arial" w:cs="Arial"/>
          <w:lang w:val="en-GB"/>
        </w:rPr>
        <w:t xml:space="preserve"> (v2.1) to estimate site-specific error rates and filter out recurrent technical artefacts and common germline polymorphisms. A callable regions </w:t>
      </w:r>
      <w:r w:rsidRPr="005B1A85">
        <w:rPr>
          <w:rFonts w:ascii="Arial" w:eastAsia="Arial" w:hAnsi="Arial" w:cs="Arial"/>
          <w:lang w:val="en-GB"/>
        </w:rPr>
        <w:lastRenderedPageBreak/>
        <w:t xml:space="preserve">BED file was generated based on coverage and </w:t>
      </w:r>
      <w:proofErr w:type="spellStart"/>
      <w:r w:rsidRPr="005B1A85">
        <w:rPr>
          <w:rFonts w:ascii="Arial" w:eastAsia="Arial" w:hAnsi="Arial" w:cs="Arial"/>
          <w:lang w:val="en-GB"/>
        </w:rPr>
        <w:t>mappability</w:t>
      </w:r>
      <w:proofErr w:type="spellEnd"/>
      <w:r w:rsidRPr="005B1A85">
        <w:rPr>
          <w:rFonts w:ascii="Arial" w:eastAsia="Arial" w:hAnsi="Arial" w:cs="Arial"/>
          <w:lang w:val="en-GB"/>
        </w:rPr>
        <w:t xml:space="preserve"> metrics and supplied to Mutect2 to restrict variant calling to high-confidence regions. After variant calling, contamination estimates were obtained with </w:t>
      </w:r>
      <w:proofErr w:type="spellStart"/>
      <w:r w:rsidRPr="005B1A85">
        <w:rPr>
          <w:rFonts w:ascii="Arial" w:eastAsia="Arial" w:hAnsi="Arial" w:cs="Arial"/>
          <w:lang w:val="en-GB"/>
        </w:rPr>
        <w:t>GetPileupSummaries</w:t>
      </w:r>
      <w:proofErr w:type="spellEnd"/>
      <w:r w:rsidRPr="005B1A85">
        <w:rPr>
          <w:rFonts w:ascii="Arial" w:eastAsia="Arial" w:hAnsi="Arial" w:cs="Arial"/>
          <w:lang w:val="en-GB"/>
        </w:rPr>
        <w:t xml:space="preserve"> and </w:t>
      </w:r>
      <w:proofErr w:type="spellStart"/>
      <w:r w:rsidRPr="005B1A85">
        <w:rPr>
          <w:rFonts w:ascii="Arial" w:eastAsia="Arial" w:hAnsi="Arial" w:cs="Arial"/>
          <w:lang w:val="en-GB"/>
        </w:rPr>
        <w:t>CalculateContamination</w:t>
      </w:r>
      <w:proofErr w:type="spellEnd"/>
      <w:r w:rsidRPr="005B1A85">
        <w:rPr>
          <w:rFonts w:ascii="Arial" w:eastAsia="Arial" w:hAnsi="Arial" w:cs="Arial"/>
          <w:lang w:val="en-GB"/>
        </w:rPr>
        <w:t xml:space="preserve">, and the </w:t>
      </w:r>
      <w:proofErr w:type="spellStart"/>
      <w:r w:rsidRPr="005B1A85">
        <w:rPr>
          <w:rFonts w:ascii="Arial" w:eastAsia="Arial" w:hAnsi="Arial" w:cs="Arial"/>
          <w:lang w:val="en-GB"/>
        </w:rPr>
        <w:t>LearnReadOrientationModel</w:t>
      </w:r>
      <w:proofErr w:type="spellEnd"/>
      <w:r w:rsidRPr="005B1A85">
        <w:rPr>
          <w:rFonts w:ascii="Arial" w:eastAsia="Arial" w:hAnsi="Arial" w:cs="Arial"/>
          <w:lang w:val="en-GB"/>
        </w:rPr>
        <w:t xml:space="preserve"> step was used to mitigate orientation bias. </w:t>
      </w:r>
      <w:proofErr w:type="spellStart"/>
      <w:r w:rsidRPr="005B1A85">
        <w:rPr>
          <w:rFonts w:ascii="Arial" w:eastAsia="Arial" w:hAnsi="Arial" w:cs="Arial"/>
          <w:lang w:val="en-GB"/>
        </w:rPr>
        <w:t>FilterMutectCalls</w:t>
      </w:r>
      <w:proofErr w:type="spellEnd"/>
      <w:r w:rsidRPr="005B1A85">
        <w:rPr>
          <w:rFonts w:ascii="Arial" w:eastAsia="Arial" w:hAnsi="Arial" w:cs="Arial"/>
          <w:lang w:val="en-GB"/>
        </w:rPr>
        <w:t xml:space="preserve"> was applied with default settings and additional hard filters were implemented in R: variants with depth &lt;8 reads, &lt;3 alternate reads, </w:t>
      </w:r>
      <w:proofErr w:type="spellStart"/>
      <w:r w:rsidRPr="005B1A85">
        <w:rPr>
          <w:rFonts w:ascii="Arial" w:eastAsia="Arial" w:hAnsi="Arial" w:cs="Arial"/>
          <w:lang w:val="en-GB"/>
        </w:rPr>
        <w:t>gnomAD</w:t>
      </w:r>
      <w:proofErr w:type="spellEnd"/>
      <w:r w:rsidRPr="005B1A85">
        <w:rPr>
          <w:rFonts w:ascii="Arial" w:eastAsia="Arial" w:hAnsi="Arial" w:cs="Arial"/>
          <w:lang w:val="en-GB"/>
        </w:rPr>
        <w:t xml:space="preserve"> allele frequency ≥0.005 or variant allele frequency &lt;0.20 were excluded. Remaining variants were annotated with ANNOVAR (</w:t>
      </w:r>
      <w:r w:rsidR="00494761" w:rsidRPr="005F66D7">
        <w:rPr>
          <w:rFonts w:ascii="Arial" w:hAnsi="Arial" w:cs="Arial"/>
          <w:lang w:val="en-US"/>
        </w:rPr>
        <w:t>v20200608</w:t>
      </w:r>
      <w:r w:rsidRPr="005B1A85">
        <w:rPr>
          <w:rFonts w:ascii="Arial" w:eastAsia="Arial" w:hAnsi="Arial" w:cs="Arial"/>
          <w:lang w:val="en-GB"/>
        </w:rPr>
        <w:t xml:space="preserve">) using </w:t>
      </w:r>
      <w:proofErr w:type="spellStart"/>
      <w:r w:rsidRPr="005B1A85">
        <w:rPr>
          <w:rFonts w:ascii="Arial" w:eastAsia="Arial" w:hAnsi="Arial" w:cs="Arial"/>
          <w:lang w:val="en-GB"/>
        </w:rPr>
        <w:t>RefSeq</w:t>
      </w:r>
      <w:proofErr w:type="spellEnd"/>
      <w:r w:rsidRPr="005B1A85">
        <w:rPr>
          <w:rFonts w:ascii="Arial" w:eastAsia="Arial" w:hAnsi="Arial" w:cs="Arial"/>
          <w:lang w:val="en-GB"/>
        </w:rPr>
        <w:t xml:space="preserve"> gene models, population databases and functional prediction scores.</w:t>
      </w:r>
    </w:p>
    <w:p w14:paraId="46B189BB" w14:textId="77777777" w:rsidR="00FA1AD4" w:rsidRDefault="00FA1AD4" w:rsidP="00C6789C">
      <w:pPr>
        <w:spacing w:after="0" w:line="360" w:lineRule="auto"/>
        <w:jc w:val="both"/>
        <w:rPr>
          <w:rFonts w:ascii="Arial" w:eastAsia="Arial" w:hAnsi="Arial" w:cs="Arial"/>
          <w:lang w:val="en-GB"/>
        </w:rPr>
      </w:pPr>
    </w:p>
    <w:p w14:paraId="5CD7AB96" w14:textId="1A8C8002" w:rsidR="005B1A85" w:rsidRPr="005B1A85" w:rsidRDefault="005B1A85" w:rsidP="00C6789C">
      <w:pPr>
        <w:spacing w:after="0" w:line="360" w:lineRule="auto"/>
        <w:jc w:val="both"/>
        <w:rPr>
          <w:rFonts w:ascii="Arial" w:eastAsia="Arial" w:hAnsi="Arial" w:cs="Arial"/>
          <w:lang w:val="en-GB"/>
        </w:rPr>
      </w:pPr>
      <w:r w:rsidRPr="005B1A85">
        <w:rPr>
          <w:rFonts w:ascii="Arial" w:eastAsia="Arial" w:hAnsi="Arial" w:cs="Arial"/>
          <w:b/>
          <w:bCs/>
          <w:lang w:val="en-GB"/>
        </w:rPr>
        <w:t>Mutational COSMIC signatures</w:t>
      </w:r>
    </w:p>
    <w:p w14:paraId="1AC3AA71" w14:textId="38152AC4" w:rsidR="005B1A85" w:rsidRPr="005B1A85" w:rsidRDefault="005B1A85" w:rsidP="00C6789C">
      <w:pPr>
        <w:spacing w:after="0" w:line="360" w:lineRule="auto"/>
        <w:jc w:val="both"/>
        <w:rPr>
          <w:rFonts w:ascii="Arial" w:eastAsia="Arial" w:hAnsi="Arial" w:cs="Arial"/>
          <w:lang w:val="en-GB"/>
        </w:rPr>
      </w:pPr>
      <w:r w:rsidRPr="005B1A85">
        <w:rPr>
          <w:rFonts w:ascii="Arial" w:eastAsia="Arial" w:hAnsi="Arial" w:cs="Arial"/>
          <w:lang w:val="en-GB"/>
        </w:rPr>
        <w:t xml:space="preserve">Mutation matrices for single base substitutions (SBS) were generated using </w:t>
      </w:r>
      <w:proofErr w:type="spellStart"/>
      <w:r w:rsidRPr="005B1A85">
        <w:rPr>
          <w:rFonts w:ascii="Arial" w:eastAsia="Arial" w:hAnsi="Arial" w:cs="Arial"/>
          <w:lang w:val="en-GB"/>
        </w:rPr>
        <w:t>SigProfilerMatrixGenerator</w:t>
      </w:r>
      <w:proofErr w:type="spellEnd"/>
      <w:r w:rsidRPr="005B1A85">
        <w:rPr>
          <w:rFonts w:ascii="Arial" w:eastAsia="Arial" w:hAnsi="Arial" w:cs="Arial"/>
          <w:lang w:val="en-GB"/>
        </w:rPr>
        <w:t xml:space="preserve"> (</w:t>
      </w:r>
      <w:r w:rsidR="00A94D95" w:rsidRPr="00A94D95">
        <w:rPr>
          <w:rFonts w:ascii="Arial" w:eastAsia="Arial" w:hAnsi="Arial" w:cs="Arial"/>
          <w:lang w:val="en-GB"/>
        </w:rPr>
        <w:t>v1.3.6</w:t>
      </w:r>
      <w:r w:rsidRPr="005B1A85">
        <w:rPr>
          <w:rFonts w:ascii="Arial" w:eastAsia="Arial" w:hAnsi="Arial" w:cs="Arial"/>
          <w:lang w:val="en-GB"/>
        </w:rPr>
        <w:t xml:space="preserve">) in GRCh38 mode and decomposed into COSMIC v3.3 reference signatures using </w:t>
      </w:r>
      <w:proofErr w:type="spellStart"/>
      <w:r w:rsidRPr="005B1A85">
        <w:rPr>
          <w:rFonts w:ascii="Arial" w:eastAsia="Arial" w:hAnsi="Arial" w:cs="Arial"/>
          <w:lang w:val="en-GB"/>
        </w:rPr>
        <w:t>SigProfilerAssignment</w:t>
      </w:r>
      <w:proofErr w:type="spellEnd"/>
      <w:r w:rsidR="00A94D95">
        <w:rPr>
          <w:rFonts w:ascii="Arial" w:eastAsia="Arial" w:hAnsi="Arial" w:cs="Arial"/>
          <w:lang w:val="en-GB"/>
        </w:rPr>
        <w:t xml:space="preserve"> (</w:t>
      </w:r>
      <w:r w:rsidR="00A94D95" w:rsidRPr="00A94D95">
        <w:rPr>
          <w:rFonts w:ascii="Arial" w:eastAsia="Arial" w:hAnsi="Arial" w:cs="Arial"/>
          <w:lang w:val="en-US"/>
        </w:rPr>
        <w:t>v1.1.3)</w:t>
      </w:r>
      <w:r w:rsidRPr="005B1A85">
        <w:rPr>
          <w:rFonts w:ascii="Arial" w:eastAsia="Arial" w:hAnsi="Arial" w:cs="Arial"/>
          <w:lang w:val="en-GB"/>
        </w:rPr>
        <w:t>.</w:t>
      </w:r>
      <w:r w:rsidR="00233CC3">
        <w:rPr>
          <w:rFonts w:ascii="Arial" w:eastAsia="Arial" w:hAnsi="Arial" w:cs="Arial"/>
          <w:lang w:val="en-GB"/>
        </w:rPr>
        <w:t xml:space="preserve"> </w:t>
      </w:r>
      <w:r w:rsidRPr="005B1A85">
        <w:rPr>
          <w:rFonts w:ascii="Arial" w:eastAsia="Arial" w:hAnsi="Arial" w:cs="Arial"/>
          <w:lang w:val="en-GB"/>
        </w:rPr>
        <w:t xml:space="preserve"> For structural variants</w:t>
      </w:r>
      <w:r w:rsidR="009159B5">
        <w:rPr>
          <w:rFonts w:ascii="Arial" w:eastAsia="Arial" w:hAnsi="Arial" w:cs="Arial"/>
          <w:lang w:val="en-GB"/>
        </w:rPr>
        <w:t xml:space="preserve"> (SVs)</w:t>
      </w:r>
      <w:r w:rsidRPr="005B1A85">
        <w:rPr>
          <w:rFonts w:ascii="Arial" w:eastAsia="Arial" w:hAnsi="Arial" w:cs="Arial"/>
          <w:lang w:val="en-GB"/>
        </w:rPr>
        <w:t>, SV</w:t>
      </w:r>
      <w:r w:rsidR="009159B5">
        <w:rPr>
          <w:rFonts w:ascii="Arial" w:eastAsia="Arial" w:hAnsi="Arial" w:cs="Arial"/>
          <w:lang w:val="en-GB"/>
        </w:rPr>
        <w:t>s</w:t>
      </w:r>
      <w:r w:rsidRPr="005B1A85">
        <w:rPr>
          <w:rFonts w:ascii="Arial" w:eastAsia="Arial" w:hAnsi="Arial" w:cs="Arial"/>
          <w:lang w:val="en-GB"/>
        </w:rPr>
        <w:t xml:space="preserve"> classes and size bins were obtained from </w:t>
      </w:r>
      <w:proofErr w:type="spellStart"/>
      <w:r w:rsidRPr="005B1A85">
        <w:rPr>
          <w:rFonts w:ascii="Arial" w:eastAsia="Arial" w:hAnsi="Arial" w:cs="Arial"/>
          <w:lang w:val="en-GB"/>
        </w:rPr>
        <w:t>svABA</w:t>
      </w:r>
      <w:proofErr w:type="spellEnd"/>
      <w:r w:rsidRPr="005B1A85">
        <w:rPr>
          <w:rFonts w:ascii="Arial" w:eastAsia="Arial" w:hAnsi="Arial" w:cs="Arial"/>
          <w:lang w:val="en-GB"/>
        </w:rPr>
        <w:t xml:space="preserve"> and formatted for </w:t>
      </w:r>
      <w:proofErr w:type="spellStart"/>
      <w:r w:rsidRPr="005B1A85">
        <w:rPr>
          <w:rFonts w:ascii="Arial" w:eastAsia="Arial" w:hAnsi="Arial" w:cs="Arial"/>
          <w:lang w:val="en-GB"/>
        </w:rPr>
        <w:t>SigProfiler</w:t>
      </w:r>
      <w:proofErr w:type="spellEnd"/>
      <w:r w:rsidRPr="005B1A85">
        <w:rPr>
          <w:rFonts w:ascii="Arial" w:eastAsia="Arial" w:hAnsi="Arial" w:cs="Arial"/>
          <w:lang w:val="en-GB"/>
        </w:rPr>
        <w:t>-based SV</w:t>
      </w:r>
      <w:r w:rsidR="009159B5">
        <w:rPr>
          <w:rFonts w:ascii="Arial" w:eastAsia="Arial" w:hAnsi="Arial" w:cs="Arial"/>
          <w:lang w:val="en-GB"/>
        </w:rPr>
        <w:t>s</w:t>
      </w:r>
      <w:r w:rsidRPr="005B1A85">
        <w:rPr>
          <w:rFonts w:ascii="Arial" w:eastAsia="Arial" w:hAnsi="Arial" w:cs="Arial"/>
          <w:lang w:val="en-GB"/>
        </w:rPr>
        <w:t xml:space="preserve"> signature extraction using the recommended pipeline. Initial extractions were inspected to identify signatures known to reflect FFPE damage or other artefacts, which were subsequently removed.</w:t>
      </w:r>
    </w:p>
    <w:p w14:paraId="33C25260" w14:textId="1910E964" w:rsidR="005B1A85" w:rsidRDefault="005B1A85" w:rsidP="00C6789C">
      <w:pPr>
        <w:spacing w:after="0" w:line="360" w:lineRule="auto"/>
        <w:jc w:val="both"/>
        <w:rPr>
          <w:rFonts w:ascii="Arial" w:eastAsia="Arial" w:hAnsi="Arial" w:cs="Arial"/>
          <w:lang w:val="en-GB"/>
        </w:rPr>
      </w:pPr>
      <w:r w:rsidRPr="005B1A85">
        <w:rPr>
          <w:rFonts w:ascii="Arial" w:eastAsia="Arial" w:hAnsi="Arial" w:cs="Arial"/>
          <w:lang w:val="en-GB"/>
        </w:rPr>
        <w:t xml:space="preserve">To obtain robust SBS exposures, we applied the </w:t>
      </w:r>
      <w:proofErr w:type="spellStart"/>
      <w:r w:rsidRPr="005B1A85">
        <w:rPr>
          <w:rFonts w:ascii="Arial" w:eastAsia="Arial" w:hAnsi="Arial" w:cs="Arial"/>
          <w:lang w:val="en-GB"/>
        </w:rPr>
        <w:t>mmsig</w:t>
      </w:r>
      <w:proofErr w:type="spellEnd"/>
      <w:r w:rsidRPr="005B1A85">
        <w:rPr>
          <w:rFonts w:ascii="Arial" w:eastAsia="Arial" w:hAnsi="Arial" w:cs="Arial"/>
          <w:lang w:val="en-GB"/>
        </w:rPr>
        <w:t xml:space="preserve"> R package (</w:t>
      </w:r>
      <w:r w:rsidR="00A94D95" w:rsidRPr="00A94D95">
        <w:rPr>
          <w:rFonts w:ascii="Arial" w:eastAsia="Arial" w:hAnsi="Arial" w:cs="Arial"/>
          <w:lang w:val="en-US"/>
        </w:rPr>
        <w:t>v0.0.0.9000</w:t>
      </w:r>
      <w:r w:rsidRPr="005B1A85">
        <w:rPr>
          <w:rFonts w:ascii="Arial" w:eastAsia="Arial" w:hAnsi="Arial" w:cs="Arial"/>
          <w:lang w:val="en-GB"/>
        </w:rPr>
        <w:t xml:space="preserve">). Refitting was performed with </w:t>
      </w:r>
      <w:proofErr w:type="spellStart"/>
      <w:r w:rsidRPr="005B1A85">
        <w:rPr>
          <w:rFonts w:ascii="Arial" w:eastAsia="Arial" w:hAnsi="Arial" w:cs="Arial"/>
          <w:lang w:val="en-GB"/>
        </w:rPr>
        <w:t>mm_fit_signatures</w:t>
      </w:r>
      <w:proofErr w:type="spellEnd"/>
      <w:r w:rsidRPr="005B1A85">
        <w:rPr>
          <w:rFonts w:ascii="Arial" w:eastAsia="Arial" w:hAnsi="Arial" w:cs="Arial"/>
          <w:lang w:val="en-GB"/>
        </w:rPr>
        <w:t xml:space="preserve"> using </w:t>
      </w:r>
      <w:proofErr w:type="spellStart"/>
      <w:r w:rsidRPr="005B1A85">
        <w:rPr>
          <w:rFonts w:ascii="Arial" w:eastAsia="Arial" w:hAnsi="Arial" w:cs="Arial"/>
          <w:lang w:val="en-GB"/>
        </w:rPr>
        <w:t>input.format</w:t>
      </w:r>
      <w:proofErr w:type="spellEnd"/>
      <w:r w:rsidRPr="005B1A85">
        <w:rPr>
          <w:rFonts w:ascii="Arial" w:eastAsia="Arial" w:hAnsi="Arial" w:cs="Arial"/>
          <w:lang w:val="en-GB"/>
        </w:rPr>
        <w:t xml:space="preserve"> = "counts", bootstrap resampling and a cosine similarity threshold to retain only signatures contributing meaningfully to the observed profile. For each sample, </w:t>
      </w:r>
      <w:proofErr w:type="spellStart"/>
      <w:r w:rsidRPr="005B1A85">
        <w:rPr>
          <w:rFonts w:ascii="Arial" w:eastAsia="Arial" w:hAnsi="Arial" w:cs="Arial"/>
          <w:lang w:val="en-GB"/>
        </w:rPr>
        <w:t>mmsig</w:t>
      </w:r>
      <w:proofErr w:type="spellEnd"/>
      <w:r w:rsidRPr="005B1A85">
        <w:rPr>
          <w:rFonts w:ascii="Arial" w:eastAsia="Arial" w:hAnsi="Arial" w:cs="Arial"/>
          <w:lang w:val="en-GB"/>
        </w:rPr>
        <w:t>-derived exposures were normalised to sum to 1 and used in all subsequent association and clustering analyses.</w:t>
      </w:r>
    </w:p>
    <w:p w14:paraId="5FA8F761" w14:textId="77777777" w:rsidR="005B1A85" w:rsidRDefault="005B1A85" w:rsidP="00C6789C">
      <w:pPr>
        <w:spacing w:after="0" w:line="360" w:lineRule="auto"/>
        <w:jc w:val="both"/>
        <w:rPr>
          <w:rFonts w:ascii="Arial" w:eastAsia="Arial" w:hAnsi="Arial" w:cs="Arial"/>
          <w:lang w:val="en-GB"/>
        </w:rPr>
      </w:pPr>
    </w:p>
    <w:p w14:paraId="03EF2160" w14:textId="1B1798A2" w:rsidR="005B1A85" w:rsidRPr="005B1A85" w:rsidRDefault="005B1A85" w:rsidP="00C6789C">
      <w:pPr>
        <w:spacing w:after="0" w:line="360" w:lineRule="auto"/>
        <w:jc w:val="both"/>
        <w:rPr>
          <w:rFonts w:ascii="Arial" w:eastAsia="Arial" w:hAnsi="Arial" w:cs="Arial"/>
          <w:lang w:val="en-GB"/>
        </w:rPr>
      </w:pPr>
      <w:r w:rsidRPr="005B1A85">
        <w:rPr>
          <w:rFonts w:ascii="Arial" w:eastAsia="Arial" w:hAnsi="Arial" w:cs="Arial"/>
          <w:b/>
          <w:bCs/>
          <w:lang w:val="en-GB"/>
        </w:rPr>
        <w:t>Development of genomic predictors and risk modelling</w:t>
      </w:r>
    </w:p>
    <w:p w14:paraId="42C9504C" w14:textId="61C02BBD" w:rsidR="005B1A85" w:rsidRPr="005B1A85" w:rsidRDefault="005B1A85" w:rsidP="00C6789C">
      <w:pPr>
        <w:spacing w:after="0" w:line="360" w:lineRule="auto"/>
        <w:jc w:val="both"/>
        <w:rPr>
          <w:rFonts w:ascii="Arial" w:eastAsia="Arial" w:hAnsi="Arial" w:cs="Arial"/>
          <w:lang w:val="en-GB"/>
        </w:rPr>
      </w:pPr>
      <w:r w:rsidRPr="005B1A85">
        <w:rPr>
          <w:rFonts w:ascii="Arial" w:eastAsia="Arial" w:hAnsi="Arial" w:cs="Arial"/>
          <w:lang w:val="en-GB"/>
        </w:rPr>
        <w:t>For each tumour, the segmented CNV</w:t>
      </w:r>
      <w:r w:rsidR="008F1A1B">
        <w:rPr>
          <w:rFonts w:ascii="Arial" w:eastAsia="Arial" w:hAnsi="Arial" w:cs="Arial"/>
          <w:lang w:val="en-GB"/>
        </w:rPr>
        <w:t>s</w:t>
      </w:r>
      <w:r w:rsidRPr="005B1A85">
        <w:rPr>
          <w:rFonts w:ascii="Arial" w:eastAsia="Arial" w:hAnsi="Arial" w:cs="Arial"/>
          <w:lang w:val="en-GB"/>
        </w:rPr>
        <w:t xml:space="preserve"> profile was used to compute the fraction of autosomal genome affected by copy-number gains or losses (|log</w:t>
      </w:r>
      <w:r w:rsidRPr="005B1A85">
        <w:rPr>
          <w:rFonts w:ascii="Cambria Math" w:eastAsia="Arial" w:hAnsi="Cambria Math" w:cs="Cambria Math"/>
          <w:lang w:val="en-GB"/>
        </w:rPr>
        <w:t>₂</w:t>
      </w:r>
      <w:r w:rsidRPr="005B1A85">
        <w:rPr>
          <w:rFonts w:ascii="Arial" w:eastAsia="Arial" w:hAnsi="Arial" w:cs="Arial"/>
          <w:lang w:val="en-GB"/>
        </w:rPr>
        <w:t xml:space="preserve"> ratio| ≥0.2). Estimated tumour ploidy was derived from CNV</w:t>
      </w:r>
      <w:r w:rsidR="008F1A1B">
        <w:rPr>
          <w:rFonts w:ascii="Arial" w:eastAsia="Arial" w:hAnsi="Arial" w:cs="Arial"/>
          <w:lang w:val="en-GB"/>
        </w:rPr>
        <w:t>s</w:t>
      </w:r>
      <w:r w:rsidRPr="005B1A85">
        <w:rPr>
          <w:rFonts w:ascii="Arial" w:eastAsia="Arial" w:hAnsi="Arial" w:cs="Arial"/>
          <w:lang w:val="en-GB"/>
        </w:rPr>
        <w:t xml:space="preserve"> calling and expressed as the genome-wide average copy number. Both variables were standardised to z-scores across the cohort, and the Genomic Instability Score (GIS) was defined as GIS = z(</w:t>
      </w:r>
      <w:r w:rsidR="008F1A1B">
        <w:rPr>
          <w:rFonts w:ascii="Arial" w:eastAsia="Arial" w:hAnsi="Arial" w:cs="Arial"/>
          <w:lang w:val="en-GB"/>
        </w:rPr>
        <w:t xml:space="preserve">% </w:t>
      </w:r>
      <w:r w:rsidR="009159B5" w:rsidRPr="009159B5">
        <w:rPr>
          <w:rFonts w:ascii="Arial" w:eastAsia="Arial" w:hAnsi="Arial" w:cs="Arial"/>
          <w:lang w:val="en-GB"/>
        </w:rPr>
        <w:t>genome altered</w:t>
      </w:r>
      <w:r w:rsidRPr="005B1A85">
        <w:rPr>
          <w:rFonts w:ascii="Arial" w:eastAsia="Arial" w:hAnsi="Arial" w:cs="Arial"/>
          <w:lang w:val="en-GB"/>
        </w:rPr>
        <w:t>) – z(ploidy), such that high GIS values captured extensive focal/segmental CNV</w:t>
      </w:r>
      <w:r w:rsidR="008F1A1B">
        <w:rPr>
          <w:rFonts w:ascii="Arial" w:eastAsia="Arial" w:hAnsi="Arial" w:cs="Arial"/>
          <w:lang w:val="en-GB"/>
        </w:rPr>
        <w:t>s</w:t>
      </w:r>
      <w:r w:rsidRPr="005B1A85">
        <w:rPr>
          <w:rFonts w:ascii="Arial" w:eastAsia="Arial" w:hAnsi="Arial" w:cs="Arial"/>
          <w:lang w:val="en-GB"/>
        </w:rPr>
        <w:t xml:space="preserve"> burden without whole-genome duplication.</w:t>
      </w:r>
    </w:p>
    <w:p w14:paraId="401A4B6D" w14:textId="7EC5EF8A" w:rsidR="005B1A85" w:rsidRPr="005B1A85" w:rsidRDefault="005B1A85" w:rsidP="00C6789C">
      <w:pPr>
        <w:spacing w:after="0" w:line="360" w:lineRule="auto"/>
        <w:jc w:val="both"/>
        <w:rPr>
          <w:rFonts w:ascii="Arial" w:eastAsia="Arial" w:hAnsi="Arial" w:cs="Arial"/>
          <w:lang w:val="en-GB"/>
        </w:rPr>
      </w:pPr>
      <w:r w:rsidRPr="005B1A85">
        <w:rPr>
          <w:rFonts w:ascii="Arial" w:eastAsia="Arial" w:hAnsi="Arial" w:cs="Arial"/>
          <w:lang w:val="en-GB"/>
        </w:rPr>
        <w:t>Recurrent CNV</w:t>
      </w:r>
      <w:r w:rsidR="009159B5">
        <w:rPr>
          <w:rFonts w:ascii="Arial" w:eastAsia="Arial" w:hAnsi="Arial" w:cs="Arial"/>
          <w:lang w:val="en-GB"/>
        </w:rPr>
        <w:t>s</w:t>
      </w:r>
      <w:r w:rsidRPr="005B1A85">
        <w:rPr>
          <w:rFonts w:ascii="Arial" w:eastAsia="Arial" w:hAnsi="Arial" w:cs="Arial"/>
          <w:lang w:val="en-GB"/>
        </w:rPr>
        <w:t xml:space="preserve"> peaks associated with PFS at p&lt;0.1 in univariable log-rank analyses were evaluated in a Random Forest classifier (</w:t>
      </w:r>
      <w:proofErr w:type="spellStart"/>
      <w:r w:rsidRPr="005B1A85">
        <w:rPr>
          <w:rFonts w:ascii="Arial" w:eastAsia="Arial" w:hAnsi="Arial" w:cs="Arial"/>
          <w:lang w:val="en-GB"/>
        </w:rPr>
        <w:t>randomForest</w:t>
      </w:r>
      <w:proofErr w:type="spellEnd"/>
      <w:r w:rsidRPr="005B1A85">
        <w:rPr>
          <w:rFonts w:ascii="Arial" w:eastAsia="Arial" w:hAnsi="Arial" w:cs="Arial"/>
          <w:lang w:val="en-GB"/>
        </w:rPr>
        <w:t xml:space="preserve"> R package v4.7.1.2) using binary CNV</w:t>
      </w:r>
      <w:r w:rsidR="009159B5">
        <w:rPr>
          <w:rFonts w:ascii="Arial" w:eastAsia="Arial" w:hAnsi="Arial" w:cs="Arial"/>
          <w:lang w:val="en-GB"/>
        </w:rPr>
        <w:t>s</w:t>
      </w:r>
      <w:r w:rsidRPr="005B1A85">
        <w:rPr>
          <w:rFonts w:ascii="Arial" w:eastAsia="Arial" w:hAnsi="Arial" w:cs="Arial"/>
          <w:lang w:val="en-GB"/>
        </w:rPr>
        <w:t xml:space="preserve"> calls as predictors and relapse status as the outcome. Variable importance measures were used to select three peaks (2p11.2 amplification, 11q25 deletion, 2p13.2 </w:t>
      </w:r>
      <w:r w:rsidRPr="005B1A85">
        <w:rPr>
          <w:rFonts w:ascii="Arial" w:eastAsia="Arial" w:hAnsi="Arial" w:cs="Arial"/>
          <w:lang w:val="en-GB"/>
        </w:rPr>
        <w:lastRenderedPageBreak/>
        <w:t>deletion) for inclusion in a parsimonious CNV</w:t>
      </w:r>
      <w:r w:rsidR="009159B5">
        <w:rPr>
          <w:rFonts w:ascii="Arial" w:eastAsia="Arial" w:hAnsi="Arial" w:cs="Arial"/>
          <w:lang w:val="en-GB"/>
        </w:rPr>
        <w:t>s</w:t>
      </w:r>
      <w:r w:rsidRPr="005B1A85">
        <w:rPr>
          <w:rFonts w:ascii="Arial" w:eastAsia="Arial" w:hAnsi="Arial" w:cs="Arial"/>
          <w:lang w:val="en-GB"/>
        </w:rPr>
        <w:t xml:space="preserve"> risk score, assigning one point per lesion and defining high-risk CNV</w:t>
      </w:r>
      <w:r w:rsidR="009159B5">
        <w:rPr>
          <w:rFonts w:ascii="Arial" w:eastAsia="Arial" w:hAnsi="Arial" w:cs="Arial"/>
          <w:lang w:val="en-GB"/>
        </w:rPr>
        <w:t>s</w:t>
      </w:r>
      <w:r w:rsidRPr="005B1A85">
        <w:rPr>
          <w:rFonts w:ascii="Arial" w:eastAsia="Arial" w:hAnsi="Arial" w:cs="Arial"/>
          <w:lang w:val="en-GB"/>
        </w:rPr>
        <w:t xml:space="preserve"> status as ≥2 events.</w:t>
      </w:r>
    </w:p>
    <w:p w14:paraId="6475357C" w14:textId="6F706FBB" w:rsidR="005B1A85" w:rsidRDefault="005B1A85" w:rsidP="00C6789C">
      <w:pPr>
        <w:spacing w:after="0" w:line="360" w:lineRule="auto"/>
        <w:jc w:val="both"/>
        <w:rPr>
          <w:rFonts w:ascii="Arial" w:eastAsia="Arial" w:hAnsi="Arial" w:cs="Arial"/>
          <w:lang w:val="en-GB"/>
        </w:rPr>
      </w:pPr>
      <w:r w:rsidRPr="005B1A85">
        <w:rPr>
          <w:rFonts w:ascii="Arial" w:eastAsia="Arial" w:hAnsi="Arial" w:cs="Arial"/>
          <w:lang w:val="en-GB"/>
        </w:rPr>
        <w:t>TRACER-HL was constructed as a multivariable logistic regression model including GIS (continuous) and CNV</w:t>
      </w:r>
      <w:r w:rsidR="009159B5">
        <w:rPr>
          <w:rFonts w:ascii="Arial" w:eastAsia="Arial" w:hAnsi="Arial" w:cs="Arial"/>
          <w:lang w:val="en-GB"/>
        </w:rPr>
        <w:t>s</w:t>
      </w:r>
      <w:r w:rsidRPr="005B1A85">
        <w:rPr>
          <w:rFonts w:ascii="Arial" w:eastAsia="Arial" w:hAnsi="Arial" w:cs="Arial"/>
          <w:lang w:val="en-GB"/>
        </w:rPr>
        <w:t xml:space="preserve"> high-risk status (binary). Model performance was assessed by receiver operating characteristic (ROC) curve analysis and area under the curve (AUC). To evaluate robustness, a bootstrap procedure with 1,000 iterations was implemented: in each iteration, patients were sampled with replacement, the model was refit and its performance evaluated on out-of-bag samples.</w:t>
      </w:r>
    </w:p>
    <w:p w14:paraId="59FCB3D4" w14:textId="77777777" w:rsidR="005B1A85" w:rsidRDefault="005B1A85" w:rsidP="00C6789C">
      <w:pPr>
        <w:spacing w:after="0" w:line="360" w:lineRule="auto"/>
        <w:jc w:val="both"/>
        <w:rPr>
          <w:rFonts w:ascii="Arial" w:eastAsia="Arial" w:hAnsi="Arial" w:cs="Arial"/>
          <w:lang w:val="en-GB"/>
        </w:rPr>
      </w:pPr>
    </w:p>
    <w:p w14:paraId="35B9D5B5" w14:textId="73473266" w:rsidR="005B1A85" w:rsidRPr="005B1A85" w:rsidRDefault="005B1A85" w:rsidP="00C6789C">
      <w:pPr>
        <w:spacing w:after="0" w:line="360" w:lineRule="auto"/>
        <w:jc w:val="both"/>
        <w:rPr>
          <w:rFonts w:ascii="Arial" w:eastAsia="Arial" w:hAnsi="Arial" w:cs="Arial"/>
          <w:lang w:val="en-GB"/>
        </w:rPr>
      </w:pPr>
      <w:r w:rsidRPr="005B1A85">
        <w:rPr>
          <w:rFonts w:ascii="Arial" w:eastAsia="Arial" w:hAnsi="Arial" w:cs="Arial"/>
          <w:b/>
          <w:bCs/>
          <w:lang w:val="en-GB"/>
        </w:rPr>
        <w:t xml:space="preserve">Statistical analysis </w:t>
      </w:r>
    </w:p>
    <w:p w14:paraId="42736699" w14:textId="77777777" w:rsidR="007B5C46" w:rsidRPr="007B5C46" w:rsidRDefault="007B5C46" w:rsidP="00C6789C">
      <w:pPr>
        <w:spacing w:after="0" w:line="360" w:lineRule="auto"/>
        <w:jc w:val="both"/>
        <w:rPr>
          <w:rFonts w:ascii="Arial" w:eastAsia="Arial" w:hAnsi="Arial" w:cs="Arial"/>
          <w:lang w:val="en-GB"/>
        </w:rPr>
      </w:pPr>
      <w:r w:rsidRPr="007B5C46">
        <w:rPr>
          <w:rFonts w:ascii="Arial" w:eastAsia="Arial" w:hAnsi="Arial" w:cs="Arial"/>
          <w:lang w:val="en-GB"/>
        </w:rPr>
        <w:t>Descriptive statistics are reported as medians and interquartile ranges (IQRs) for continuous variables and as counts and percentages for categorical variables. Associations between recurrent CNVs, coded as binary variables (presence/absence), and clinical features were evaluated using Fisher’s exact or Chi-squared tests, as appropriate.</w:t>
      </w:r>
    </w:p>
    <w:p w14:paraId="33966CB9" w14:textId="71BA385B" w:rsidR="00AB693F" w:rsidRDefault="00AB693F" w:rsidP="00C6789C">
      <w:pPr>
        <w:spacing w:after="0" w:line="360" w:lineRule="auto"/>
        <w:jc w:val="both"/>
        <w:rPr>
          <w:rFonts w:ascii="Arial" w:eastAsia="Arial" w:hAnsi="Arial" w:cs="Arial"/>
          <w:lang w:val="en-GB"/>
        </w:rPr>
      </w:pPr>
      <w:r w:rsidRPr="00AB693F">
        <w:rPr>
          <w:rFonts w:ascii="Arial" w:eastAsia="Arial" w:hAnsi="Arial" w:cs="Arial"/>
          <w:lang w:val="en-GB"/>
        </w:rPr>
        <w:t>We assessed associations between COSMIC mutational signatures and clinical variables by treating signature activity as a continuous variable, defined as the fraction of SBS or SV</w:t>
      </w:r>
      <w:r>
        <w:rPr>
          <w:rFonts w:ascii="Arial" w:eastAsia="Arial" w:hAnsi="Arial" w:cs="Arial"/>
          <w:lang w:val="en-GB"/>
        </w:rPr>
        <w:t>s</w:t>
      </w:r>
      <w:r w:rsidRPr="00AB693F">
        <w:rPr>
          <w:rFonts w:ascii="Arial" w:eastAsia="Arial" w:hAnsi="Arial" w:cs="Arial"/>
          <w:lang w:val="en-GB"/>
        </w:rPr>
        <w:t xml:space="preserve"> events attributed to each COSMIC signature in a given sample. For SBS and SV</w:t>
      </w:r>
      <w:r>
        <w:rPr>
          <w:rFonts w:ascii="Arial" w:eastAsia="Arial" w:hAnsi="Arial" w:cs="Arial"/>
          <w:lang w:val="en-GB"/>
        </w:rPr>
        <w:t>s</w:t>
      </w:r>
      <w:r w:rsidRPr="00AB693F">
        <w:rPr>
          <w:rFonts w:ascii="Arial" w:eastAsia="Arial" w:hAnsi="Arial" w:cs="Arial"/>
          <w:lang w:val="en-GB"/>
        </w:rPr>
        <w:t xml:space="preserve"> signatures separately, we performed an unbiased scan across all available signatures and categorical clinical covariates (histological subtype, GHSG risk group, bulky disease, extranodal involvement, radiotherapy, interim PET2 response, end-of-treatment PET status, grade 3–4 toxicity, relapse), using Wilcoxon rank–sum tests for binary variables and Kruskal–Wallis tests for variables with ≥3 levels. For Kruskal–Wallis tests with p&lt;0.05, exploratory post-hoc pairwise Wilcoxon comparisons between groups were performed with BH adjustment</w:t>
      </w:r>
      <w:r>
        <w:rPr>
          <w:rFonts w:ascii="Arial" w:eastAsia="Arial" w:hAnsi="Arial" w:cs="Arial"/>
          <w:lang w:val="en-GB"/>
        </w:rPr>
        <w:t>.</w:t>
      </w:r>
    </w:p>
    <w:p w14:paraId="3D507BC6" w14:textId="22871752" w:rsidR="007B5C46" w:rsidRPr="007B5C46" w:rsidRDefault="007B5C46" w:rsidP="00C6789C">
      <w:pPr>
        <w:spacing w:after="0" w:line="360" w:lineRule="auto"/>
        <w:jc w:val="both"/>
        <w:rPr>
          <w:rFonts w:ascii="Arial" w:eastAsia="Arial" w:hAnsi="Arial" w:cs="Arial"/>
          <w:lang w:val="en-GB"/>
        </w:rPr>
      </w:pPr>
      <w:r w:rsidRPr="007B5C46">
        <w:rPr>
          <w:rFonts w:ascii="Arial" w:eastAsia="Arial" w:hAnsi="Arial" w:cs="Arial"/>
          <w:lang w:val="en-GB"/>
        </w:rPr>
        <w:t xml:space="preserve">The relationship between AID-like SBS9 and clock-like SBS5 activity was evaluated using both continuous and categorical approaches. Continuous associations between SBS5 and SBS9 exposures were assessed with Spearman’s rank correlation. For group comparisons, SBS9 exposure was dichotomised as present versus absent (SBS9_pos/SBS9_neg), and histology was grouped as nodular sclerosis versus all other </w:t>
      </w:r>
      <w:proofErr w:type="spellStart"/>
      <w:r w:rsidRPr="007B5C46">
        <w:rPr>
          <w:rFonts w:ascii="Arial" w:eastAsia="Arial" w:hAnsi="Arial" w:cs="Arial"/>
          <w:lang w:val="en-GB"/>
        </w:rPr>
        <w:t>cHL</w:t>
      </w:r>
      <w:proofErr w:type="spellEnd"/>
      <w:r w:rsidRPr="007B5C46">
        <w:rPr>
          <w:rFonts w:ascii="Arial" w:eastAsia="Arial" w:hAnsi="Arial" w:cs="Arial"/>
          <w:lang w:val="en-GB"/>
        </w:rPr>
        <w:t xml:space="preserve"> subtypes. Differences in SBS5 or SBS9 exposure between two groups (e.g. SBS9_pos vs SBS9_neg, nodular sclerosis vs other subtypes) were tested using the Wilcoxon rank-sum test.</w:t>
      </w:r>
    </w:p>
    <w:p w14:paraId="53A9208A" w14:textId="477B546A" w:rsidR="007B5C46" w:rsidRPr="007B5C46" w:rsidRDefault="007B5C46" w:rsidP="00C6789C">
      <w:pPr>
        <w:spacing w:after="0" w:line="360" w:lineRule="auto"/>
        <w:jc w:val="both"/>
        <w:rPr>
          <w:rFonts w:ascii="Arial" w:eastAsia="Arial" w:hAnsi="Arial" w:cs="Arial"/>
          <w:lang w:val="en-GB"/>
        </w:rPr>
      </w:pPr>
      <w:r w:rsidRPr="007B5C46">
        <w:rPr>
          <w:rFonts w:ascii="Arial" w:eastAsia="Arial" w:hAnsi="Arial" w:cs="Arial"/>
          <w:lang w:val="en-GB"/>
        </w:rPr>
        <w:t xml:space="preserve">PFS was estimated using the Kaplan–Meier method and compared between groups with the log-rank test (R packages </w:t>
      </w:r>
      <w:r w:rsidRPr="007B5C46">
        <w:rPr>
          <w:rFonts w:ascii="Arial" w:eastAsia="Arial" w:hAnsi="Arial" w:cs="Arial"/>
          <w:i/>
          <w:iCs/>
          <w:lang w:val="en-GB"/>
        </w:rPr>
        <w:t>survival</w:t>
      </w:r>
      <w:r w:rsidRPr="007B5C46">
        <w:rPr>
          <w:rFonts w:ascii="Arial" w:eastAsia="Arial" w:hAnsi="Arial" w:cs="Arial"/>
          <w:lang w:val="en-GB"/>
        </w:rPr>
        <w:t xml:space="preserve"> v3.8.3 and </w:t>
      </w:r>
      <w:proofErr w:type="spellStart"/>
      <w:r w:rsidRPr="007B5C46">
        <w:rPr>
          <w:rFonts w:ascii="Arial" w:eastAsia="Arial" w:hAnsi="Arial" w:cs="Arial"/>
          <w:i/>
          <w:iCs/>
          <w:lang w:val="en-GB"/>
        </w:rPr>
        <w:t>survminer</w:t>
      </w:r>
      <w:proofErr w:type="spellEnd"/>
      <w:r w:rsidRPr="007B5C46">
        <w:rPr>
          <w:rFonts w:ascii="Arial" w:eastAsia="Arial" w:hAnsi="Arial" w:cs="Arial"/>
          <w:lang w:val="en-GB"/>
        </w:rPr>
        <w:t xml:space="preserve"> v0.5.0). CNVs showing an individual association with PFS at a threshold of p&lt;0.1 were selected for further analysis using a supervised machine-learning approach. A Random Forest classifier </w:t>
      </w:r>
      <w:r w:rsidRPr="007B5C46">
        <w:rPr>
          <w:rFonts w:ascii="Arial" w:eastAsia="Arial" w:hAnsi="Arial" w:cs="Arial"/>
          <w:lang w:val="en-GB"/>
        </w:rPr>
        <w:lastRenderedPageBreak/>
        <w:t>(</w:t>
      </w:r>
      <w:proofErr w:type="spellStart"/>
      <w:r w:rsidRPr="007B5C46">
        <w:rPr>
          <w:rFonts w:ascii="Arial" w:eastAsia="Arial" w:hAnsi="Arial" w:cs="Arial"/>
          <w:i/>
          <w:iCs/>
          <w:lang w:val="en-GB"/>
        </w:rPr>
        <w:t>randomForest</w:t>
      </w:r>
      <w:proofErr w:type="spellEnd"/>
      <w:r w:rsidRPr="007B5C46">
        <w:rPr>
          <w:rFonts w:ascii="Arial" w:eastAsia="Arial" w:hAnsi="Arial" w:cs="Arial"/>
          <w:lang w:val="en-GB"/>
        </w:rPr>
        <w:t xml:space="preserve"> v4.7.1.2) was trained using binary CNV</w:t>
      </w:r>
      <w:r w:rsidR="009159B5">
        <w:rPr>
          <w:rFonts w:ascii="Arial" w:eastAsia="Arial" w:hAnsi="Arial" w:cs="Arial"/>
          <w:lang w:val="en-GB"/>
        </w:rPr>
        <w:t>s</w:t>
      </w:r>
      <w:r w:rsidRPr="007B5C46">
        <w:rPr>
          <w:rFonts w:ascii="Arial" w:eastAsia="Arial" w:hAnsi="Arial" w:cs="Arial"/>
          <w:lang w:val="en-GB"/>
        </w:rPr>
        <w:t xml:space="preserve"> calls to identify the most informative alterations for distinguishing relapsed from non-relapsed patients. Based on the presence of at least two high-risk CNVs identified by the model, patients were stratified into empirical risk groups, and Kaplan–Meier curves were generated to evaluate differences in PFS.</w:t>
      </w:r>
    </w:p>
    <w:p w14:paraId="44100788" w14:textId="77777777" w:rsidR="00AB693F" w:rsidRDefault="007B5C46" w:rsidP="00C6789C">
      <w:pPr>
        <w:spacing w:after="0" w:line="360" w:lineRule="auto"/>
        <w:jc w:val="both"/>
        <w:rPr>
          <w:rFonts w:ascii="Arial" w:eastAsia="Arial" w:hAnsi="Arial" w:cs="Arial"/>
          <w:lang w:val="en-GB"/>
        </w:rPr>
      </w:pPr>
      <w:r w:rsidRPr="007B5C46">
        <w:rPr>
          <w:rFonts w:ascii="Arial" w:eastAsia="Arial" w:hAnsi="Arial" w:cs="Arial"/>
          <w:lang w:val="en-GB"/>
        </w:rPr>
        <w:t xml:space="preserve">Additionally, multivariable logistic regression models were used to assess the predictive value of selected genomic features for relapse. Model discrimination was evaluated using receiver operating characteristic (ROC) curve analysis and quantified by the area under the curve (AUC). The optimal classification threshold was defined by the Youden index, and performance metrics, including sensitivity, specificity, positive predictive value (PPV) and negative predictive value (NPV), were calculated at this point. </w:t>
      </w:r>
    </w:p>
    <w:p w14:paraId="1A521E29" w14:textId="13D095D0" w:rsidR="007B5C46" w:rsidRPr="007B5C46" w:rsidRDefault="007B5C46" w:rsidP="00C6789C">
      <w:pPr>
        <w:spacing w:after="0" w:line="360" w:lineRule="auto"/>
        <w:jc w:val="both"/>
        <w:rPr>
          <w:rFonts w:ascii="Arial" w:eastAsia="Arial" w:hAnsi="Arial" w:cs="Arial"/>
          <w:lang w:val="en-GB"/>
        </w:rPr>
      </w:pPr>
      <w:r w:rsidRPr="007B5C46">
        <w:rPr>
          <w:rFonts w:ascii="Arial" w:eastAsia="Arial" w:hAnsi="Arial" w:cs="Arial"/>
          <w:lang w:val="en-GB"/>
        </w:rPr>
        <w:t xml:space="preserve">Unless otherwise stated, two-sided p-values &lt;0.05 were considered statistically significant for prespecified analyses. Analyses were performed in R (v4.2.3), SPSS (v28, IBM Corp.) and Python (v3.10), incorporating relevant packages from scikit-learn and </w:t>
      </w:r>
      <w:proofErr w:type="spellStart"/>
      <w:r w:rsidRPr="007B5C46">
        <w:rPr>
          <w:rFonts w:ascii="Arial" w:eastAsia="Arial" w:hAnsi="Arial" w:cs="Arial"/>
          <w:lang w:val="en-GB"/>
        </w:rPr>
        <w:t>statsmodels</w:t>
      </w:r>
      <w:proofErr w:type="spellEnd"/>
      <w:r w:rsidRPr="007B5C46">
        <w:rPr>
          <w:rFonts w:ascii="Arial" w:eastAsia="Arial" w:hAnsi="Arial" w:cs="Arial"/>
          <w:lang w:val="en-GB"/>
        </w:rPr>
        <w:t>.</w:t>
      </w:r>
    </w:p>
    <w:p w14:paraId="76AF049D" w14:textId="77777777" w:rsidR="00FA1AD4" w:rsidRPr="00FA1AD4" w:rsidRDefault="00FA1AD4" w:rsidP="00C6789C">
      <w:pPr>
        <w:spacing w:after="0" w:line="360" w:lineRule="auto"/>
        <w:jc w:val="both"/>
        <w:rPr>
          <w:rFonts w:ascii="Arial" w:eastAsia="Arial" w:hAnsi="Arial" w:cs="Arial"/>
          <w:b/>
          <w:bCs/>
          <w:lang w:val="en-US"/>
        </w:rPr>
      </w:pPr>
    </w:p>
    <w:sectPr w:rsidR="00FA1AD4" w:rsidRPr="00FA1A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B7E"/>
    <w:rsid w:val="00064549"/>
    <w:rsid w:val="000E2811"/>
    <w:rsid w:val="001F45B4"/>
    <w:rsid w:val="00233CC3"/>
    <w:rsid w:val="00265BBB"/>
    <w:rsid w:val="00295B4B"/>
    <w:rsid w:val="002A0B80"/>
    <w:rsid w:val="002C0DAC"/>
    <w:rsid w:val="0030119A"/>
    <w:rsid w:val="00412C40"/>
    <w:rsid w:val="00494761"/>
    <w:rsid w:val="00577E80"/>
    <w:rsid w:val="005B1A85"/>
    <w:rsid w:val="005D62C9"/>
    <w:rsid w:val="00635B6B"/>
    <w:rsid w:val="006424FF"/>
    <w:rsid w:val="006722BB"/>
    <w:rsid w:val="006A690C"/>
    <w:rsid w:val="006E0D65"/>
    <w:rsid w:val="007066BC"/>
    <w:rsid w:val="007633BA"/>
    <w:rsid w:val="007B5C46"/>
    <w:rsid w:val="0084759E"/>
    <w:rsid w:val="008B000F"/>
    <w:rsid w:val="008F1A1B"/>
    <w:rsid w:val="009159B5"/>
    <w:rsid w:val="00937303"/>
    <w:rsid w:val="009C5A84"/>
    <w:rsid w:val="009C69D1"/>
    <w:rsid w:val="00A222C7"/>
    <w:rsid w:val="00A60336"/>
    <w:rsid w:val="00A87D38"/>
    <w:rsid w:val="00A94D95"/>
    <w:rsid w:val="00AB693F"/>
    <w:rsid w:val="00AC4E2A"/>
    <w:rsid w:val="00C619D6"/>
    <w:rsid w:val="00C6789C"/>
    <w:rsid w:val="00CD730E"/>
    <w:rsid w:val="00CE1D5F"/>
    <w:rsid w:val="00D05EE6"/>
    <w:rsid w:val="00D15B7E"/>
    <w:rsid w:val="00D529F2"/>
    <w:rsid w:val="00DD12F7"/>
    <w:rsid w:val="00EC74E6"/>
    <w:rsid w:val="00F5658E"/>
    <w:rsid w:val="00F87B58"/>
    <w:rsid w:val="00FA1AD4"/>
    <w:rsid w:val="00FC5A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2E7F7"/>
  <w15:chartTrackingRefBased/>
  <w15:docId w15:val="{6772C542-B045-4776-B5BC-FEC00BB78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15B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D15B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15B7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15B7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15B7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15B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15B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15B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15B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5B7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D15B7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15B7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15B7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15B7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15B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15B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15B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15B7E"/>
    <w:rPr>
      <w:rFonts w:eastAsiaTheme="majorEastAsia" w:cstheme="majorBidi"/>
      <w:color w:val="272727" w:themeColor="text1" w:themeTint="D8"/>
    </w:rPr>
  </w:style>
  <w:style w:type="paragraph" w:styleId="Ttulo">
    <w:name w:val="Title"/>
    <w:basedOn w:val="Normal"/>
    <w:next w:val="Normal"/>
    <w:link w:val="TtuloCar"/>
    <w:uiPriority w:val="10"/>
    <w:qFormat/>
    <w:rsid w:val="00D15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15B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15B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15B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15B7E"/>
    <w:pPr>
      <w:spacing w:before="160"/>
      <w:jc w:val="center"/>
    </w:pPr>
    <w:rPr>
      <w:i/>
      <w:iCs/>
      <w:color w:val="404040" w:themeColor="text1" w:themeTint="BF"/>
    </w:rPr>
  </w:style>
  <w:style w:type="character" w:customStyle="1" w:styleId="CitaCar">
    <w:name w:val="Cita Car"/>
    <w:basedOn w:val="Fuentedeprrafopredeter"/>
    <w:link w:val="Cita"/>
    <w:uiPriority w:val="29"/>
    <w:rsid w:val="00D15B7E"/>
    <w:rPr>
      <w:i/>
      <w:iCs/>
      <w:color w:val="404040" w:themeColor="text1" w:themeTint="BF"/>
    </w:rPr>
  </w:style>
  <w:style w:type="paragraph" w:styleId="Prrafodelista">
    <w:name w:val="List Paragraph"/>
    <w:basedOn w:val="Normal"/>
    <w:uiPriority w:val="34"/>
    <w:qFormat/>
    <w:rsid w:val="00D15B7E"/>
    <w:pPr>
      <w:ind w:left="720"/>
      <w:contextualSpacing/>
    </w:pPr>
  </w:style>
  <w:style w:type="character" w:styleId="nfasisintenso">
    <w:name w:val="Intense Emphasis"/>
    <w:basedOn w:val="Fuentedeprrafopredeter"/>
    <w:uiPriority w:val="21"/>
    <w:qFormat/>
    <w:rsid w:val="00D15B7E"/>
    <w:rPr>
      <w:i/>
      <w:iCs/>
      <w:color w:val="2F5496" w:themeColor="accent1" w:themeShade="BF"/>
    </w:rPr>
  </w:style>
  <w:style w:type="paragraph" w:styleId="Citadestacada">
    <w:name w:val="Intense Quote"/>
    <w:basedOn w:val="Normal"/>
    <w:next w:val="Normal"/>
    <w:link w:val="CitadestacadaCar"/>
    <w:uiPriority w:val="30"/>
    <w:qFormat/>
    <w:rsid w:val="00D15B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15B7E"/>
    <w:rPr>
      <w:i/>
      <w:iCs/>
      <w:color w:val="2F5496" w:themeColor="accent1" w:themeShade="BF"/>
    </w:rPr>
  </w:style>
  <w:style w:type="character" w:styleId="Referenciaintensa">
    <w:name w:val="Intense Reference"/>
    <w:basedOn w:val="Fuentedeprrafopredeter"/>
    <w:uiPriority w:val="32"/>
    <w:qFormat/>
    <w:rsid w:val="00D15B7E"/>
    <w:rPr>
      <w:b/>
      <w:bCs/>
      <w:smallCaps/>
      <w:color w:val="2F5496" w:themeColor="accent1" w:themeShade="BF"/>
      <w:spacing w:val="5"/>
    </w:rPr>
  </w:style>
  <w:style w:type="paragraph" w:styleId="Revisin">
    <w:name w:val="Revision"/>
    <w:hidden/>
    <w:uiPriority w:val="99"/>
    <w:semiHidden/>
    <w:rsid w:val="009C5A84"/>
    <w:pPr>
      <w:spacing w:after="0" w:line="240" w:lineRule="auto"/>
    </w:pPr>
  </w:style>
  <w:style w:type="character" w:styleId="Refdecomentario">
    <w:name w:val="annotation reference"/>
    <w:basedOn w:val="Fuentedeprrafopredeter"/>
    <w:uiPriority w:val="99"/>
    <w:semiHidden/>
    <w:unhideWhenUsed/>
    <w:rsid w:val="00635B6B"/>
    <w:rPr>
      <w:sz w:val="16"/>
      <w:szCs w:val="16"/>
    </w:rPr>
  </w:style>
  <w:style w:type="paragraph" w:styleId="Textocomentario">
    <w:name w:val="annotation text"/>
    <w:basedOn w:val="Normal"/>
    <w:link w:val="TextocomentarioCar"/>
    <w:uiPriority w:val="99"/>
    <w:unhideWhenUsed/>
    <w:rsid w:val="00635B6B"/>
    <w:pPr>
      <w:spacing w:line="240" w:lineRule="auto"/>
    </w:pPr>
    <w:rPr>
      <w:sz w:val="20"/>
      <w:szCs w:val="20"/>
    </w:rPr>
  </w:style>
  <w:style w:type="character" w:customStyle="1" w:styleId="TextocomentarioCar">
    <w:name w:val="Texto comentario Car"/>
    <w:basedOn w:val="Fuentedeprrafopredeter"/>
    <w:link w:val="Textocomentario"/>
    <w:uiPriority w:val="99"/>
    <w:rsid w:val="00635B6B"/>
    <w:rPr>
      <w:sz w:val="20"/>
      <w:szCs w:val="20"/>
    </w:rPr>
  </w:style>
  <w:style w:type="paragraph" w:styleId="Asuntodelcomentario">
    <w:name w:val="annotation subject"/>
    <w:basedOn w:val="Textocomentario"/>
    <w:next w:val="Textocomentario"/>
    <w:link w:val="AsuntodelcomentarioCar"/>
    <w:uiPriority w:val="99"/>
    <w:semiHidden/>
    <w:unhideWhenUsed/>
    <w:rsid w:val="00635B6B"/>
    <w:rPr>
      <w:b/>
      <w:bCs/>
    </w:rPr>
  </w:style>
  <w:style w:type="character" w:customStyle="1" w:styleId="AsuntodelcomentarioCar">
    <w:name w:val="Asunto del comentario Car"/>
    <w:basedOn w:val="TextocomentarioCar"/>
    <w:link w:val="Asuntodelcomentario"/>
    <w:uiPriority w:val="99"/>
    <w:semiHidden/>
    <w:rsid w:val="00635B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972</TotalTime>
  <Pages>6</Pages>
  <Words>2050</Words>
  <Characters>12137</Characters>
  <Application>Microsoft Office Word</Application>
  <DocSecurity>0</DocSecurity>
  <Lines>198</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InakiCm ...</dc:creator>
  <cp:keywords/>
  <dc:description/>
  <cp:lastModifiedBy>InakiCm ...</cp:lastModifiedBy>
  <cp:revision>23</cp:revision>
  <dcterms:created xsi:type="dcterms:W3CDTF">2025-12-22T11:42:00Z</dcterms:created>
  <dcterms:modified xsi:type="dcterms:W3CDTF">2026-05-25T17:09:00Z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a9f61aeb-bbf6-4c10-a69e-bb052e149fd7</vt:lpwstr>
  </property>
</Properties>
</file>