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86A" w:rsidRPr="007E086A" w:rsidRDefault="007E086A" w:rsidP="007E086A">
      <w:pPr>
        <w:spacing w:line="480" w:lineRule="auto"/>
        <w:rPr>
          <w:rFonts w:ascii="Times New Roman" w:hAnsi="Times New Roman" w:cs="Times New Roman"/>
          <w:b/>
          <w:sz w:val="32"/>
          <w:szCs w:val="24"/>
          <w:lang w:val="en-GB"/>
        </w:rPr>
      </w:pPr>
      <w:r w:rsidRPr="007E086A">
        <w:rPr>
          <w:rFonts w:ascii="Times New Roman" w:hAnsi="Times New Roman" w:cs="Times New Roman"/>
          <w:b/>
          <w:sz w:val="32"/>
          <w:szCs w:val="24"/>
          <w:lang w:val="en-GB"/>
        </w:rPr>
        <w:t>Supplementary Materials</w:t>
      </w:r>
      <w:bookmarkStart w:id="0" w:name="_GoBack"/>
      <w:bookmarkEnd w:id="0"/>
    </w:p>
    <w:p w:rsidR="007E086A" w:rsidRPr="001C612C" w:rsidRDefault="007E086A" w:rsidP="007E086A">
      <w:pPr>
        <w:spacing w:line="480" w:lineRule="auto"/>
        <w:rPr>
          <w:rFonts w:ascii="Times New Roman" w:hAnsi="Times New Roman" w:cs="Times New Roman"/>
          <w:sz w:val="24"/>
          <w:szCs w:val="24"/>
          <w:lang w:val="en-GB"/>
        </w:rPr>
      </w:pPr>
    </w:p>
    <w:p w:rsidR="007E086A" w:rsidRPr="001C612C" w:rsidRDefault="007E086A" w:rsidP="007E086A">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Supplementary Table S1. Region × intimate partner violence (IPV) type interaction terms from pooled adjusted multilevel models (sub-Saharan Africa as reference)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200"/>
        <w:gridCol w:w="1300"/>
        <w:gridCol w:w="2200"/>
        <w:gridCol w:w="1300"/>
      </w:tblGrid>
      <w:tr w:rsidR="007E086A" w:rsidRPr="001C612C" w:rsidTr="00EF0BDE">
        <w:trPr>
          <w:tblHeader/>
        </w:trPr>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Term</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 xml:space="preserve">lme4 (unweighted)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p-value</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proofErr w:type="spellStart"/>
            <w:r w:rsidRPr="001C612C">
              <w:rPr>
                <w:rFonts w:ascii="Times New Roman" w:hAnsi="Times New Roman" w:cs="Times New Roman"/>
                <w:b/>
                <w:sz w:val="24"/>
                <w:szCs w:val="24"/>
                <w:lang w:val="en-GB"/>
              </w:rPr>
              <w:t>WeMix</w:t>
            </w:r>
            <w:proofErr w:type="spellEnd"/>
            <w:r w:rsidRPr="001C612C">
              <w:rPr>
                <w:rFonts w:ascii="Times New Roman" w:hAnsi="Times New Roman" w:cs="Times New Roman"/>
                <w:b/>
                <w:sz w:val="24"/>
                <w:szCs w:val="24"/>
                <w:lang w:val="en-GB"/>
              </w:rPr>
              <w:t xml:space="preserve"> (weighted)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p-value</w:t>
            </w:r>
          </w:p>
        </w:tc>
      </w:tr>
      <w:tr w:rsidR="007E086A" w:rsidRPr="001C612C" w:rsidTr="00EF0BDE">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 (main effect)</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1.66 (0.67–4.06)</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ns</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1.91 (0.98–3.71)</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ns</w:t>
            </w:r>
          </w:p>
        </w:tc>
      </w:tr>
      <w:tr w:rsidR="007E086A" w:rsidRPr="001C612C" w:rsidTr="00EF0BDE">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Emotional only × Asia</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0.87 (0.71–1.06)</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ns</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0.86 (0.59–1.26)</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ns</w:t>
            </w:r>
          </w:p>
        </w:tc>
      </w:tr>
      <w:tr w:rsidR="007E086A" w:rsidRPr="001C612C" w:rsidTr="00EF0BDE">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Physical only × Asia</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0.75 (0.65–0.87)</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&lt;.001</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0.70 (0.63–0.77)</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&lt;.001</w:t>
            </w:r>
          </w:p>
        </w:tc>
      </w:tr>
      <w:tr w:rsidR="007E086A" w:rsidRPr="001C612C" w:rsidTr="00EF0BDE">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Both × Asia</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0.64 (0.55–0.74)</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&lt;.001</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0.71 (0.62–0.83)</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&lt;.001</w:t>
            </w:r>
          </w:p>
        </w:tc>
      </w:tr>
      <w:tr w:rsidR="007E086A" w:rsidRPr="001C612C" w:rsidTr="00EF0BDE">
        <w:tc>
          <w:tcPr>
            <w:tcW w:w="30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Sexual only × Asia</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0.55 (0.37–0.82)</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&lt;.01</w:t>
            </w:r>
          </w:p>
        </w:tc>
        <w:tc>
          <w:tcPr>
            <w:tcW w:w="2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0.53 (0.38–0.75)</w:t>
            </w:r>
          </w:p>
        </w:tc>
        <w:tc>
          <w:tcPr>
            <w:tcW w:w="13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&lt;.001</w:t>
            </w:r>
          </w:p>
        </w:tc>
      </w:tr>
    </w:tbl>
    <w:p w:rsidR="007E086A" w:rsidRPr="001C612C" w:rsidRDefault="007E086A" w:rsidP="007E086A">
      <w:pPr>
        <w:spacing w:line="480" w:lineRule="auto"/>
        <w:rPr>
          <w:rFonts w:ascii="Times New Roman" w:hAnsi="Times New Roman" w:cs="Times New Roman"/>
          <w:i/>
          <w:sz w:val="24"/>
          <w:szCs w:val="24"/>
          <w:lang w:val="en-GB"/>
        </w:rPr>
      </w:pPr>
      <w:r w:rsidRPr="001C612C">
        <w:rPr>
          <w:rFonts w:ascii="Times New Roman" w:hAnsi="Times New Roman" w:cs="Times New Roman"/>
          <w:i/>
          <w:sz w:val="24"/>
          <w:szCs w:val="24"/>
          <w:lang w:val="en-GB"/>
        </w:rPr>
        <w:t xml:space="preserve">Reference region = sub-Saharan Africa; reference IPV category = no IPV. lme4 = unweighted multilevel mixed-effects model; </w:t>
      </w:r>
      <w:proofErr w:type="spellStart"/>
      <w:r w:rsidRPr="001C612C">
        <w:rPr>
          <w:rFonts w:ascii="Times New Roman" w:hAnsi="Times New Roman" w:cs="Times New Roman"/>
          <w:i/>
          <w:sz w:val="24"/>
          <w:szCs w:val="24"/>
          <w:lang w:val="en-GB"/>
        </w:rPr>
        <w:t>WeMix</w:t>
      </w:r>
      <w:proofErr w:type="spellEnd"/>
      <w:r w:rsidRPr="001C612C">
        <w:rPr>
          <w:rFonts w:ascii="Times New Roman" w:hAnsi="Times New Roman" w:cs="Times New Roman"/>
          <w:i/>
          <w:sz w:val="24"/>
          <w:szCs w:val="24"/>
          <w:lang w:val="en-GB"/>
        </w:rPr>
        <w:t xml:space="preserve"> = weighted multilevel model accounting for DHS sampling weights. Both models adjusted for age, education, urban residence, wealth index, employment, media exposure, and number of children, with country as random intercept. Region × IPV interaction terms ≠ 1.00 indicate that the IPV effect on condom use differs between regions. OR &lt; 1.00 indicates effect attenuated or reversed in Asia relative to sub-Saharan Africa. </w:t>
      </w:r>
      <w:proofErr w:type="spellStart"/>
      <w:proofErr w:type="gramStart"/>
      <w:r w:rsidRPr="001C612C">
        <w:rPr>
          <w:rFonts w:ascii="Times New Roman" w:hAnsi="Times New Roman" w:cs="Times New Roman"/>
          <w:i/>
          <w:sz w:val="24"/>
          <w:szCs w:val="24"/>
          <w:lang w:val="en-GB"/>
        </w:rPr>
        <w:t>aOR</w:t>
      </w:r>
      <w:proofErr w:type="spellEnd"/>
      <w:proofErr w:type="gramEnd"/>
      <w:r w:rsidRPr="001C612C">
        <w:rPr>
          <w:rFonts w:ascii="Times New Roman" w:hAnsi="Times New Roman" w:cs="Times New Roman"/>
          <w:i/>
          <w:sz w:val="24"/>
          <w:szCs w:val="24"/>
          <w:lang w:val="en-GB"/>
        </w:rPr>
        <w:t xml:space="preserve"> = adjusted odds ratio; CI = confidence interval; ns = not significant (p ≥ 0.05). n = 156,655 women across 30 countries.</w:t>
      </w:r>
    </w:p>
    <w:p w:rsidR="007E086A" w:rsidRPr="001C612C" w:rsidRDefault="007E086A" w:rsidP="007E086A">
      <w:pPr>
        <w:spacing w:line="480" w:lineRule="auto"/>
        <w:rPr>
          <w:rFonts w:ascii="Times New Roman" w:hAnsi="Times New Roman" w:cs="Times New Roman"/>
          <w:i/>
          <w:sz w:val="24"/>
          <w:szCs w:val="24"/>
          <w:lang w:val="en-GB"/>
        </w:rPr>
      </w:pPr>
    </w:p>
    <w:p w:rsidR="007E086A" w:rsidRPr="001C612C" w:rsidRDefault="007E086A" w:rsidP="007E086A">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Supplementary Table S2. Country-level adjusted odds ratios for the association between intimate partner violence (IPV) type and condom use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16"/>
        <w:gridCol w:w="1212"/>
        <w:gridCol w:w="1818"/>
        <w:gridCol w:w="1818"/>
        <w:gridCol w:w="1818"/>
        <w:gridCol w:w="1818"/>
      </w:tblGrid>
      <w:tr w:rsidR="007E086A" w:rsidRPr="001C612C" w:rsidTr="00EF0BDE">
        <w:trPr>
          <w:tblHeader/>
        </w:trPr>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lastRenderedPageBreak/>
              <w:t>Country</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Region</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 xml:space="preserve">Emotional only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 xml:space="preserve">Physical only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 xml:space="preserve">Both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 xml:space="preserve">Sexual only </w:t>
            </w: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Angola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1.61 (0.77–3.12)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0.98 (0.42–2.04)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1.25 (0.65–2.28)</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Benin</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0.35 (0.10–0.89)*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1.33 (0.21–4.70)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0.35 (0.06–1.20)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0.74 (0.04–3.74)</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Burkina Faso</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1.02 (0.64–1.58)</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0.75 (0.18–2.04)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0.75 (0.39–1.33)</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1.60 (0.09–7.89)</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Burundi</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1.73 (0.65–3.90)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1.23 (0.63–2.27)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1.30 (0.65–2.45)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1.26 (0.43–2.98)</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Cameroon</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1.78 (1.10–2.81)*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1.21 (0.81–1.79)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1.17 (0.79–1.71)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1.94 (0.64–4.84)</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Chad</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1.89 (0.43–5.83)</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1.06 (0.17–3.79)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2.47 (0.98–5.72)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Congo DR</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0.88 (0.30–2.10)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1.49 (0.81–2.65)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1.10 (0.60–1.97)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2.61 (1.09–5.56)*</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Côte d'Ivoire</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1.43 (0.53–3.27)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2.55 (0.93–5.96)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1.56 (0.69–3.22)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2.19 (0.12–11.75)</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Gabon</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1.51 (0.86–2.56)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1.15 (0.64–1.96)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1.38 (0.91–2.06)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1.76 (0.27–6.76)</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Gambia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Ghana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1.62 (0.82–3.04)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1.31 (0.20–4.70)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1.97 (0.85–4.14)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1.31 (0.07–7.10)</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Kenya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0.77 (0.35–1.50)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1.43 (0.75–2.56)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0.94 (0.53–1.59)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1.28 (0.20–4.43)</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Lesotho</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1.57 (0.81–2.91)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0.98 (0.61–1.53)</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0.82 (0.52–1.27)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1.12 (0.36–2.96)</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Liberia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1.45 (0.47–3.75)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0.93 (0.33–2.26)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1.08 (0.52–2.17)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Madagascar</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0.68 (0.19–1.84)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0.82 (0.13–2.94)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0.39 (0.09–1.18)</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1.46 (0.08–7.59)</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Malawi</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1.22 (0.80–1.80)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1.17 (0.80–1.64)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1.38 (0.99–1.88)</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1.79 (1.10–2.79)*</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Mali</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Nigeria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1.28 (0.92–1.74)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1.28 (0.78–1.97)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1.43 (1.03–1.96)*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1.83 (0.55–4.51)</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Rwanda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1.28 (0.54–2.69)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0.81 (0.32–1.75)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0.69 (0.34–1.31)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Sierra Leone</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South Africa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1.09 (0.70–1.66)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0.73 (0.43–1.19)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1.02 (0.69–1.49)</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Tanzania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2.47 (0.82–6.16)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1.46 (0.48–3.60)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1.57 (0.61–3.54)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lastRenderedPageBreak/>
              <w:t>Uganda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1.17 (0.72–1.83)</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1.28 (0.78–2.02)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1.41 (0.98–2.02)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1.67 (0.76–3.24)</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Zambia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0.38 (0.13–0.84)*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0.70 (0.42–1.11)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1.09 (0.71–1.62)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1.46 (0.60–2.98)</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Zimbabwe</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Africa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1.00 (0.73–1.35)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0.92 (0.65–1.28)</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1.16 (0.88–1.51)</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1.24 (0.63–2.24)</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Cambodia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0.73 (0.28–1.60)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0.85 (0.14–2.87)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0.45 (0.11–1.25)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India</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1.02 (0.82–1.24)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0.89 (0.81–0.97)**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0.83 (0.73–0.94)**</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0.89 (0.63–1.23)</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Nepal</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0.91 (0.22–2.60)</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0.88 (0.47–1.53)</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0.45 (0.17–0.97)*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Philippines</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1.60 (1.06–2.36)*</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0.78 (0.24–1.87)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0.62 (0.26–1.25)</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w:t>
            </w:r>
          </w:p>
        </w:tc>
      </w:tr>
      <w:tr w:rsidR="007E086A" w:rsidRPr="001C612C" w:rsidTr="00EF0BDE">
        <w:tc>
          <w:tcPr>
            <w:tcW w:w="15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Tajikistan</w:t>
            </w:r>
          </w:p>
        </w:tc>
        <w:tc>
          <w:tcPr>
            <w:tcW w:w="12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0.86 (0.47–1.47)</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0.75 (0.48–1.12)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0.68 (0.38–1.12)</w:t>
            </w:r>
          </w:p>
        </w:tc>
        <w:tc>
          <w:tcPr>
            <w:tcW w:w="1800" w:type="dxa"/>
            <w:tcBorders>
              <w:top w:val="single" w:sz="6" w:space="0" w:color="808080"/>
              <w:left w:val="single" w:sz="6" w:space="0" w:color="808080"/>
              <w:bottom w:val="single" w:sz="6" w:space="0" w:color="808080"/>
              <w:right w:val="single" w:sz="6" w:space="0" w:color="80808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1.36 (0.07–7.51)</w:t>
            </w:r>
          </w:p>
        </w:tc>
      </w:tr>
    </w:tbl>
    <w:p w:rsidR="007E086A" w:rsidRPr="001C612C" w:rsidRDefault="007E086A" w:rsidP="007E086A">
      <w:pPr>
        <w:spacing w:line="480" w:lineRule="auto"/>
        <w:rPr>
          <w:rFonts w:ascii="Times New Roman" w:hAnsi="Times New Roman" w:cs="Times New Roman"/>
          <w:i/>
          <w:sz w:val="24"/>
          <w:szCs w:val="24"/>
          <w:lang w:val="en-GB"/>
        </w:rPr>
      </w:pPr>
      <w:proofErr w:type="spellStart"/>
      <w:proofErr w:type="gramStart"/>
      <w:r w:rsidRPr="001C612C">
        <w:rPr>
          <w:rFonts w:ascii="Times New Roman" w:hAnsi="Times New Roman" w:cs="Times New Roman"/>
          <w:i/>
          <w:sz w:val="24"/>
          <w:szCs w:val="24"/>
          <w:lang w:val="en-GB"/>
        </w:rPr>
        <w:t>aOR</w:t>
      </w:r>
      <w:proofErr w:type="spellEnd"/>
      <w:proofErr w:type="gramEnd"/>
      <w:r w:rsidRPr="001C612C">
        <w:rPr>
          <w:rFonts w:ascii="Times New Roman" w:hAnsi="Times New Roman" w:cs="Times New Roman"/>
          <w:i/>
          <w:sz w:val="24"/>
          <w:szCs w:val="24"/>
          <w:lang w:val="en-GB"/>
        </w:rPr>
        <w:t xml:space="preserve"> = adjusted odds ratio; CI = confidence interval; — = estimate unstable due to complete separation, fewer than 30 condom users in the IPV category, or model non-convergence. Country-level generalised linear models adjusted for age, education, urban residence, wealth index, employment, media exposure, and number of children. Reference category for each IPV exposure = no IPV. India contributes the largest sample (approximately 44,000 women) and its tighter confidence intervals reflect this. Sexual only estimates should be interpreted with caution given small sample sizes (Africa n = 2,260; Asia n = 218 across all countries).</w:t>
      </w:r>
    </w:p>
    <w:p w:rsidR="007E086A" w:rsidRPr="001C612C" w:rsidRDefault="007E086A" w:rsidP="007E086A">
      <w:pPr>
        <w:spacing w:line="480" w:lineRule="auto"/>
        <w:rPr>
          <w:rFonts w:ascii="Times New Roman" w:hAnsi="Times New Roman" w:cs="Times New Roman"/>
          <w:i/>
          <w:sz w:val="24"/>
          <w:szCs w:val="24"/>
          <w:lang w:val="en-GB"/>
        </w:rPr>
      </w:pPr>
    </w:p>
    <w:p w:rsidR="007E086A" w:rsidRPr="001C612C" w:rsidRDefault="007E086A" w:rsidP="007E086A">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Supplementary Table S3. India-stratified adjusted odds ratios for the association between intimate partner violence (IPV) type and condom use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0"/>
        <w:gridCol w:w="2800"/>
        <w:gridCol w:w="3751"/>
      </w:tblGrid>
      <w:tr w:rsidR="007E086A" w:rsidRPr="001C612C" w:rsidTr="00EF0BDE">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IPV exposure</w:t>
            </w:r>
          </w:p>
        </w:tc>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India only (n = 43,749)</w:t>
            </w:r>
          </w:p>
        </w:tc>
        <w:tc>
          <w:tcPr>
            <w:tcW w:w="3751"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Asia excl. India (n = 17,815)</w:t>
            </w:r>
          </w:p>
        </w:tc>
      </w:tr>
      <w:tr w:rsidR="007E086A" w:rsidRPr="001C612C" w:rsidTr="00EF0BDE">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Emotional only</w:t>
            </w:r>
          </w:p>
        </w:tc>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1.02 (0.82–1.24)</w:t>
            </w:r>
          </w:p>
        </w:tc>
        <w:tc>
          <w:tcPr>
            <w:tcW w:w="3751"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1.15 (0.86–1.53)</w:t>
            </w:r>
          </w:p>
        </w:tc>
      </w:tr>
      <w:tr w:rsidR="007E086A" w:rsidRPr="001C612C" w:rsidTr="00EF0BDE">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Physical only</w:t>
            </w:r>
          </w:p>
        </w:tc>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0.89 (0.81–0.97)**</w:t>
            </w:r>
          </w:p>
        </w:tc>
        <w:tc>
          <w:tcPr>
            <w:tcW w:w="3751"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0.80 (0.59–1.10)</w:t>
            </w:r>
          </w:p>
        </w:tc>
      </w:tr>
      <w:tr w:rsidR="007E086A" w:rsidRPr="001C612C" w:rsidTr="00EF0BDE">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lastRenderedPageBreak/>
              <w:t>Both</w:t>
            </w:r>
          </w:p>
        </w:tc>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0.83 (0.73–0.94)**</w:t>
            </w:r>
          </w:p>
        </w:tc>
        <w:tc>
          <w:tcPr>
            <w:tcW w:w="3751"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0.60 (0.41–0.86)**</w:t>
            </w:r>
          </w:p>
        </w:tc>
      </w:tr>
      <w:tr w:rsidR="007E086A" w:rsidRPr="001C612C" w:rsidTr="00EF0BDE">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Sexual only</w:t>
            </w:r>
          </w:p>
        </w:tc>
        <w:tc>
          <w:tcPr>
            <w:tcW w:w="28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0.89 (0.63–1.23)</w:t>
            </w:r>
          </w:p>
        </w:tc>
        <w:tc>
          <w:tcPr>
            <w:tcW w:w="3751"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0.50 (0.12–2.06)</w:t>
            </w:r>
          </w:p>
        </w:tc>
      </w:tr>
    </w:tbl>
    <w:p w:rsidR="007E086A" w:rsidRPr="001C612C" w:rsidRDefault="007E086A" w:rsidP="007E086A">
      <w:pPr>
        <w:spacing w:line="480" w:lineRule="auto"/>
        <w:rPr>
          <w:rFonts w:ascii="Times New Roman" w:hAnsi="Times New Roman" w:cs="Times New Roman"/>
          <w:i/>
          <w:sz w:val="24"/>
          <w:szCs w:val="24"/>
          <w:lang w:val="en-GB"/>
        </w:rPr>
      </w:pPr>
      <w:r w:rsidRPr="001C612C">
        <w:rPr>
          <w:rFonts w:ascii="Times New Roman" w:hAnsi="Times New Roman" w:cs="Times New Roman"/>
          <w:i/>
          <w:sz w:val="24"/>
          <w:szCs w:val="24"/>
          <w:lang w:val="en-GB"/>
        </w:rPr>
        <w:t>Values are adjusted odds ratios (95% CI). India-only model fitted with logistic regression; Asia excluding India model fitted as multilevel logistic regression with country random intercepts (Cambodia, Nepal,</w:t>
      </w:r>
      <w:r>
        <w:rPr>
          <w:rFonts w:ascii="Times New Roman" w:hAnsi="Times New Roman" w:cs="Times New Roman"/>
          <w:i/>
          <w:sz w:val="24"/>
          <w:szCs w:val="24"/>
          <w:lang w:val="en-GB"/>
        </w:rPr>
        <w:t xml:space="preserve"> the</w:t>
      </w:r>
      <w:r w:rsidRPr="001C612C">
        <w:rPr>
          <w:rFonts w:ascii="Times New Roman" w:hAnsi="Times New Roman" w:cs="Times New Roman"/>
          <w:i/>
          <w:sz w:val="24"/>
          <w:szCs w:val="24"/>
          <w:lang w:val="en-GB"/>
        </w:rPr>
        <w:t xml:space="preserve"> Philippines, </w:t>
      </w:r>
      <w:proofErr w:type="gramStart"/>
      <w:r w:rsidRPr="001C612C">
        <w:rPr>
          <w:rFonts w:ascii="Times New Roman" w:hAnsi="Times New Roman" w:cs="Times New Roman"/>
          <w:i/>
          <w:sz w:val="24"/>
          <w:szCs w:val="24"/>
          <w:lang w:val="en-GB"/>
        </w:rPr>
        <w:t>Tajikistan</w:t>
      </w:r>
      <w:proofErr w:type="gramEnd"/>
      <w:r w:rsidRPr="001C612C">
        <w:rPr>
          <w:rFonts w:ascii="Times New Roman" w:hAnsi="Times New Roman" w:cs="Times New Roman"/>
          <w:i/>
          <w:sz w:val="24"/>
          <w:szCs w:val="24"/>
          <w:lang w:val="en-GB"/>
        </w:rPr>
        <w:t>). Both models adjusted for age, education, urban residence, wealth index, employment, media exposure, and number of children. Reference category for IPV = no IPV exposure. **p &lt; .01.</w:t>
      </w:r>
    </w:p>
    <w:p w:rsidR="007E086A" w:rsidRPr="001C612C" w:rsidRDefault="007E086A" w:rsidP="007E086A">
      <w:pPr>
        <w:spacing w:line="480" w:lineRule="auto"/>
        <w:rPr>
          <w:rFonts w:ascii="Times New Roman" w:hAnsi="Times New Roman" w:cs="Times New Roman"/>
          <w:sz w:val="24"/>
          <w:szCs w:val="24"/>
          <w:lang w:val="en-GB"/>
        </w:rPr>
      </w:pPr>
    </w:p>
    <w:p w:rsidR="007E086A" w:rsidRPr="001C612C" w:rsidRDefault="007E086A" w:rsidP="007E086A">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Supplementary Table S4. Pooled multilevel logistic regression model with Region × IPV interaction, excluding India (n = 112,906; 29 countries)</w:t>
      </w:r>
    </w:p>
    <w:tbl>
      <w:tblPr>
        <w:tblW w:w="9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9"/>
        <w:gridCol w:w="3332"/>
        <w:gridCol w:w="2001"/>
      </w:tblGrid>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Term</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proofErr w:type="spellStart"/>
            <w:r w:rsidRPr="001C612C">
              <w:rPr>
                <w:rFonts w:ascii="Times New Roman" w:hAnsi="Times New Roman" w:cs="Times New Roman"/>
                <w:b/>
                <w:sz w:val="24"/>
                <w:szCs w:val="24"/>
                <w:lang w:val="en-GB"/>
              </w:rPr>
              <w:t>aOR</w:t>
            </w:r>
            <w:proofErr w:type="spellEnd"/>
            <w:r w:rsidRPr="001C612C">
              <w:rPr>
                <w:rFonts w:ascii="Times New Roman" w:hAnsi="Times New Roman" w:cs="Times New Roman"/>
                <w:b/>
                <w:sz w:val="24"/>
                <w:szCs w:val="24"/>
                <w:lang w:val="en-GB"/>
              </w:rPr>
              <w:t xml:space="preserve"> (95% CI)</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b/>
                <w:sz w:val="24"/>
                <w:szCs w:val="24"/>
                <w:lang w:val="en-GB"/>
              </w:rPr>
            </w:pPr>
            <w:r w:rsidRPr="001C612C">
              <w:rPr>
                <w:rFonts w:ascii="Times New Roman" w:hAnsi="Times New Roman" w:cs="Times New Roman"/>
                <w:b/>
                <w:sz w:val="24"/>
                <w:szCs w:val="24"/>
                <w:lang w:val="en-GB"/>
              </w:rPr>
              <w:t>p-value</w:t>
            </w:r>
          </w:p>
        </w:tc>
      </w:tr>
      <w:tr w:rsidR="007E086A" w:rsidRPr="001C612C" w:rsidTr="00EF0BDE">
        <w:trPr>
          <w:trHeight w:val="277"/>
        </w:trPr>
        <w:tc>
          <w:tcPr>
            <w:tcW w:w="9332" w:type="dxa"/>
            <w:gridSpan w:val="3"/>
            <w:tcBorders>
              <w:top w:val="single" w:sz="4" w:space="0" w:color="000000"/>
              <w:left w:val="single" w:sz="4" w:space="0" w:color="000000"/>
              <w:bottom w:val="single" w:sz="4" w:space="0" w:color="000000"/>
              <w:right w:val="single" w:sz="4" w:space="0" w:color="000000"/>
            </w:tcBorders>
          </w:tcPr>
          <w:p w:rsidR="007E086A" w:rsidRPr="001C612C" w:rsidRDefault="007E086A" w:rsidP="00EF0BDE">
            <w:pPr>
              <w:spacing w:line="480" w:lineRule="auto"/>
              <w:rPr>
                <w:rFonts w:ascii="Times New Roman" w:hAnsi="Times New Roman" w:cs="Times New Roman"/>
                <w:i/>
                <w:iCs/>
                <w:sz w:val="24"/>
                <w:szCs w:val="24"/>
                <w:lang w:val="en-GB"/>
              </w:rPr>
            </w:pPr>
            <w:r w:rsidRPr="001C612C">
              <w:rPr>
                <w:rFonts w:ascii="Times New Roman" w:hAnsi="Times New Roman" w:cs="Times New Roman"/>
                <w:i/>
                <w:iCs/>
                <w:sz w:val="24"/>
                <w:szCs w:val="24"/>
                <w:lang w:val="en-GB"/>
              </w:rPr>
              <w:t>IPV type (reference: no IPV)</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Emotional only</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1.18 (1.05–1.33)</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0.006</w:t>
            </w:r>
          </w:p>
        </w:tc>
      </w:tr>
      <w:tr w:rsidR="007E086A" w:rsidRPr="001C612C" w:rsidTr="00EF0BDE">
        <w:trPr>
          <w:trHeight w:val="27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Physical only</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1.11 (0.98–1.25)</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0.094</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Both</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1.18 (1.07–1.30)</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0.001</w:t>
            </w:r>
          </w:p>
        </w:tc>
      </w:tr>
      <w:tr w:rsidR="007E086A" w:rsidRPr="001C612C" w:rsidTr="00EF0BDE">
        <w:trPr>
          <w:trHeight w:val="27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Sexual only</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1.49 (1.19–1.87)</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 0.001</w:t>
            </w:r>
          </w:p>
        </w:tc>
      </w:tr>
      <w:tr w:rsidR="007E086A" w:rsidRPr="001C612C" w:rsidTr="00EF0BDE">
        <w:trPr>
          <w:trHeight w:val="257"/>
        </w:trPr>
        <w:tc>
          <w:tcPr>
            <w:tcW w:w="9332" w:type="dxa"/>
            <w:gridSpan w:val="3"/>
            <w:tcBorders>
              <w:top w:val="single" w:sz="4" w:space="0" w:color="000000"/>
              <w:left w:val="single" w:sz="4" w:space="0" w:color="000000"/>
              <w:bottom w:val="single" w:sz="4" w:space="0" w:color="000000"/>
              <w:right w:val="single" w:sz="4" w:space="0" w:color="000000"/>
            </w:tcBorders>
          </w:tcPr>
          <w:p w:rsidR="007E086A" w:rsidRPr="001C612C" w:rsidRDefault="007E086A" w:rsidP="00EF0BDE">
            <w:pPr>
              <w:spacing w:line="480" w:lineRule="auto"/>
              <w:rPr>
                <w:rFonts w:ascii="Times New Roman" w:hAnsi="Times New Roman" w:cs="Times New Roman"/>
                <w:i/>
                <w:iCs/>
                <w:sz w:val="24"/>
                <w:szCs w:val="24"/>
                <w:lang w:val="en-GB"/>
              </w:rPr>
            </w:pPr>
            <w:r w:rsidRPr="001C612C">
              <w:rPr>
                <w:rFonts w:ascii="Times New Roman" w:hAnsi="Times New Roman" w:cs="Times New Roman"/>
                <w:i/>
                <w:iCs/>
                <w:sz w:val="24"/>
                <w:szCs w:val="24"/>
                <w:lang w:val="en-GB"/>
              </w:rPr>
              <w:t>Region (reference: sub-Saharan Africa)</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Asia</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1.20 (0.48–2.96)</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0.697</w:t>
            </w:r>
          </w:p>
        </w:tc>
      </w:tr>
      <w:tr w:rsidR="007E086A" w:rsidRPr="001C612C" w:rsidTr="00EF0BDE">
        <w:trPr>
          <w:trHeight w:val="277"/>
        </w:trPr>
        <w:tc>
          <w:tcPr>
            <w:tcW w:w="9332" w:type="dxa"/>
            <w:gridSpan w:val="3"/>
            <w:tcBorders>
              <w:top w:val="single" w:sz="4" w:space="0" w:color="000000"/>
              <w:left w:val="single" w:sz="4" w:space="0" w:color="000000"/>
              <w:bottom w:val="single" w:sz="4" w:space="0" w:color="000000"/>
              <w:right w:val="single" w:sz="4" w:space="0" w:color="000000"/>
            </w:tcBorders>
          </w:tcPr>
          <w:p w:rsidR="007E086A" w:rsidRPr="001C612C" w:rsidRDefault="007E086A" w:rsidP="00EF0BDE">
            <w:pPr>
              <w:spacing w:line="480" w:lineRule="auto"/>
              <w:rPr>
                <w:rFonts w:ascii="Times New Roman" w:hAnsi="Times New Roman" w:cs="Times New Roman"/>
                <w:iCs/>
                <w:sz w:val="24"/>
                <w:szCs w:val="24"/>
                <w:lang w:val="en-GB"/>
              </w:rPr>
            </w:pPr>
            <w:r w:rsidRPr="001C612C">
              <w:rPr>
                <w:rFonts w:ascii="Times New Roman" w:hAnsi="Times New Roman" w:cs="Times New Roman"/>
                <w:iCs/>
                <w:sz w:val="24"/>
                <w:szCs w:val="24"/>
                <w:lang w:val="en-GB"/>
              </w:rPr>
              <w:t>Region × IPV interaction (vs sub-Saharan Africa)</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Emotional only × Asia</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0.95 (0.69–1.29)</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0.733</w:t>
            </w:r>
          </w:p>
        </w:tc>
      </w:tr>
      <w:tr w:rsidR="007E086A" w:rsidRPr="001C612C" w:rsidTr="00EF0BDE">
        <w:trPr>
          <w:trHeight w:val="27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Physical only × Asia</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0.70 (0.50–0.98)</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0.038</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Both × Asia</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0.49 (0.34–0.72)</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&lt; 0.001</w:t>
            </w:r>
          </w:p>
        </w:tc>
      </w:tr>
      <w:tr w:rsidR="007E086A" w:rsidRPr="001C612C" w:rsidTr="00EF0BDE">
        <w:trPr>
          <w:trHeight w:val="257"/>
        </w:trPr>
        <w:tc>
          <w:tcPr>
            <w:tcW w:w="3999"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Sexual only × Asia</w:t>
            </w:r>
          </w:p>
        </w:tc>
        <w:tc>
          <w:tcPr>
            <w:tcW w:w="3332"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0.32 (0.08–1.32)</w:t>
            </w:r>
          </w:p>
        </w:tc>
        <w:tc>
          <w:tcPr>
            <w:tcW w:w="2000" w:type="dxa"/>
            <w:tcBorders>
              <w:top w:val="single" w:sz="4" w:space="0" w:color="000000"/>
              <w:left w:val="single" w:sz="4" w:space="0" w:color="000000"/>
              <w:bottom w:val="single" w:sz="4" w:space="0" w:color="000000"/>
              <w:right w:val="single" w:sz="4" w:space="0" w:color="000000"/>
            </w:tcBorders>
            <w:vAlign w:val="center"/>
          </w:tcPr>
          <w:p w:rsidR="007E086A" w:rsidRPr="001C612C" w:rsidRDefault="007E086A" w:rsidP="00EF0BDE">
            <w:pPr>
              <w:spacing w:line="480" w:lineRule="auto"/>
              <w:rPr>
                <w:rFonts w:ascii="Times New Roman" w:hAnsi="Times New Roman" w:cs="Times New Roman"/>
                <w:sz w:val="24"/>
                <w:szCs w:val="24"/>
                <w:lang w:val="en-GB"/>
              </w:rPr>
            </w:pPr>
            <w:r w:rsidRPr="001C612C">
              <w:rPr>
                <w:rFonts w:ascii="Times New Roman" w:hAnsi="Times New Roman" w:cs="Times New Roman"/>
                <w:sz w:val="24"/>
                <w:szCs w:val="24"/>
                <w:lang w:val="en-GB"/>
              </w:rPr>
              <w:t>0.114</w:t>
            </w:r>
          </w:p>
        </w:tc>
      </w:tr>
    </w:tbl>
    <w:p w:rsidR="007E086A" w:rsidRPr="001C612C" w:rsidRDefault="007E086A" w:rsidP="007E086A">
      <w:pPr>
        <w:spacing w:line="480" w:lineRule="auto"/>
        <w:rPr>
          <w:rFonts w:ascii="Times New Roman" w:hAnsi="Times New Roman" w:cs="Times New Roman"/>
          <w:i/>
          <w:sz w:val="24"/>
          <w:szCs w:val="24"/>
          <w:lang w:val="en-GB"/>
        </w:rPr>
      </w:pPr>
      <w:proofErr w:type="spellStart"/>
      <w:proofErr w:type="gramStart"/>
      <w:r w:rsidRPr="001C612C">
        <w:rPr>
          <w:rFonts w:ascii="Times New Roman" w:hAnsi="Times New Roman" w:cs="Times New Roman"/>
          <w:i/>
          <w:sz w:val="24"/>
          <w:szCs w:val="24"/>
          <w:lang w:val="en-GB"/>
        </w:rPr>
        <w:t>aOR</w:t>
      </w:r>
      <w:proofErr w:type="spellEnd"/>
      <w:proofErr w:type="gramEnd"/>
      <w:r w:rsidRPr="001C612C">
        <w:rPr>
          <w:rFonts w:ascii="Times New Roman" w:hAnsi="Times New Roman" w:cs="Times New Roman"/>
          <w:i/>
          <w:sz w:val="24"/>
          <w:szCs w:val="24"/>
          <w:lang w:val="en-GB"/>
        </w:rPr>
        <w:t xml:space="preserve"> = adjusted odds ratio; CI = confidence interval. Multilevel logistic regression with random intercept at country level (lme4 package). Reference category for IPV = no IPV; </w:t>
      </w:r>
      <w:r w:rsidRPr="001C612C">
        <w:rPr>
          <w:rFonts w:ascii="Times New Roman" w:hAnsi="Times New Roman" w:cs="Times New Roman"/>
          <w:i/>
          <w:sz w:val="24"/>
          <w:szCs w:val="24"/>
          <w:lang w:val="en-GB"/>
        </w:rPr>
        <w:lastRenderedPageBreak/>
        <w:t>reference region = sub-Saharan Africa. Model adjusted for age, education, urban residence, wealth index, employment, media exposure, and number of children. Analytic sample comprised 112,906 women across 29 countries (25 sub-Saharan African and 4 Asian). For comparison with the full-sample interaction model (including India), see Supplementary Table S1.</w:t>
      </w:r>
    </w:p>
    <w:p w:rsidR="000721D2" w:rsidRPr="007E086A" w:rsidRDefault="000721D2">
      <w:pPr>
        <w:rPr>
          <w:lang w:val="en-GB"/>
        </w:rPr>
      </w:pPr>
    </w:p>
    <w:sectPr w:rsidR="000721D2" w:rsidRPr="007E086A" w:rsidSect="00D374AE">
      <w:pgSz w:w="11906" w:h="16838" w:code="9"/>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86A"/>
    <w:rsid w:val="000721D2"/>
    <w:rsid w:val="007E086A"/>
    <w:rsid w:val="00823C41"/>
    <w:rsid w:val="00D374A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E30FC-44D7-4E4C-83F7-E0EA48AF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86A"/>
    <w:pPr>
      <w:widowControl w:val="0"/>
      <w:wordWrap w:val="0"/>
      <w:autoSpaceDE w:val="0"/>
      <w:autoSpaceDN w:val="0"/>
      <w:spacing w:after="0" w:line="240" w:lineRule="auto"/>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948</Words>
  <Characters>5408</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2026-06-01T06:00:00Z</dcterms:created>
  <dcterms:modified xsi:type="dcterms:W3CDTF">2026-06-01T06:00:00Z</dcterms:modified>
</cp:coreProperties>
</file>