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87BA3" w14:textId="77777777" w:rsidR="008B3DF6" w:rsidRDefault="009F7FF6">
      <w:pPr>
        <w:spacing w:after="200"/>
        <w:jc w:val="center"/>
      </w:pPr>
      <w:r>
        <w:rPr>
          <w:b/>
          <w:bCs/>
          <w:caps/>
          <w:sz w:val="28"/>
          <w:szCs w:val="28"/>
        </w:rPr>
        <w:t>ELECTRONIC SUPPLEMENTARY MATERIAL</w:t>
      </w:r>
    </w:p>
    <w:p w14:paraId="6FBC09AF" w14:textId="77777777" w:rsidR="008B3DF6" w:rsidRDefault="009F7FF6">
      <w:pPr>
        <w:pBdr>
          <w:bottom w:val="single" w:sz="6" w:space="0" w:color="000000"/>
        </w:pBdr>
        <w:spacing w:after="160"/>
        <w:jc w:val="center"/>
      </w:pPr>
      <w:r>
        <w:rPr>
          <w:i/>
          <w:iCs/>
        </w:rPr>
        <w:t>Time-Varying Monetary–Fiscal Policy Interaction and Inflation Dynamics: Evidence from Indonesia using a TVP-VAR-SV Approach</w:t>
      </w:r>
    </w:p>
    <w:p w14:paraId="32B80F00" w14:textId="6C826A7F" w:rsidR="008B3DF6" w:rsidRDefault="008B3DF6">
      <w:pPr>
        <w:spacing w:after="480"/>
        <w:jc w:val="center"/>
      </w:pPr>
    </w:p>
    <w:p w14:paraId="5A243CCE" w14:textId="77777777" w:rsidR="008B3DF6" w:rsidRDefault="009F7FF6">
      <w:pPr>
        <w:spacing w:after="200"/>
      </w:pPr>
      <w:r>
        <w:rPr>
          <w:b/>
          <w:bCs/>
        </w:rPr>
        <w:t>This supplementary material contains the following figures:</w:t>
      </w:r>
    </w:p>
    <w:p w14:paraId="3B3D8174" w14:textId="1791C97E" w:rsidR="008B3DF6" w:rsidRDefault="009F7FF6">
      <w:pPr>
        <w:spacing w:before="80" w:after="80"/>
        <w:ind w:left="720"/>
      </w:pPr>
      <w:r>
        <w:t xml:space="preserve">•  Figure S1. Scatter Matrix </w:t>
      </w:r>
      <w:r w:rsidR="00EC04DB">
        <w:t>and</w:t>
      </w:r>
      <w:r>
        <w:t xml:space="preserve"> Correlation Heatmap</w:t>
      </w:r>
    </w:p>
    <w:p w14:paraId="419C1815" w14:textId="2A24AF1E" w:rsidR="008B3DF6" w:rsidRDefault="009F7FF6">
      <w:pPr>
        <w:spacing w:before="80" w:after="80"/>
        <w:ind w:left="720"/>
      </w:pPr>
      <w:r>
        <w:t xml:space="preserve">•  Figure S2. </w:t>
      </w:r>
      <w:r w:rsidR="00960B14">
        <w:t>Sup-Wald parameter stability test</w:t>
      </w:r>
    </w:p>
    <w:p w14:paraId="1C54A869" w14:textId="77777777" w:rsidR="008B3DF6" w:rsidRDefault="009F7FF6">
      <w:pPr>
        <w:spacing w:before="80" w:after="80"/>
        <w:ind w:left="720"/>
      </w:pPr>
      <w:r>
        <w:t>•  Figure S3. Sup-Wald Parameter Stability Test</w:t>
      </w:r>
    </w:p>
    <w:p w14:paraId="76CD8242" w14:textId="77777777" w:rsidR="008B3DF6" w:rsidRDefault="009F7FF6">
      <w:pPr>
        <w:spacing w:before="80" w:after="80"/>
        <w:ind w:left="720"/>
      </w:pPr>
      <w:r>
        <w:t>•  Figure S4. TV-FEVD Credible Bands – Respons CPI (t = 2012Q3)</w:t>
      </w:r>
    </w:p>
    <w:p w14:paraId="450B0E12" w14:textId="64589817" w:rsidR="008B3DF6" w:rsidRDefault="009F7FF6">
      <w:pPr>
        <w:spacing w:before="80" w:after="80"/>
        <w:ind w:left="720"/>
      </w:pPr>
      <w:r>
        <w:t xml:space="preserve">•  Figure S5. </w:t>
      </w:r>
      <w:r w:rsidR="003522D4">
        <w:t>Volatility Heatmap – All Variables</w:t>
      </w:r>
    </w:p>
    <w:p w14:paraId="54279830" w14:textId="77777777" w:rsidR="008B3DF6" w:rsidRDefault="009F7FF6">
      <w:pPr>
        <w:spacing w:before="80" w:after="80"/>
        <w:ind w:left="720"/>
      </w:pPr>
      <w:r>
        <w:t>•  Figure S6. Verifikasi Historical Decomposition (Actual vs HD Total)</w:t>
      </w:r>
    </w:p>
    <w:p w14:paraId="0E064680" w14:textId="77777777" w:rsidR="008B3DF6" w:rsidRDefault="009F7FF6">
      <w:pPr>
        <w:spacing w:before="80" w:after="80"/>
        <w:ind w:left="720"/>
      </w:pPr>
      <w:r>
        <w:t>•  Figure S7. Residual Diagnostics TVP-VAR-SV</w:t>
      </w:r>
    </w:p>
    <w:p w14:paraId="21CB66E8" w14:textId="77777777" w:rsidR="008B3DF6" w:rsidRDefault="009F7FF6">
      <w:r>
        <w:br w:type="page"/>
      </w:r>
    </w:p>
    <w:p w14:paraId="133793EC" w14:textId="59E8087C" w:rsidR="008B3DF6" w:rsidRDefault="00DB5AFB">
      <w:pPr>
        <w:spacing w:before="400" w:after="200"/>
        <w:jc w:val="center"/>
      </w:pPr>
      <w:r w:rsidRPr="002E144B">
        <w:rPr>
          <w:rFonts w:eastAsiaTheme="minorEastAsia"/>
          <w:b/>
          <w:bCs/>
          <w:noProof/>
          <w:kern w:val="2"/>
          <w:sz w:val="24"/>
          <w:szCs w:val="24"/>
          <w14:ligatures w14:val="standardContextual"/>
        </w:rPr>
        <w:lastRenderedPageBreak/>
        <w:drawing>
          <wp:anchor distT="0" distB="0" distL="114300" distR="114300" simplePos="0" relativeHeight="251659264" behindDoc="0" locked="0" layoutInCell="1" allowOverlap="1" wp14:anchorId="2A8EFF78" wp14:editId="5575B972">
            <wp:simplePos x="0" y="0"/>
            <wp:positionH relativeFrom="column">
              <wp:posOffset>-10795</wp:posOffset>
            </wp:positionH>
            <wp:positionV relativeFrom="paragraph">
              <wp:posOffset>307340</wp:posOffset>
            </wp:positionV>
            <wp:extent cx="5731510" cy="4885055"/>
            <wp:effectExtent l="0" t="0" r="2540" b="0"/>
            <wp:wrapTopAndBottom/>
            <wp:docPr id="1525438673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438673" name="Gambar 152543867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885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F7FF6">
        <w:rPr>
          <w:b/>
          <w:bCs/>
          <w:sz w:val="24"/>
          <w:szCs w:val="24"/>
        </w:rPr>
        <w:t xml:space="preserve">Figure S1. Scatter Matrix </w:t>
      </w:r>
      <w:r w:rsidR="00CE60CC">
        <w:rPr>
          <w:b/>
          <w:bCs/>
          <w:sz w:val="24"/>
          <w:szCs w:val="24"/>
        </w:rPr>
        <w:t>and</w:t>
      </w:r>
      <w:r w:rsidR="009F7FF6">
        <w:rPr>
          <w:b/>
          <w:bCs/>
          <w:sz w:val="24"/>
          <w:szCs w:val="24"/>
        </w:rPr>
        <w:t xml:space="preserve"> Correlation Heatmap</w:t>
      </w:r>
    </w:p>
    <w:p w14:paraId="69E6F987" w14:textId="4F02D0F5" w:rsidR="008B3DF6" w:rsidRDefault="008B3DF6">
      <w:pPr>
        <w:spacing w:before="100" w:after="300"/>
        <w:jc w:val="center"/>
        <w:rPr>
          <w:b/>
          <w:bCs/>
          <w:color w:val="888888"/>
          <w:sz w:val="28"/>
          <w:szCs w:val="28"/>
        </w:rPr>
      </w:pPr>
    </w:p>
    <w:p w14:paraId="5FED9BDC" w14:textId="77777777" w:rsidR="00D54A36" w:rsidRDefault="00D54A36">
      <w:pPr>
        <w:spacing w:before="100" w:after="300"/>
        <w:jc w:val="center"/>
        <w:rPr>
          <w:b/>
          <w:bCs/>
          <w:color w:val="888888"/>
          <w:sz w:val="28"/>
          <w:szCs w:val="28"/>
        </w:rPr>
      </w:pPr>
    </w:p>
    <w:p w14:paraId="2B22FB62" w14:textId="77777777" w:rsidR="00D54A36" w:rsidRDefault="00D54A36">
      <w:pPr>
        <w:spacing w:before="100" w:after="300"/>
        <w:jc w:val="center"/>
      </w:pPr>
    </w:p>
    <w:p w14:paraId="742B187A" w14:textId="77777777" w:rsidR="00DB5AFB" w:rsidRDefault="00DB5AFB">
      <w:pPr>
        <w:spacing w:before="100" w:after="300"/>
        <w:jc w:val="center"/>
      </w:pPr>
    </w:p>
    <w:p w14:paraId="1DC68863" w14:textId="77777777" w:rsidR="00DB5AFB" w:rsidRDefault="00DB5AFB">
      <w:pPr>
        <w:spacing w:before="100" w:after="300"/>
        <w:jc w:val="center"/>
      </w:pPr>
    </w:p>
    <w:p w14:paraId="782FF187" w14:textId="77777777" w:rsidR="00DB5AFB" w:rsidRDefault="00DB5AFB">
      <w:pPr>
        <w:spacing w:before="100" w:after="300"/>
        <w:jc w:val="center"/>
      </w:pPr>
    </w:p>
    <w:p w14:paraId="74038715" w14:textId="77777777" w:rsidR="00DB5AFB" w:rsidRDefault="00DB5AFB">
      <w:pPr>
        <w:spacing w:before="100" w:after="300"/>
        <w:jc w:val="center"/>
      </w:pPr>
    </w:p>
    <w:p w14:paraId="3ED5DA1D" w14:textId="77777777" w:rsidR="00DB5AFB" w:rsidRDefault="00DB5AFB">
      <w:pPr>
        <w:spacing w:before="100" w:after="300"/>
        <w:jc w:val="center"/>
      </w:pPr>
    </w:p>
    <w:p w14:paraId="5AB1F348" w14:textId="77777777" w:rsidR="00DB5AFB" w:rsidRDefault="00DB5AFB">
      <w:pPr>
        <w:spacing w:before="100" w:after="300"/>
        <w:jc w:val="center"/>
      </w:pPr>
    </w:p>
    <w:p w14:paraId="578D30A5" w14:textId="77777777" w:rsidR="00DB5AFB" w:rsidRDefault="00DB5AFB">
      <w:pPr>
        <w:spacing w:before="100" w:after="300"/>
        <w:jc w:val="center"/>
      </w:pPr>
    </w:p>
    <w:p w14:paraId="7566A6C0" w14:textId="7E1805F0" w:rsidR="0036724B" w:rsidRDefault="00DB5AFB" w:rsidP="0036724B">
      <w:pPr>
        <w:spacing w:before="100" w:after="300"/>
        <w:jc w:val="center"/>
      </w:pPr>
      <w:r w:rsidRPr="002E144B">
        <w:rPr>
          <w:rFonts w:eastAsiaTheme="minorEastAsia"/>
          <w:noProof/>
          <w:kern w:val="2"/>
          <w:sz w:val="24"/>
          <w:szCs w:val="24"/>
          <w14:ligatures w14:val="standardContextual"/>
        </w:rPr>
        <w:lastRenderedPageBreak/>
        <w:drawing>
          <wp:anchor distT="0" distB="0" distL="114300" distR="114300" simplePos="0" relativeHeight="251660288" behindDoc="0" locked="0" layoutInCell="1" allowOverlap="1" wp14:anchorId="435EAFB1" wp14:editId="2F623B3E">
            <wp:simplePos x="0" y="0"/>
            <wp:positionH relativeFrom="column">
              <wp:posOffset>-146685</wp:posOffset>
            </wp:positionH>
            <wp:positionV relativeFrom="paragraph">
              <wp:posOffset>0</wp:posOffset>
            </wp:positionV>
            <wp:extent cx="5731510" cy="5008880"/>
            <wp:effectExtent l="0" t="0" r="2540" b="1270"/>
            <wp:wrapTopAndBottom/>
            <wp:docPr id="900614399" name="Gambar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614399" name="Gambar 90061439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008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FF9EB6" w14:textId="49E529EC" w:rsidR="008B3DF6" w:rsidRDefault="00405257">
      <w:pPr>
        <w:spacing w:before="200" w:after="120"/>
        <w:jc w:val="both"/>
      </w:pPr>
      <w:r>
        <w:rPr>
          <w:i/>
          <w:iCs/>
          <w:sz w:val="20"/>
          <w:szCs w:val="20"/>
        </w:rPr>
        <w:t>Figure S1. Scatter matrix dan correlation heatmap variabel dalam transformasi log. Angka pada setiap panel menunjukkan koefisien korelasi Pearson; semua korelasi signifikan pada tingkat 1% (***).</w:t>
      </w:r>
    </w:p>
    <w:p w14:paraId="557890D2" w14:textId="77777777" w:rsidR="008B3DF6" w:rsidRDefault="009F7FF6">
      <w:pPr>
        <w:spacing w:before="100" w:after="400"/>
        <w:jc w:val="both"/>
      </w:pPr>
      <w:r>
        <w:rPr>
          <w:b/>
          <w:bCs/>
          <w:i/>
          <w:iCs/>
          <w:sz w:val="20"/>
          <w:szCs w:val="20"/>
        </w:rPr>
        <w:t xml:space="preserve">Catatan: </w:t>
      </w:r>
      <w:r>
        <w:rPr>
          <w:i/>
          <w:iCs/>
          <w:sz w:val="20"/>
          <w:szCs w:val="20"/>
        </w:rPr>
        <w:t>Sumber: diolah dari FRED dan Bank Indonesia.</w:t>
      </w:r>
    </w:p>
    <w:p w14:paraId="0D58A6ED" w14:textId="77777777" w:rsidR="008B3DF6" w:rsidRDefault="009F7FF6">
      <w:r>
        <w:br w:type="page"/>
      </w:r>
    </w:p>
    <w:p w14:paraId="1D089563" w14:textId="4648A245" w:rsidR="008B3DF6" w:rsidRDefault="009F7FF6">
      <w:pPr>
        <w:spacing w:before="400" w:after="200"/>
        <w:jc w:val="center"/>
      </w:pPr>
      <w:r>
        <w:rPr>
          <w:b/>
          <w:bCs/>
          <w:sz w:val="24"/>
          <w:szCs w:val="24"/>
        </w:rPr>
        <w:lastRenderedPageBreak/>
        <w:t xml:space="preserve">Figure S2. </w:t>
      </w:r>
      <w:r w:rsidR="00C016E7">
        <w:rPr>
          <w:b/>
          <w:bCs/>
          <w:sz w:val="24"/>
          <w:szCs w:val="24"/>
        </w:rPr>
        <w:t>Sup-Wald parameter stability test...</w:t>
      </w:r>
    </w:p>
    <w:p w14:paraId="1D3BCB03" w14:textId="5D151306" w:rsidR="00A57F77" w:rsidRPr="00F11D25" w:rsidRDefault="00F11D25" w:rsidP="00F11D25">
      <w:pPr>
        <w:spacing w:before="100" w:after="300"/>
        <w:jc w:val="center"/>
        <w:rPr>
          <w:b/>
          <w:bCs/>
          <w:color w:val="888888"/>
          <w:sz w:val="28"/>
          <w:szCs w:val="28"/>
        </w:rPr>
      </w:pPr>
      <w:r w:rsidRPr="002E144B">
        <w:rPr>
          <w:rFonts w:eastAsiaTheme="minorEastAsia"/>
          <w:noProof/>
          <w:kern w:val="2"/>
          <w:sz w:val="24"/>
          <w:szCs w:val="24"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2C13D5CE" wp14:editId="3B750337">
            <wp:simplePos x="0" y="0"/>
            <wp:positionH relativeFrom="column">
              <wp:posOffset>-117475</wp:posOffset>
            </wp:positionH>
            <wp:positionV relativeFrom="paragraph">
              <wp:posOffset>361950</wp:posOffset>
            </wp:positionV>
            <wp:extent cx="5731510" cy="2783840"/>
            <wp:effectExtent l="0" t="0" r="2540" b="0"/>
            <wp:wrapTopAndBottom/>
            <wp:docPr id="1870845657" name="Gambar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845657" name="Gambar 187084565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83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90F8DE" w14:textId="77777777" w:rsidR="00DF2243" w:rsidRDefault="00DF2243">
      <w:pPr>
        <w:spacing w:before="100" w:after="40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Figure S2. Sup-Wald parameter stability test. F-statistic = 2604.59 with a potential breakpoint at 2005Q4, far exceeding the 5% critical value of 11.47, confirming parameter instability that justifies the use of TVP-VAR-SV.</w:t>
      </w:r>
    </w:p>
    <w:p w14:paraId="77A84805" w14:textId="77777777" w:rsidR="00DF2243" w:rsidRDefault="00DF2243">
      <w:pPr>
        <w:spacing w:before="100" w:after="400"/>
        <w:jc w:val="both"/>
        <w:rPr>
          <w:i/>
          <w:iCs/>
          <w:sz w:val="20"/>
          <w:szCs w:val="20"/>
        </w:rPr>
      </w:pPr>
      <w:r w:rsidRPr="00DB3C51">
        <w:rPr>
          <w:b/>
          <w:bCs/>
          <w:i/>
          <w:iCs/>
          <w:sz w:val="20"/>
          <w:szCs w:val="20"/>
        </w:rPr>
        <w:t>Note</w:t>
      </w:r>
      <w:r>
        <w:rPr>
          <w:i/>
          <w:iCs/>
          <w:sz w:val="20"/>
          <w:szCs w:val="20"/>
        </w:rPr>
        <w:t>: H0: parameters are stable throughout the sample period. Rejection of H0 confirms the need for a time-varying approach.</w:t>
      </w:r>
    </w:p>
    <w:p w14:paraId="09FAC004" w14:textId="300FA1AE" w:rsidR="000B65A6" w:rsidRDefault="000B65A6" w:rsidP="007B48CE">
      <w:pPr>
        <w:spacing w:before="100" w:after="400"/>
        <w:jc w:val="both"/>
      </w:pPr>
    </w:p>
    <w:p w14:paraId="620D6D43" w14:textId="77777777" w:rsidR="000B65A6" w:rsidRDefault="000B65A6">
      <w:pPr>
        <w:spacing w:before="100" w:after="400"/>
        <w:jc w:val="both"/>
      </w:pPr>
    </w:p>
    <w:p w14:paraId="498AB75A" w14:textId="77777777" w:rsidR="008B3DF6" w:rsidRDefault="009F7FF6">
      <w:r>
        <w:br w:type="page"/>
      </w:r>
    </w:p>
    <w:p w14:paraId="69A8E444" w14:textId="2D6E8292" w:rsidR="008B3DF6" w:rsidRDefault="00E41703">
      <w:pPr>
        <w:spacing w:before="400" w:after="200"/>
        <w:jc w:val="center"/>
      </w:pPr>
      <w:r>
        <w:rPr>
          <w:b/>
          <w:bCs/>
          <w:sz w:val="24"/>
          <w:szCs w:val="24"/>
        </w:rPr>
        <w:lastRenderedPageBreak/>
        <w:t>Figure S3. IRF CPI pre vs post krisis...</w:t>
      </w:r>
    </w:p>
    <w:p w14:paraId="210D9F1C" w14:textId="088D2163" w:rsidR="008B3DF6" w:rsidRDefault="006A1681">
      <w:pPr>
        <w:spacing w:before="100" w:after="300"/>
        <w:jc w:val="center"/>
      </w:pPr>
      <w:r w:rsidRPr="002E144B">
        <w:rPr>
          <w:rFonts w:eastAsiaTheme="minorEastAsia"/>
          <w:noProof/>
          <w:kern w:val="2"/>
          <w:sz w:val="24"/>
          <w:szCs w:val="24"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21FDD597" wp14:editId="6E39D388">
            <wp:simplePos x="0" y="0"/>
            <wp:positionH relativeFrom="column">
              <wp:posOffset>70485</wp:posOffset>
            </wp:positionH>
            <wp:positionV relativeFrom="paragraph">
              <wp:posOffset>31115</wp:posOffset>
            </wp:positionV>
            <wp:extent cx="5731510" cy="2056765"/>
            <wp:effectExtent l="0" t="0" r="2540" b="635"/>
            <wp:wrapTopAndBottom/>
            <wp:docPr id="1173393033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393033" name="Gambar 117339303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56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9DADF8" w14:textId="074898A1" w:rsidR="008B3DF6" w:rsidRDefault="00CE7FC6">
      <w:pPr>
        <w:spacing w:before="200" w:after="120"/>
        <w:jc w:val="both"/>
      </w:pPr>
      <w:r>
        <w:rPr>
          <w:i/>
          <w:iCs/>
          <w:sz w:val="20"/>
          <w:szCs w:val="20"/>
        </w:rPr>
        <w:t>Figure S3. Comparison of CPI IRF pre vs. Post crisis episodes (2001, 2008, 2020). Blue line: pre-crisis period; red dashed line: post-crisis period. The horizontal line indicates the baseline.</w:t>
      </w:r>
    </w:p>
    <w:p w14:paraId="1081E373" w14:textId="77777777" w:rsidR="008B3DF6" w:rsidRDefault="009F7FF6">
      <w:r>
        <w:br w:type="page"/>
      </w:r>
    </w:p>
    <w:p w14:paraId="61FF753D" w14:textId="77777777" w:rsidR="008B3DF6" w:rsidRDefault="009F7FF6">
      <w:pPr>
        <w:spacing w:before="400" w:after="200"/>
        <w:jc w:val="center"/>
      </w:pPr>
      <w:r>
        <w:rPr>
          <w:b/>
          <w:bCs/>
          <w:sz w:val="24"/>
          <w:szCs w:val="24"/>
        </w:rPr>
        <w:lastRenderedPageBreak/>
        <w:t>Figure S4. TV-FEVD Credible Bands – Respons CPI (t = 2012Q3)</w:t>
      </w:r>
    </w:p>
    <w:p w14:paraId="0C5B8D0C" w14:textId="028FEEB7" w:rsidR="008B3DF6" w:rsidRDefault="005A1B70">
      <w:pPr>
        <w:spacing w:before="100" w:after="300"/>
        <w:jc w:val="center"/>
      </w:pPr>
      <w:r w:rsidRPr="002E144B">
        <w:rPr>
          <w:rFonts w:eastAsiaTheme="minorEastAsia"/>
          <w:noProof/>
          <w:kern w:val="2"/>
          <w:sz w:val="24"/>
          <w:szCs w:val="24"/>
          <w14:ligatures w14:val="standardContextual"/>
        </w:rPr>
        <w:drawing>
          <wp:anchor distT="0" distB="0" distL="114300" distR="114300" simplePos="0" relativeHeight="251663360" behindDoc="0" locked="0" layoutInCell="1" allowOverlap="1" wp14:anchorId="3B04E0BC" wp14:editId="2E1B73E5">
            <wp:simplePos x="0" y="0"/>
            <wp:positionH relativeFrom="column">
              <wp:posOffset>95250</wp:posOffset>
            </wp:positionH>
            <wp:positionV relativeFrom="paragraph">
              <wp:posOffset>135255</wp:posOffset>
            </wp:positionV>
            <wp:extent cx="5731510" cy="3190240"/>
            <wp:effectExtent l="0" t="0" r="2540" b="0"/>
            <wp:wrapTopAndBottom/>
            <wp:docPr id="1059595362" name="Gambar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595362" name="Gambar 105959536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90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B6852B" w14:textId="77777777" w:rsidR="00EA4EF0" w:rsidRDefault="00EA4EF0">
      <w:pPr>
        <w:spacing w:before="100" w:after="40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Time-varying forecast error variance decomposition (TV-FEVD) with 68% credible intervals for each shock to CPI at the mid-sample period (2012Q3). The shaded area indicates estimation uncertainty (68% posterior credible interval); the solid line represents the posterior median. The horizontal axis shows the horizon in quarters (1–20); the vertical axis shows the relative contribution (0–1).</w:t>
      </w:r>
    </w:p>
    <w:p w14:paraId="12433291" w14:textId="221F8EAD" w:rsidR="008B3DF6" w:rsidRDefault="00EA4EF0">
      <w:pPr>
        <w:spacing w:before="100" w:after="400"/>
        <w:jc w:val="both"/>
      </w:pPr>
      <w:r w:rsidRPr="00EA4EF0">
        <w:rPr>
          <w:b/>
          <w:bCs/>
          <w:i/>
          <w:iCs/>
          <w:sz w:val="20"/>
          <w:szCs w:val="20"/>
        </w:rPr>
        <w:t>Note</w:t>
      </w:r>
      <w:r>
        <w:rPr>
          <w:i/>
          <w:iCs/>
          <w:sz w:val="20"/>
          <w:szCs w:val="20"/>
        </w:rPr>
        <w:t>: Credible intervals are computed from 10,000 posterior draws using Gibbs Sampling.</w:t>
      </w:r>
      <w:r w:rsidR="009F7FF6">
        <w:rPr>
          <w:i/>
          <w:iCs/>
          <w:sz w:val="20"/>
          <w:szCs w:val="20"/>
        </w:rPr>
        <w:t>g.</w:t>
      </w:r>
    </w:p>
    <w:p w14:paraId="36F7A078" w14:textId="504502F9" w:rsidR="008B3DF6" w:rsidRDefault="009F7FF6">
      <w:r>
        <w:br w:type="page"/>
      </w:r>
    </w:p>
    <w:p w14:paraId="54D3F37C" w14:textId="4A054FE9" w:rsidR="008B3DF6" w:rsidRDefault="00215DB5">
      <w:pPr>
        <w:spacing w:before="400" w:after="200"/>
        <w:jc w:val="center"/>
      </w:pPr>
      <w:r w:rsidRPr="002E144B">
        <w:rPr>
          <w:rFonts w:eastAsiaTheme="minorEastAsia"/>
          <w:noProof/>
          <w:kern w:val="2"/>
          <w:sz w:val="24"/>
          <w:szCs w:val="24"/>
          <w14:ligatures w14:val="standardContextual"/>
        </w:rPr>
        <w:lastRenderedPageBreak/>
        <w:drawing>
          <wp:anchor distT="0" distB="0" distL="114300" distR="114300" simplePos="0" relativeHeight="251664384" behindDoc="0" locked="0" layoutInCell="1" allowOverlap="1" wp14:anchorId="20A697AA" wp14:editId="75D67FB7">
            <wp:simplePos x="0" y="0"/>
            <wp:positionH relativeFrom="column">
              <wp:posOffset>-74930</wp:posOffset>
            </wp:positionH>
            <wp:positionV relativeFrom="paragraph">
              <wp:posOffset>291465</wp:posOffset>
            </wp:positionV>
            <wp:extent cx="5731510" cy="2753995"/>
            <wp:effectExtent l="0" t="0" r="2540" b="8255"/>
            <wp:wrapTopAndBottom/>
            <wp:docPr id="1938362785" name="Gambar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362785" name="Gambar 193836278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53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7FF6">
        <w:rPr>
          <w:b/>
          <w:bCs/>
          <w:sz w:val="24"/>
          <w:szCs w:val="24"/>
        </w:rPr>
        <w:t xml:space="preserve">Figure S5. </w:t>
      </w:r>
      <w:r w:rsidR="00E31B17">
        <w:rPr>
          <w:b/>
          <w:bCs/>
          <w:sz w:val="24"/>
          <w:szCs w:val="24"/>
        </w:rPr>
        <w:t>Volatility Heatmap – All Variables</w:t>
      </w:r>
    </w:p>
    <w:p w14:paraId="021D72DF" w14:textId="2A286754" w:rsidR="008B3DF6" w:rsidRDefault="008B3DF6">
      <w:pPr>
        <w:spacing w:before="100" w:after="300"/>
        <w:jc w:val="center"/>
      </w:pPr>
    </w:p>
    <w:p w14:paraId="10FD8C10" w14:textId="77777777" w:rsidR="00390A6C" w:rsidRPr="00390A6C" w:rsidRDefault="00390A6C">
      <w:pPr>
        <w:spacing w:before="100" w:after="40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Rolling volatility proxy heatmap (rolling standard deviation, window = 8 quarters) for all macroeconomic variables over the sample period 2000Q1–2025Q1. Darker colors (dark red) indicate higher volatility; lighter colors indicate lower volatility. Vertical dashed lines mark major crisis episodes: 2001 (post-reform), 2008–09 </w:t>
      </w:r>
      <w:r w:rsidRPr="00390A6C">
        <w:rPr>
          <w:i/>
          <w:iCs/>
          <w:sz w:val="20"/>
          <w:szCs w:val="20"/>
        </w:rPr>
        <w:t>(GFC), and 2020 (COVID-19).</w:t>
      </w:r>
    </w:p>
    <w:p w14:paraId="69F2FA88" w14:textId="77777777" w:rsidR="00390A6C" w:rsidRPr="00390A6C" w:rsidRDefault="00390A6C">
      <w:pPr>
        <w:spacing w:before="100" w:after="400"/>
        <w:jc w:val="both"/>
        <w:rPr>
          <w:i/>
          <w:iCs/>
        </w:rPr>
      </w:pPr>
      <w:r w:rsidRPr="00A86E29">
        <w:rPr>
          <w:b/>
          <w:bCs/>
          <w:i/>
          <w:iCs/>
        </w:rPr>
        <w:t>Note</w:t>
      </w:r>
      <w:r w:rsidRPr="00390A6C">
        <w:rPr>
          <w:i/>
          <w:iCs/>
        </w:rPr>
        <w:t>: The rolling volatility proxy is a descriptive representation and is not identical to the latent log-volatility estimated within the TVP-VAR-SV system.</w:t>
      </w:r>
    </w:p>
    <w:p w14:paraId="33E2FC34" w14:textId="23EC80D1" w:rsidR="008B3DF6" w:rsidRPr="00390A6C" w:rsidRDefault="009F7FF6">
      <w:pPr>
        <w:rPr>
          <w:i/>
          <w:iCs/>
        </w:rPr>
      </w:pPr>
      <w:r w:rsidRPr="00390A6C">
        <w:rPr>
          <w:i/>
          <w:iCs/>
        </w:rPr>
        <w:br w:type="page"/>
      </w:r>
    </w:p>
    <w:p w14:paraId="25F2245E" w14:textId="77777777" w:rsidR="008B3DF6" w:rsidRDefault="009F7FF6">
      <w:pPr>
        <w:spacing w:before="400" w:after="200"/>
        <w:jc w:val="center"/>
      </w:pPr>
      <w:r>
        <w:rPr>
          <w:b/>
          <w:bCs/>
          <w:sz w:val="24"/>
          <w:szCs w:val="24"/>
        </w:rPr>
        <w:lastRenderedPageBreak/>
        <w:t>Figure S6. Verifikasi Historical Decomposition (Actual vs HD Total)</w:t>
      </w:r>
    </w:p>
    <w:p w14:paraId="5E199EBD" w14:textId="2C5D6014" w:rsidR="008B3DF6" w:rsidRDefault="00C553E3">
      <w:pPr>
        <w:spacing w:before="100" w:after="300"/>
        <w:jc w:val="center"/>
        <w:rPr>
          <w:i/>
          <w:iCs/>
          <w:color w:val="AAAAAA"/>
          <w:sz w:val="18"/>
          <w:szCs w:val="18"/>
        </w:rPr>
      </w:pPr>
      <w:r w:rsidRPr="002E144B">
        <w:rPr>
          <w:rFonts w:eastAsiaTheme="minorEastAsia"/>
          <w:noProof/>
          <w:kern w:val="2"/>
          <w:sz w:val="24"/>
          <w:szCs w:val="24"/>
          <w14:ligatures w14:val="standardContextual"/>
        </w:rPr>
        <w:drawing>
          <wp:anchor distT="0" distB="0" distL="114300" distR="114300" simplePos="0" relativeHeight="251665408" behindDoc="0" locked="0" layoutInCell="1" allowOverlap="1" wp14:anchorId="6E39DCD3" wp14:editId="59730F36">
            <wp:simplePos x="0" y="0"/>
            <wp:positionH relativeFrom="column">
              <wp:posOffset>23495</wp:posOffset>
            </wp:positionH>
            <wp:positionV relativeFrom="paragraph">
              <wp:posOffset>81915</wp:posOffset>
            </wp:positionV>
            <wp:extent cx="5731510" cy="3321685"/>
            <wp:effectExtent l="0" t="0" r="2540" b="0"/>
            <wp:wrapTopAndBottom/>
            <wp:docPr id="860257888" name="Gambar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257888" name="Gambar 86025788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21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EE0BB8" w14:textId="77777777" w:rsidR="00C553E3" w:rsidRDefault="00C553E3">
      <w:pPr>
        <w:spacing w:before="100" w:after="300"/>
        <w:jc w:val="center"/>
      </w:pPr>
    </w:p>
    <w:p w14:paraId="78AE3642" w14:textId="77777777" w:rsidR="00876B84" w:rsidRDefault="00876B84">
      <w:pPr>
        <w:spacing w:before="100" w:after="40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Comparison between actual values (solid black line) and total historical decomposition (red dashed line) for all variables: CPI, IPI, BI Rate, Exchange Rate, and Government Spending. The Pearson correlation coefficient (r) between the actual and HD total is displayed in the lower-left corner of each panel.</w:t>
      </w:r>
    </w:p>
    <w:p w14:paraId="4E647537" w14:textId="179729E9" w:rsidR="00876B84" w:rsidRPr="00876B84" w:rsidRDefault="00876B84">
      <w:pPr>
        <w:spacing w:before="100" w:after="400"/>
        <w:jc w:val="both"/>
        <w:rPr>
          <w:i/>
          <w:iCs/>
        </w:rPr>
      </w:pPr>
      <w:r w:rsidRPr="00876B84">
        <w:rPr>
          <w:b/>
          <w:bCs/>
          <w:i/>
          <w:iCs/>
        </w:rPr>
        <w:t>Note</w:t>
      </w:r>
      <w:r w:rsidRPr="00876B84">
        <w:rPr>
          <w:i/>
          <w:iCs/>
        </w:rPr>
        <w:t>: r(CPI) = 0.800; r(IPI) = 0.365; r(Exchange Rate) = 0.088; r(Gov Spending) = 0.397. The lower fit for Exchange Rate and Gov Spending reflects the model’s limitations in capturing very short-run dynamics of more volatile variables.</w:t>
      </w:r>
    </w:p>
    <w:p w14:paraId="4A8D4690" w14:textId="198F5FDD" w:rsidR="008B3DF6" w:rsidRDefault="009F7FF6">
      <w:r>
        <w:br w:type="page"/>
      </w:r>
    </w:p>
    <w:p w14:paraId="28D8E106" w14:textId="77777777" w:rsidR="008B3DF6" w:rsidRDefault="009F7FF6">
      <w:pPr>
        <w:spacing w:before="400" w:after="200"/>
        <w:jc w:val="center"/>
      </w:pPr>
      <w:r>
        <w:rPr>
          <w:b/>
          <w:bCs/>
          <w:sz w:val="24"/>
          <w:szCs w:val="24"/>
        </w:rPr>
        <w:lastRenderedPageBreak/>
        <w:t>Figure S7. Residual Diagnostics TVP-VAR-SV</w:t>
      </w:r>
    </w:p>
    <w:p w14:paraId="069C1564" w14:textId="77CE2501" w:rsidR="008B3DF6" w:rsidRPr="00EB6CD7" w:rsidRDefault="00EB6CD7" w:rsidP="00EB6CD7">
      <w:pPr>
        <w:spacing w:before="100" w:after="300"/>
        <w:jc w:val="center"/>
        <w:rPr>
          <w:i/>
          <w:iCs/>
          <w:color w:val="AAAAAA"/>
          <w:sz w:val="18"/>
          <w:szCs w:val="18"/>
        </w:rPr>
      </w:pPr>
      <w:r w:rsidRPr="002E144B">
        <w:rPr>
          <w:rFonts w:eastAsiaTheme="minorEastAsia"/>
          <w:noProof/>
          <w:kern w:val="2"/>
          <w:sz w:val="24"/>
          <w:szCs w:val="24"/>
          <w14:ligatures w14:val="standardContextual"/>
        </w:rPr>
        <w:drawing>
          <wp:anchor distT="0" distB="0" distL="114300" distR="114300" simplePos="0" relativeHeight="251666432" behindDoc="0" locked="0" layoutInCell="1" allowOverlap="1" wp14:anchorId="7FE1CE9D" wp14:editId="6DFE8CF9">
            <wp:simplePos x="0" y="0"/>
            <wp:positionH relativeFrom="column">
              <wp:posOffset>54610</wp:posOffset>
            </wp:positionH>
            <wp:positionV relativeFrom="paragraph">
              <wp:posOffset>86995</wp:posOffset>
            </wp:positionV>
            <wp:extent cx="5731510" cy="3237865"/>
            <wp:effectExtent l="0" t="0" r="2540" b="635"/>
            <wp:wrapTopAndBottom/>
            <wp:docPr id="727501858" name="Gambar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501858" name="Gambar 72750185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37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7FF6">
        <w:rPr>
          <w:i/>
          <w:iCs/>
          <w:color w:val="AAAAAA"/>
          <w:sz w:val="18"/>
          <w:szCs w:val="18"/>
        </w:rPr>
        <w:t>i</w:t>
      </w:r>
    </w:p>
    <w:p w14:paraId="5ED6F5D1" w14:textId="77777777" w:rsidR="00C3664D" w:rsidRDefault="00C3664D">
      <w:pPr>
        <w:spacing w:before="100" w:after="40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Residual diagnostics for all variables in the TVP-VAR-SV system. Upper panel: ACF of residuals (blue bars) testing for remaining autocorrelation. Lower panel: ACF of squared residuals (red line, proxy for ARCH effects) testing for conditional heteroskedasticity. Horizontal dashed lines indicate the 5% significance bounds (±1.96/√T).</w:t>
      </w:r>
    </w:p>
    <w:p w14:paraId="77A1421E" w14:textId="77777777" w:rsidR="00C3664D" w:rsidRPr="00C3664D" w:rsidRDefault="00C3664D">
      <w:pPr>
        <w:spacing w:before="100" w:after="400"/>
        <w:jc w:val="both"/>
        <w:rPr>
          <w:i/>
          <w:iCs/>
        </w:rPr>
      </w:pPr>
      <w:r w:rsidRPr="006E04F2">
        <w:rPr>
          <w:b/>
          <w:bCs/>
          <w:i/>
          <w:iCs/>
        </w:rPr>
        <w:t>Note</w:t>
      </w:r>
      <w:r w:rsidRPr="00C3664D">
        <w:rPr>
          <w:i/>
          <w:iCs/>
        </w:rPr>
        <w:t>: Ljung-Box Q-test: BI Rate exhibits residual autocorrelation (p = 0.001); CPI, IPI, Exchange Rate, and Government Spending show no significant autocorrelation. ARCH effects are detected in Exchange Rate (p = 0.000), consistent with the widely documented heteroskedasticity of exchange rates.</w:t>
      </w:r>
    </w:p>
    <w:p w14:paraId="042F0401" w14:textId="4A825892" w:rsidR="00DF2243" w:rsidRPr="002E144B" w:rsidRDefault="009F7FF6" w:rsidP="00DF2243">
      <w:pPr>
        <w:jc w:val="center"/>
        <w:rPr>
          <w:rFonts w:eastAsiaTheme="minorEastAsia"/>
          <w:b/>
          <w:bCs/>
          <w:kern w:val="2"/>
          <w:sz w:val="24"/>
          <w:szCs w:val="24"/>
          <w14:ligatures w14:val="standardContextual"/>
        </w:rPr>
      </w:pPr>
      <w:r>
        <w:br w:type="page"/>
      </w:r>
    </w:p>
    <w:p w14:paraId="25C282F3" w14:textId="140016A9" w:rsidR="002E144B" w:rsidRPr="002E144B" w:rsidRDefault="002E144B" w:rsidP="002E144B">
      <w:pPr>
        <w:spacing w:after="160" w:line="278" w:lineRule="auto"/>
        <w:rPr>
          <w:rFonts w:eastAsiaTheme="minorEastAsia"/>
          <w:b/>
          <w:bCs/>
          <w:kern w:val="2"/>
          <w:sz w:val="24"/>
          <w:szCs w:val="24"/>
          <w14:ligatures w14:val="standardContextual"/>
        </w:rPr>
      </w:pPr>
    </w:p>
    <w:p w14:paraId="32266CF5" w14:textId="0E825D6B" w:rsidR="002E144B" w:rsidRPr="002E144B" w:rsidRDefault="002E144B" w:rsidP="002E144B">
      <w:pPr>
        <w:spacing w:after="160" w:line="278" w:lineRule="auto"/>
        <w:rPr>
          <w:rFonts w:eastAsiaTheme="minorEastAsia"/>
          <w:kern w:val="2"/>
          <w:sz w:val="24"/>
          <w:szCs w:val="24"/>
          <w14:ligatures w14:val="standardContextual"/>
        </w:rPr>
      </w:pPr>
    </w:p>
    <w:p w14:paraId="5B456607" w14:textId="072ED431" w:rsidR="008B3DF6" w:rsidRDefault="008B3DF6"/>
    <w:sectPr w:rsidR="008B3DF6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A3171"/>
    <w:multiLevelType w:val="hybridMultilevel"/>
    <w:tmpl w:val="FFFFFFFF"/>
    <w:lvl w:ilvl="0" w:tplc="018497FC">
      <w:start w:val="1"/>
      <w:numFmt w:val="bullet"/>
      <w:lvlText w:val="●"/>
      <w:lvlJc w:val="left"/>
      <w:pPr>
        <w:ind w:left="720" w:hanging="360"/>
      </w:pPr>
    </w:lvl>
    <w:lvl w:ilvl="1" w:tplc="2946CC0E">
      <w:start w:val="1"/>
      <w:numFmt w:val="bullet"/>
      <w:lvlText w:val="○"/>
      <w:lvlJc w:val="left"/>
      <w:pPr>
        <w:ind w:left="1440" w:hanging="360"/>
      </w:pPr>
    </w:lvl>
    <w:lvl w:ilvl="2" w:tplc="C2D04182">
      <w:start w:val="1"/>
      <w:numFmt w:val="bullet"/>
      <w:lvlText w:val="■"/>
      <w:lvlJc w:val="left"/>
      <w:pPr>
        <w:ind w:left="2160" w:hanging="360"/>
      </w:pPr>
    </w:lvl>
    <w:lvl w:ilvl="3" w:tplc="65FAC7DA">
      <w:start w:val="1"/>
      <w:numFmt w:val="bullet"/>
      <w:lvlText w:val="●"/>
      <w:lvlJc w:val="left"/>
      <w:pPr>
        <w:ind w:left="2880" w:hanging="360"/>
      </w:pPr>
    </w:lvl>
    <w:lvl w:ilvl="4" w:tplc="83E8DDD2">
      <w:start w:val="1"/>
      <w:numFmt w:val="bullet"/>
      <w:lvlText w:val="○"/>
      <w:lvlJc w:val="left"/>
      <w:pPr>
        <w:ind w:left="3600" w:hanging="360"/>
      </w:pPr>
    </w:lvl>
    <w:lvl w:ilvl="5" w:tplc="83EA3948">
      <w:start w:val="1"/>
      <w:numFmt w:val="bullet"/>
      <w:lvlText w:val="■"/>
      <w:lvlJc w:val="left"/>
      <w:pPr>
        <w:ind w:left="4320" w:hanging="360"/>
      </w:pPr>
    </w:lvl>
    <w:lvl w:ilvl="6" w:tplc="087276BA">
      <w:start w:val="1"/>
      <w:numFmt w:val="bullet"/>
      <w:lvlText w:val="●"/>
      <w:lvlJc w:val="left"/>
      <w:pPr>
        <w:ind w:left="5040" w:hanging="360"/>
      </w:pPr>
    </w:lvl>
    <w:lvl w:ilvl="7" w:tplc="332C8A86">
      <w:start w:val="1"/>
      <w:numFmt w:val="bullet"/>
      <w:lvlText w:val="●"/>
      <w:lvlJc w:val="left"/>
      <w:pPr>
        <w:ind w:left="5760" w:hanging="360"/>
      </w:pPr>
    </w:lvl>
    <w:lvl w:ilvl="8" w:tplc="D7DA6768">
      <w:start w:val="1"/>
      <w:numFmt w:val="bullet"/>
      <w:lvlText w:val="●"/>
      <w:lvlJc w:val="left"/>
      <w:pPr>
        <w:ind w:left="6480" w:hanging="360"/>
      </w:pPr>
    </w:lvl>
  </w:abstractNum>
  <w:num w:numId="1" w16cid:durableId="112985869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DF6"/>
    <w:rsid w:val="00085130"/>
    <w:rsid w:val="000B65A6"/>
    <w:rsid w:val="000F3495"/>
    <w:rsid w:val="00215DB5"/>
    <w:rsid w:val="002D29E0"/>
    <w:rsid w:val="002E144B"/>
    <w:rsid w:val="003522D4"/>
    <w:rsid w:val="0036724B"/>
    <w:rsid w:val="00390A6C"/>
    <w:rsid w:val="00405257"/>
    <w:rsid w:val="0057462E"/>
    <w:rsid w:val="005A1B70"/>
    <w:rsid w:val="006A1681"/>
    <w:rsid w:val="006B5067"/>
    <w:rsid w:val="006D17F7"/>
    <w:rsid w:val="006E04F2"/>
    <w:rsid w:val="0070693C"/>
    <w:rsid w:val="00876B84"/>
    <w:rsid w:val="008B3DF6"/>
    <w:rsid w:val="00960B14"/>
    <w:rsid w:val="009F7FF6"/>
    <w:rsid w:val="00A57F77"/>
    <w:rsid w:val="00A86E29"/>
    <w:rsid w:val="00C016E7"/>
    <w:rsid w:val="00C3664D"/>
    <w:rsid w:val="00C45787"/>
    <w:rsid w:val="00C553E3"/>
    <w:rsid w:val="00CB029A"/>
    <w:rsid w:val="00CB6222"/>
    <w:rsid w:val="00CE60CC"/>
    <w:rsid w:val="00CE7FC6"/>
    <w:rsid w:val="00D52932"/>
    <w:rsid w:val="00D54A36"/>
    <w:rsid w:val="00DB3C51"/>
    <w:rsid w:val="00DB5AFB"/>
    <w:rsid w:val="00DF2243"/>
    <w:rsid w:val="00E140C3"/>
    <w:rsid w:val="00E31B17"/>
    <w:rsid w:val="00E41703"/>
    <w:rsid w:val="00E84983"/>
    <w:rsid w:val="00EA4EF0"/>
    <w:rsid w:val="00EB6CD7"/>
    <w:rsid w:val="00EC04DB"/>
    <w:rsid w:val="00F11D25"/>
    <w:rsid w:val="00F4414D"/>
    <w:rsid w:val="00FD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82D03C"/>
  <w15:docId w15:val="{9122A8C0-D355-DD43-85C9-422FD4669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Judul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Judul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Judul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Judul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Judul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Judul">
    <w:name w:val="Title"/>
    <w:uiPriority w:val="10"/>
    <w:qFormat/>
    <w:rPr>
      <w:sz w:val="56"/>
      <w:szCs w:val="56"/>
    </w:rPr>
  </w:style>
  <w:style w:type="paragraph" w:customStyle="1" w:styleId="Kuat1">
    <w:name w:val="Kuat1"/>
    <w:qFormat/>
    <w:rPr>
      <w:b/>
      <w:bCs/>
    </w:rPr>
  </w:style>
  <w:style w:type="paragraph" w:styleId="DaftarParagraf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erensiCatatanKaki">
    <w:name w:val="footnote reference"/>
    <w:uiPriority w:val="99"/>
    <w:semiHidden/>
    <w:unhideWhenUsed/>
    <w:rPr>
      <w:vertAlign w:val="superscript"/>
    </w:rPr>
  </w:style>
  <w:style w:type="paragraph" w:styleId="TeksCatatanKaki">
    <w:name w:val="footnote text"/>
    <w:link w:val="TeksCatatanKakiKAR"/>
    <w:uiPriority w:val="99"/>
    <w:semiHidden/>
    <w:unhideWhenUsed/>
    <w:rPr>
      <w:sz w:val="20"/>
      <w:szCs w:val="20"/>
    </w:rPr>
  </w:style>
  <w:style w:type="character" w:customStyle="1" w:styleId="TeksCatatanKakiKAR">
    <w:name w:val="Teks Catatan Kaki KAR"/>
    <w:link w:val="TeksCatatanKaki"/>
    <w:uiPriority w:val="99"/>
    <w:semiHidden/>
    <w:unhideWhenUsed/>
    <w:rPr>
      <w:sz w:val="20"/>
      <w:szCs w:val="20"/>
    </w:rPr>
  </w:style>
  <w:style w:type="character" w:styleId="ReferensiCatatanAkhir">
    <w:name w:val="endnote reference"/>
    <w:uiPriority w:val="99"/>
    <w:semiHidden/>
    <w:unhideWhenUsed/>
    <w:rPr>
      <w:vertAlign w:val="superscript"/>
    </w:rPr>
  </w:style>
  <w:style w:type="paragraph" w:styleId="TeksCatatanAkhir">
    <w:name w:val="endnote text"/>
    <w:link w:val="TeksCatatanAkhirKAR"/>
    <w:uiPriority w:val="99"/>
    <w:semiHidden/>
    <w:unhideWhenUsed/>
    <w:rPr>
      <w:sz w:val="20"/>
      <w:szCs w:val="20"/>
    </w:rPr>
  </w:style>
  <w:style w:type="character" w:customStyle="1" w:styleId="TeksCatatanAkhirKAR">
    <w:name w:val="Teks Catatan Akhir KAR"/>
    <w:link w:val="TeksCatatanAkhir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12" Type="http://schemas.openxmlformats.org/officeDocument/2006/relationships/image" Target="media/image8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11" Type="http://schemas.openxmlformats.org/officeDocument/2006/relationships/image" Target="media/image7.jpeg" /><Relationship Id="rId5" Type="http://schemas.openxmlformats.org/officeDocument/2006/relationships/image" Target="media/image1.jpeg" /><Relationship Id="rId10" Type="http://schemas.openxmlformats.org/officeDocument/2006/relationships/image" Target="media/image6.jpeg" /><Relationship Id="rId4" Type="http://schemas.openxmlformats.org/officeDocument/2006/relationships/webSettings" Target="webSettings.xml" /><Relationship Id="rId9" Type="http://schemas.openxmlformats.org/officeDocument/2006/relationships/image" Target="media/image5.jpeg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591</Words>
  <Characters>3374</Characters>
  <Application>Microsoft Office Word</Application>
  <DocSecurity>0</DocSecurity>
  <Lines>28</Lines>
  <Paragraphs>7</Paragraphs>
  <ScaleCrop>false</ScaleCrop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abulhasn03@gmail.com</cp:lastModifiedBy>
  <cp:revision>2</cp:revision>
  <dcterms:created xsi:type="dcterms:W3CDTF">2026-05-20T11:54:00Z</dcterms:created>
  <dcterms:modified xsi:type="dcterms:W3CDTF">2026-05-20T11:54:00Z</dcterms:modified>
</cp:coreProperties>
</file>