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409E" w14:textId="00D40872" w:rsidR="00A8509F" w:rsidRPr="008416EF" w:rsidRDefault="00A8509F" w:rsidP="00A8509F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Supplementary figure</w:t>
      </w:r>
      <w:r w:rsidRPr="005311A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Pr="007A635B">
        <w:rPr>
          <w:rFonts w:ascii="Arial" w:hAnsi="Arial" w:cs="Arial"/>
          <w:b/>
          <w:bCs/>
          <w:sz w:val="22"/>
          <w:szCs w:val="22"/>
        </w:rPr>
        <w:t>egends</w:t>
      </w:r>
    </w:p>
    <w:p w14:paraId="2C2F5410" w14:textId="053A9064" w:rsidR="00B70631" w:rsidRPr="004302CE" w:rsidRDefault="00B70631" w:rsidP="00BE5E83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Sup. Fig. </w:t>
      </w:r>
      <w:r w:rsidR="00676528">
        <w:rPr>
          <w:rFonts w:ascii="Arial" w:hAnsi="Arial" w:cs="Arial"/>
          <w:b/>
          <w:bCs/>
          <w:i/>
          <w:iCs/>
          <w:sz w:val="22"/>
          <w:szCs w:val="22"/>
        </w:rPr>
        <w:t>1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. </w:t>
      </w:r>
      <w:r w:rsidR="00FE74A2">
        <w:rPr>
          <w:rFonts w:ascii="Arial" w:hAnsi="Arial" w:cs="Arial"/>
          <w:b/>
          <w:bCs/>
          <w:i/>
          <w:iCs/>
          <w:sz w:val="22"/>
          <w:szCs w:val="22"/>
        </w:rPr>
        <w:t xml:space="preserve">Pathway </w:t>
      </w:r>
      <w:r w:rsidR="00986DC3">
        <w:rPr>
          <w:rFonts w:ascii="Arial" w:hAnsi="Arial" w:cs="Arial"/>
          <w:b/>
          <w:bCs/>
          <w:i/>
          <w:iCs/>
          <w:sz w:val="22"/>
          <w:szCs w:val="22"/>
        </w:rPr>
        <w:t xml:space="preserve">activity </w:t>
      </w:r>
      <w:r w:rsidR="00FE74A2">
        <w:rPr>
          <w:rFonts w:ascii="Arial" w:hAnsi="Arial" w:cs="Arial"/>
          <w:b/>
          <w:bCs/>
          <w:i/>
          <w:iCs/>
          <w:sz w:val="22"/>
          <w:szCs w:val="22"/>
        </w:rPr>
        <w:t>analysis</w:t>
      </w:r>
      <w:r w:rsidR="00190228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="0037220C">
        <w:rPr>
          <w:rFonts w:ascii="Arial" w:hAnsi="Arial" w:cs="Arial"/>
          <w:b/>
          <w:bCs/>
          <w:i/>
          <w:iCs/>
          <w:sz w:val="22"/>
          <w:szCs w:val="22"/>
        </w:rPr>
        <w:t xml:space="preserve"> A) </w:t>
      </w:r>
      <w:r w:rsidR="0037220C" w:rsidRPr="004302CE">
        <w:rPr>
          <w:rFonts w:ascii="Arial" w:hAnsi="Arial" w:cs="Arial"/>
          <w:sz w:val="22"/>
          <w:szCs w:val="22"/>
        </w:rPr>
        <w:t xml:space="preserve">Bubble plots representing gene transcription </w:t>
      </w:r>
      <w:r w:rsidR="004302CE" w:rsidRPr="004302CE">
        <w:rPr>
          <w:rFonts w:ascii="Arial" w:hAnsi="Arial" w:cs="Arial"/>
          <w:sz w:val="22"/>
          <w:szCs w:val="22"/>
        </w:rPr>
        <w:t>across spatial identified clusters (#0-11)</w:t>
      </w:r>
      <w:r w:rsidR="004302CE">
        <w:rPr>
          <w:rFonts w:ascii="Arial" w:hAnsi="Arial" w:cs="Arial"/>
          <w:sz w:val="22"/>
          <w:szCs w:val="22"/>
        </w:rPr>
        <w:t xml:space="preserve">. </w:t>
      </w:r>
      <w:r w:rsidR="00BE5E83">
        <w:rPr>
          <w:rFonts w:ascii="Arial" w:hAnsi="Arial" w:cs="Arial"/>
          <w:sz w:val="22"/>
          <w:szCs w:val="22"/>
        </w:rPr>
        <w:t>D</w:t>
      </w:r>
      <w:r w:rsidR="00BE5E83" w:rsidRPr="00BE5E83">
        <w:rPr>
          <w:rFonts w:ascii="Arial" w:hAnsi="Arial" w:cs="Arial"/>
          <w:sz w:val="22"/>
          <w:szCs w:val="22"/>
        </w:rPr>
        <w:t>ot size indicates the percentage of cells expressing each gene in each cluster, and dot color represents the average expression level (scaled expression</w:t>
      </w:r>
      <w:r w:rsidR="00BE5E83">
        <w:rPr>
          <w:rFonts w:ascii="Arial" w:hAnsi="Arial" w:cs="Arial"/>
          <w:sz w:val="22"/>
          <w:szCs w:val="22"/>
        </w:rPr>
        <w:t>, Blue, high; dark yellow, low</w:t>
      </w:r>
      <w:r w:rsidR="00BE5E83" w:rsidRPr="00BE5E83">
        <w:rPr>
          <w:rFonts w:ascii="Arial" w:hAnsi="Arial" w:cs="Arial"/>
          <w:sz w:val="22"/>
          <w:szCs w:val="22"/>
        </w:rPr>
        <w:t>)</w:t>
      </w:r>
      <w:r w:rsidR="00BE5E83">
        <w:rPr>
          <w:rFonts w:ascii="Arial" w:hAnsi="Arial" w:cs="Arial"/>
          <w:sz w:val="22"/>
          <w:szCs w:val="22"/>
        </w:rPr>
        <w:t>.</w:t>
      </w:r>
      <w:r w:rsidR="006264D3">
        <w:rPr>
          <w:rFonts w:ascii="Arial" w:hAnsi="Arial" w:cs="Arial"/>
          <w:sz w:val="22"/>
          <w:szCs w:val="22"/>
        </w:rPr>
        <w:t xml:space="preserve"> </w:t>
      </w:r>
      <w:r w:rsidR="006264D3" w:rsidRPr="00986DC3">
        <w:rPr>
          <w:rFonts w:ascii="Arial" w:hAnsi="Arial" w:cs="Arial"/>
          <w:b/>
          <w:bCs/>
          <w:sz w:val="22"/>
          <w:szCs w:val="22"/>
        </w:rPr>
        <w:t>B)</w:t>
      </w:r>
      <w:r w:rsidR="00DF5115" w:rsidRPr="00986DC3">
        <w:rPr>
          <w:rFonts w:ascii="Arial" w:hAnsi="Arial" w:cs="Arial"/>
          <w:b/>
          <w:bCs/>
          <w:sz w:val="22"/>
          <w:szCs w:val="22"/>
        </w:rPr>
        <w:t xml:space="preserve"> </w:t>
      </w:r>
      <w:r w:rsidR="00DF5115">
        <w:rPr>
          <w:rFonts w:ascii="Arial" w:hAnsi="Arial" w:cs="Arial"/>
          <w:sz w:val="22"/>
          <w:szCs w:val="22"/>
        </w:rPr>
        <w:t>P</w:t>
      </w:r>
      <w:r w:rsidR="00DF5115" w:rsidRPr="00DF5115">
        <w:rPr>
          <w:rFonts w:ascii="Arial" w:hAnsi="Arial" w:cs="Arial"/>
          <w:sz w:val="22"/>
          <w:szCs w:val="22"/>
        </w:rPr>
        <w:t>athway activity scores</w:t>
      </w:r>
      <w:r w:rsidR="00DF5115">
        <w:rPr>
          <w:rFonts w:ascii="Arial" w:hAnsi="Arial" w:cs="Arial"/>
          <w:sz w:val="22"/>
          <w:szCs w:val="22"/>
        </w:rPr>
        <w:t xml:space="preserve"> analysis</w:t>
      </w:r>
      <w:r w:rsidR="00B17A3F">
        <w:rPr>
          <w:rFonts w:ascii="Arial" w:hAnsi="Arial" w:cs="Arial"/>
          <w:sz w:val="22"/>
          <w:szCs w:val="22"/>
        </w:rPr>
        <w:t>. Pathway activity</w:t>
      </w:r>
      <w:r w:rsidR="006A0FFA">
        <w:rPr>
          <w:rFonts w:ascii="Arial" w:hAnsi="Arial" w:cs="Arial"/>
          <w:sz w:val="22"/>
          <w:szCs w:val="22"/>
        </w:rPr>
        <w:t xml:space="preserve"> for each spatial gene expression clusters</w:t>
      </w:r>
      <w:r w:rsidR="00B17A3F">
        <w:rPr>
          <w:rFonts w:ascii="Arial" w:hAnsi="Arial" w:cs="Arial"/>
          <w:sz w:val="22"/>
          <w:szCs w:val="22"/>
        </w:rPr>
        <w:t xml:space="preserve"> was estimated against the </w:t>
      </w:r>
      <w:proofErr w:type="spellStart"/>
      <w:r w:rsidR="00B17A3F">
        <w:rPr>
          <w:rFonts w:ascii="Arial" w:hAnsi="Arial" w:cs="Arial"/>
          <w:sz w:val="22"/>
          <w:szCs w:val="22"/>
        </w:rPr>
        <w:t>PROGENy</w:t>
      </w:r>
      <w:proofErr w:type="spellEnd"/>
      <w:r w:rsidR="00B17A3F">
        <w:rPr>
          <w:rFonts w:ascii="Arial" w:hAnsi="Arial" w:cs="Arial"/>
          <w:sz w:val="22"/>
          <w:szCs w:val="22"/>
        </w:rPr>
        <w:t xml:space="preserve"> pathway database using the </w:t>
      </w:r>
      <w:proofErr w:type="spellStart"/>
      <w:r w:rsidR="00B17A3F">
        <w:rPr>
          <w:rFonts w:ascii="Arial" w:hAnsi="Arial" w:cs="Arial"/>
          <w:sz w:val="22"/>
          <w:szCs w:val="22"/>
        </w:rPr>
        <w:t>AddModuleScore</w:t>
      </w:r>
      <w:proofErr w:type="spellEnd"/>
      <w:r w:rsidR="00B17A3F">
        <w:rPr>
          <w:rFonts w:ascii="Arial" w:hAnsi="Arial" w:cs="Arial"/>
          <w:sz w:val="22"/>
          <w:szCs w:val="22"/>
        </w:rPr>
        <w:t xml:space="preserve"> function of Seurat and the genes that show a positive weight as accessed via the </w:t>
      </w:r>
      <w:proofErr w:type="spellStart"/>
      <w:r w:rsidR="00B17A3F">
        <w:rPr>
          <w:rFonts w:ascii="Arial" w:hAnsi="Arial" w:cs="Arial"/>
          <w:sz w:val="22"/>
          <w:szCs w:val="22"/>
        </w:rPr>
        <w:t>decoupleR</w:t>
      </w:r>
      <w:proofErr w:type="spellEnd"/>
      <w:r w:rsidR="00B17A3F">
        <w:rPr>
          <w:rFonts w:ascii="Arial" w:hAnsi="Arial" w:cs="Arial"/>
          <w:sz w:val="22"/>
          <w:szCs w:val="22"/>
        </w:rPr>
        <w:t xml:space="preserve"> package).</w:t>
      </w:r>
      <w:r w:rsidR="006A0FFA">
        <w:rPr>
          <w:rFonts w:ascii="Arial" w:hAnsi="Arial" w:cs="Arial"/>
          <w:sz w:val="22"/>
          <w:szCs w:val="22"/>
        </w:rPr>
        <w:t xml:space="preserve"> </w:t>
      </w:r>
      <w:r w:rsidR="00986DC3" w:rsidRPr="00986DC3">
        <w:rPr>
          <w:rFonts w:ascii="Arial" w:hAnsi="Arial" w:cs="Arial"/>
          <w:sz w:val="22"/>
          <w:szCs w:val="22"/>
        </w:rPr>
        <w:t>The cluster legend is detailed to the right of the panel and identified by different colors.</w:t>
      </w:r>
    </w:p>
    <w:p w14:paraId="0C1F6D3F" w14:textId="6A9718D3" w:rsidR="005E376B" w:rsidRDefault="00190228" w:rsidP="005E376B">
      <w:pPr>
        <w:spacing w:line="480" w:lineRule="auto"/>
        <w:jc w:val="both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Sup. Fig. </w:t>
      </w:r>
      <w:r w:rsidR="00676528">
        <w:rPr>
          <w:rFonts w:ascii="Arial" w:hAnsi="Arial" w:cs="Arial"/>
          <w:b/>
          <w:bCs/>
          <w:i/>
          <w:iCs/>
          <w:sz w:val="22"/>
          <w:szCs w:val="22"/>
        </w:rPr>
        <w:t>2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. </w:t>
      </w:r>
      <w:r w:rsidR="005E376B">
        <w:rPr>
          <w:rFonts w:ascii="Arial" w:hAnsi="Arial" w:cs="Arial"/>
          <w:b/>
          <w:bCs/>
          <w:i/>
          <w:iCs/>
          <w:sz w:val="22"/>
          <w:szCs w:val="22"/>
        </w:rPr>
        <w:t xml:space="preserve">Spatial clustering map of KDM3A and BAX. </w:t>
      </w:r>
      <w:r w:rsidR="005E376B">
        <w:rPr>
          <w:rFonts w:ascii="Arial" w:hAnsi="Arial" w:cs="Arial"/>
          <w:sz w:val="22"/>
          <w:szCs w:val="22"/>
        </w:rPr>
        <w:t xml:space="preserve">Spatial transcriptomic map of </w:t>
      </w:r>
      <w:r w:rsidR="005E376B">
        <w:rPr>
          <w:rFonts w:ascii="Arial" w:hAnsi="Arial" w:cs="Arial"/>
          <w:i/>
          <w:iCs/>
          <w:sz w:val="22"/>
          <w:szCs w:val="22"/>
        </w:rPr>
        <w:t xml:space="preserve">KDM3A </w:t>
      </w:r>
      <w:r w:rsidR="005E376B" w:rsidRPr="005E376B">
        <w:rPr>
          <w:rFonts w:ascii="Arial" w:hAnsi="Arial" w:cs="Arial"/>
          <w:sz w:val="22"/>
          <w:szCs w:val="22"/>
        </w:rPr>
        <w:t>(A) and</w:t>
      </w:r>
      <w:r w:rsidR="005E376B">
        <w:rPr>
          <w:rFonts w:ascii="Arial" w:hAnsi="Arial" w:cs="Arial"/>
          <w:i/>
          <w:iCs/>
          <w:sz w:val="22"/>
          <w:szCs w:val="22"/>
        </w:rPr>
        <w:t xml:space="preserve"> BAX</w:t>
      </w:r>
      <w:r w:rsidR="005E376B" w:rsidRPr="005E376B">
        <w:rPr>
          <w:rFonts w:ascii="Arial" w:hAnsi="Arial" w:cs="Arial"/>
          <w:sz w:val="22"/>
          <w:szCs w:val="22"/>
        </w:rPr>
        <w:t xml:space="preserve"> (B) a</w:t>
      </w:r>
      <w:r w:rsidR="005E376B">
        <w:rPr>
          <w:rFonts w:ascii="Arial" w:hAnsi="Arial" w:cs="Arial"/>
          <w:sz w:val="22"/>
          <w:szCs w:val="22"/>
        </w:rPr>
        <w:t xml:space="preserve">cross all experimental conditions (tissue, untreated, </w:t>
      </w:r>
      <w:r w:rsidR="00CE1773">
        <w:rPr>
          <w:rFonts w:ascii="Arial" w:hAnsi="Arial" w:cs="Arial"/>
          <w:sz w:val="22"/>
          <w:szCs w:val="22"/>
        </w:rPr>
        <w:t>CDDP+GEM</w:t>
      </w:r>
      <w:r w:rsidR="005E376B">
        <w:rPr>
          <w:rFonts w:ascii="Arial" w:hAnsi="Arial" w:cs="Arial"/>
          <w:sz w:val="22"/>
          <w:szCs w:val="22"/>
        </w:rPr>
        <w:t xml:space="preserve"> and experimental). </w:t>
      </w:r>
      <w:r w:rsidR="00CE1773">
        <w:rPr>
          <w:rFonts w:ascii="Arial" w:hAnsi="Arial" w:cs="Arial"/>
          <w:sz w:val="22"/>
          <w:szCs w:val="22"/>
        </w:rPr>
        <w:t xml:space="preserve">CDDP+GEM, </w:t>
      </w:r>
      <w:proofErr w:type="spellStart"/>
      <w:r w:rsidR="00CE1773">
        <w:rPr>
          <w:rFonts w:ascii="Arial" w:hAnsi="Arial" w:cs="Arial"/>
          <w:sz w:val="22"/>
          <w:szCs w:val="22"/>
        </w:rPr>
        <w:t>cisplatin+gemcitabine</w:t>
      </w:r>
      <w:proofErr w:type="spellEnd"/>
      <w:r w:rsidR="00CE1773">
        <w:rPr>
          <w:rFonts w:ascii="Arial" w:hAnsi="Arial" w:cs="Arial"/>
          <w:sz w:val="22"/>
          <w:szCs w:val="22"/>
        </w:rPr>
        <w:t>.</w:t>
      </w:r>
      <w:r w:rsidR="004E360C">
        <w:rPr>
          <w:rFonts w:ascii="Arial" w:hAnsi="Arial" w:cs="Arial"/>
          <w:sz w:val="22"/>
          <w:szCs w:val="22"/>
        </w:rPr>
        <w:t xml:space="preserve"> </w:t>
      </w:r>
      <w:r w:rsidR="00A72C07">
        <w:rPr>
          <w:rFonts w:ascii="Arial" w:hAnsi="Arial" w:cs="Arial"/>
          <w:sz w:val="22"/>
          <w:szCs w:val="22"/>
        </w:rPr>
        <w:t xml:space="preserve">(C) </w:t>
      </w:r>
      <w:r w:rsidR="004E360C" w:rsidRPr="004E360C">
        <w:rPr>
          <w:rFonts w:ascii="Arial" w:hAnsi="Arial" w:cs="Arial"/>
          <w:sz w:val="22"/>
          <w:szCs w:val="22"/>
        </w:rPr>
        <w:t xml:space="preserve">Pie charts represent the median percentage of cells (n=9 samples) that are negative or positive for KDM3A (C), respectively. Positive quantification has three levels of intensity (+1, +2 and +3). Images were acquired using the scanner Panoramic 250 Flash II (3DHistech, Hungary). Quantification was performed on </w:t>
      </w:r>
      <w:proofErr w:type="spellStart"/>
      <w:r w:rsidR="004E360C" w:rsidRPr="004E360C">
        <w:rPr>
          <w:rFonts w:ascii="Arial" w:hAnsi="Arial" w:cs="Arial"/>
          <w:sz w:val="22"/>
          <w:szCs w:val="22"/>
        </w:rPr>
        <w:t>QuPath</w:t>
      </w:r>
      <w:proofErr w:type="spellEnd"/>
      <w:r w:rsidR="004E360C" w:rsidRPr="004E360C">
        <w:rPr>
          <w:rFonts w:ascii="Arial" w:hAnsi="Arial" w:cs="Arial"/>
          <w:sz w:val="22"/>
          <w:szCs w:val="22"/>
        </w:rPr>
        <w:t xml:space="preserve"> through customized protocols. (</w:t>
      </w:r>
      <w:r w:rsidR="00A72C07">
        <w:rPr>
          <w:rFonts w:ascii="Arial" w:hAnsi="Arial" w:cs="Arial"/>
          <w:sz w:val="22"/>
          <w:szCs w:val="22"/>
        </w:rPr>
        <w:t>D</w:t>
      </w:r>
      <w:r w:rsidR="004E360C" w:rsidRPr="004E360C">
        <w:rPr>
          <w:rFonts w:ascii="Arial" w:hAnsi="Arial" w:cs="Arial"/>
          <w:sz w:val="22"/>
          <w:szCs w:val="22"/>
        </w:rPr>
        <w:t xml:space="preserve">) Immunofluorescence staining quantification of KDM3A in </w:t>
      </w:r>
      <w:r w:rsidR="004E360C" w:rsidRPr="00A72C07">
        <w:rPr>
          <w:rFonts w:ascii="Arial" w:hAnsi="Arial" w:cs="Arial"/>
          <w:i/>
          <w:iCs/>
          <w:sz w:val="22"/>
          <w:szCs w:val="22"/>
        </w:rPr>
        <w:t>ex vivo</w:t>
      </w:r>
      <w:r w:rsidR="004E360C" w:rsidRPr="004E360C">
        <w:rPr>
          <w:rFonts w:ascii="Arial" w:hAnsi="Arial" w:cs="Arial"/>
          <w:sz w:val="22"/>
          <w:szCs w:val="22"/>
        </w:rPr>
        <w:t xml:space="preserve"> treated bladder cancer tissue slices (n=9). Percentage positive cells are represented by paired scatter plots, comparing tissue, untreated and CDDP+GEM conditions. * p value &lt;0.05. CDDP+GEM, </w:t>
      </w:r>
      <w:proofErr w:type="spellStart"/>
      <w:r w:rsidR="004E360C" w:rsidRPr="004E360C">
        <w:rPr>
          <w:rFonts w:ascii="Arial" w:hAnsi="Arial" w:cs="Arial"/>
          <w:sz w:val="22"/>
          <w:szCs w:val="22"/>
        </w:rPr>
        <w:t>Cisplatin+Gemcitabine</w:t>
      </w:r>
      <w:proofErr w:type="spellEnd"/>
      <w:r w:rsidR="004E360C" w:rsidRPr="004E360C">
        <w:rPr>
          <w:rFonts w:ascii="Arial" w:hAnsi="Arial" w:cs="Arial"/>
          <w:sz w:val="22"/>
          <w:szCs w:val="22"/>
        </w:rPr>
        <w:t>.</w:t>
      </w:r>
    </w:p>
    <w:p w14:paraId="0EA5234E" w14:textId="62A80C5D" w:rsidR="00DE6F54" w:rsidRDefault="00E87019" w:rsidP="00DE6F5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Sup. Fig. </w:t>
      </w:r>
      <w:r w:rsidR="00676528">
        <w:rPr>
          <w:rFonts w:ascii="Arial" w:hAnsi="Arial" w:cs="Arial"/>
          <w:b/>
          <w:bCs/>
          <w:i/>
          <w:iCs/>
          <w:sz w:val="22"/>
          <w:szCs w:val="22"/>
        </w:rPr>
        <w:t>3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. </w:t>
      </w:r>
      <w:r w:rsidR="006D0E77">
        <w:rPr>
          <w:rFonts w:ascii="Arial" w:hAnsi="Arial" w:cs="Arial"/>
          <w:b/>
          <w:bCs/>
          <w:i/>
          <w:iCs/>
          <w:sz w:val="22"/>
          <w:szCs w:val="22"/>
        </w:rPr>
        <w:t xml:space="preserve">GLUT1 as a prognostic marker in bladder cancer. </w:t>
      </w:r>
      <w:r w:rsidR="008C4F7E" w:rsidRPr="00A3747C">
        <w:rPr>
          <w:rFonts w:ascii="Arial" w:hAnsi="Arial" w:cs="Arial"/>
          <w:b/>
          <w:bCs/>
          <w:sz w:val="22"/>
          <w:szCs w:val="22"/>
        </w:rPr>
        <w:t>(A)</w:t>
      </w:r>
      <w:r w:rsidR="008C4F7E">
        <w:rPr>
          <w:rFonts w:ascii="Arial" w:hAnsi="Arial" w:cs="Arial"/>
          <w:sz w:val="22"/>
          <w:szCs w:val="22"/>
        </w:rPr>
        <w:t xml:space="preserve"> </w:t>
      </w:r>
      <w:r w:rsidR="008C4F7E" w:rsidRPr="0021349E">
        <w:rPr>
          <w:rFonts w:ascii="Arial" w:hAnsi="Arial" w:cs="Arial"/>
          <w:sz w:val="22"/>
          <w:szCs w:val="22"/>
        </w:rPr>
        <w:t>% of GLUT1 positive staining cells (</w:t>
      </w:r>
      <w:r w:rsidR="008C4F7E">
        <w:rPr>
          <w:rFonts w:ascii="Arial" w:hAnsi="Arial" w:cs="Arial"/>
          <w:sz w:val="22"/>
          <w:szCs w:val="22"/>
        </w:rPr>
        <w:t xml:space="preserve">intensity </w:t>
      </w:r>
      <w:r w:rsidR="008C4F7E" w:rsidRPr="0021349E">
        <w:rPr>
          <w:rFonts w:ascii="Arial" w:hAnsi="Arial" w:cs="Arial"/>
          <w:sz w:val="22"/>
          <w:szCs w:val="22"/>
        </w:rPr>
        <w:t xml:space="preserve">3+) in </w:t>
      </w:r>
      <w:r w:rsidR="005A173C">
        <w:rPr>
          <w:rFonts w:ascii="Arial" w:hAnsi="Arial" w:cs="Arial"/>
          <w:sz w:val="22"/>
          <w:szCs w:val="22"/>
        </w:rPr>
        <w:t>primary samples pre- and post-</w:t>
      </w:r>
      <w:r w:rsidR="008C4F7E" w:rsidRPr="0021349E">
        <w:rPr>
          <w:rFonts w:ascii="Arial" w:hAnsi="Arial" w:cs="Arial"/>
          <w:sz w:val="22"/>
          <w:szCs w:val="22"/>
        </w:rPr>
        <w:t>NAC</w:t>
      </w:r>
      <w:r w:rsidR="005A173C">
        <w:rPr>
          <w:rFonts w:ascii="Arial" w:hAnsi="Arial" w:cs="Arial"/>
          <w:sz w:val="22"/>
          <w:szCs w:val="22"/>
        </w:rPr>
        <w:t xml:space="preserve"> and in the respective positive lymph node metastasis</w:t>
      </w:r>
      <w:r w:rsidR="008C4F7E" w:rsidRPr="0021349E">
        <w:rPr>
          <w:rFonts w:ascii="Arial" w:hAnsi="Arial" w:cs="Arial"/>
          <w:sz w:val="22"/>
          <w:szCs w:val="22"/>
        </w:rPr>
        <w:t>.</w:t>
      </w:r>
      <w:r w:rsidR="005A173C">
        <w:rPr>
          <w:rFonts w:ascii="Arial" w:hAnsi="Arial" w:cs="Arial"/>
          <w:sz w:val="22"/>
          <w:szCs w:val="22"/>
        </w:rPr>
        <w:t xml:space="preserve"> </w:t>
      </w:r>
      <w:r w:rsidR="005A173C" w:rsidRPr="00A3747C">
        <w:rPr>
          <w:rFonts w:ascii="Arial" w:hAnsi="Arial" w:cs="Arial"/>
          <w:b/>
          <w:bCs/>
          <w:sz w:val="22"/>
          <w:szCs w:val="22"/>
        </w:rPr>
        <w:t>(B)</w:t>
      </w:r>
      <w:r w:rsidR="005A173C">
        <w:rPr>
          <w:rFonts w:ascii="Arial" w:hAnsi="Arial" w:cs="Arial"/>
          <w:sz w:val="22"/>
          <w:szCs w:val="22"/>
        </w:rPr>
        <w:t xml:space="preserve"> </w:t>
      </w:r>
      <w:r w:rsidR="005A173C" w:rsidRPr="0021349E">
        <w:rPr>
          <w:rFonts w:ascii="Arial" w:hAnsi="Arial" w:cs="Arial"/>
          <w:sz w:val="22"/>
          <w:szCs w:val="22"/>
        </w:rPr>
        <w:t>% of GLUT1 positive staining cells (</w:t>
      </w:r>
      <w:r w:rsidR="005A173C">
        <w:rPr>
          <w:rFonts w:ascii="Arial" w:hAnsi="Arial" w:cs="Arial"/>
          <w:sz w:val="22"/>
          <w:szCs w:val="22"/>
        </w:rPr>
        <w:t xml:space="preserve">intensity </w:t>
      </w:r>
      <w:r w:rsidR="005A173C" w:rsidRPr="0021349E">
        <w:rPr>
          <w:rFonts w:ascii="Arial" w:hAnsi="Arial" w:cs="Arial"/>
          <w:sz w:val="22"/>
          <w:szCs w:val="22"/>
        </w:rPr>
        <w:t xml:space="preserve">3+) in </w:t>
      </w:r>
      <w:r w:rsidR="005A173C">
        <w:rPr>
          <w:rFonts w:ascii="Arial" w:hAnsi="Arial" w:cs="Arial"/>
          <w:sz w:val="22"/>
          <w:szCs w:val="22"/>
        </w:rPr>
        <w:t>primary samples pre-</w:t>
      </w:r>
      <w:r w:rsidR="005A173C" w:rsidRPr="0021349E">
        <w:rPr>
          <w:rFonts w:ascii="Arial" w:hAnsi="Arial" w:cs="Arial"/>
          <w:sz w:val="22"/>
          <w:szCs w:val="22"/>
        </w:rPr>
        <w:t>NAC</w:t>
      </w:r>
      <w:r w:rsidR="005A173C">
        <w:rPr>
          <w:rFonts w:ascii="Arial" w:hAnsi="Arial" w:cs="Arial"/>
          <w:sz w:val="22"/>
          <w:szCs w:val="22"/>
        </w:rPr>
        <w:t xml:space="preserve"> </w:t>
      </w:r>
      <w:r w:rsidR="009A1E69">
        <w:rPr>
          <w:rFonts w:ascii="Arial" w:hAnsi="Arial" w:cs="Arial"/>
          <w:sz w:val="22"/>
          <w:szCs w:val="22"/>
        </w:rPr>
        <w:t xml:space="preserve">comparing samples from patients that did not develop positive lymph node metastasis with samples from patients that develop &lt;5 or &gt;5 positive lymph node metastasis. </w:t>
      </w:r>
      <w:r w:rsidR="00A3747C" w:rsidRPr="00A3747C">
        <w:rPr>
          <w:rFonts w:ascii="Arial" w:hAnsi="Arial" w:cs="Arial"/>
          <w:b/>
          <w:bCs/>
          <w:sz w:val="22"/>
          <w:szCs w:val="22"/>
        </w:rPr>
        <w:t>C)</w:t>
      </w:r>
      <w:r w:rsidR="00A3747C">
        <w:rPr>
          <w:rFonts w:ascii="Arial" w:hAnsi="Arial" w:cs="Arial"/>
          <w:sz w:val="22"/>
          <w:szCs w:val="22"/>
        </w:rPr>
        <w:t xml:space="preserve"> </w:t>
      </w:r>
      <w:r w:rsidR="004E7CAF" w:rsidRPr="000A4B5E">
        <w:rPr>
          <w:rFonts w:ascii="Arial" w:hAnsi="Arial" w:cs="Arial"/>
          <w:sz w:val="22"/>
          <w:szCs w:val="22"/>
        </w:rPr>
        <w:t>Kaplan-Meier curve for disease-</w:t>
      </w:r>
      <w:r w:rsidR="00AD3262">
        <w:rPr>
          <w:rFonts w:ascii="Arial" w:hAnsi="Arial" w:cs="Arial"/>
          <w:sz w:val="22"/>
          <w:szCs w:val="22"/>
        </w:rPr>
        <w:t>specific</w:t>
      </w:r>
      <w:r w:rsidR="004E7CAF" w:rsidRPr="000A4B5E">
        <w:rPr>
          <w:rFonts w:ascii="Arial" w:hAnsi="Arial" w:cs="Arial"/>
          <w:sz w:val="22"/>
          <w:szCs w:val="22"/>
        </w:rPr>
        <w:t xml:space="preserve"> survival</w:t>
      </w:r>
      <w:r w:rsidR="004E7CAF">
        <w:rPr>
          <w:rFonts w:ascii="Arial" w:hAnsi="Arial" w:cs="Arial"/>
          <w:sz w:val="22"/>
          <w:szCs w:val="22"/>
        </w:rPr>
        <w:t xml:space="preserve"> in samples at </w:t>
      </w:r>
      <w:r w:rsidR="005C7A57">
        <w:rPr>
          <w:rFonts w:ascii="Arial" w:hAnsi="Arial" w:cs="Arial"/>
          <w:sz w:val="22"/>
          <w:szCs w:val="22"/>
        </w:rPr>
        <w:t>cystectomy</w:t>
      </w:r>
      <w:r w:rsidR="004E7CAF" w:rsidRPr="000A4B5E">
        <w:rPr>
          <w:rFonts w:ascii="Arial" w:hAnsi="Arial" w:cs="Arial"/>
          <w:sz w:val="22"/>
          <w:szCs w:val="22"/>
        </w:rPr>
        <w:t xml:space="preserve">. </w:t>
      </w:r>
      <w:r w:rsidR="004E7CAF" w:rsidRPr="00256AE6">
        <w:rPr>
          <w:rFonts w:ascii="Arial" w:hAnsi="Arial" w:cs="Arial"/>
          <w:b/>
          <w:bCs/>
          <w:sz w:val="22"/>
          <w:szCs w:val="22"/>
        </w:rPr>
        <w:t>D)</w:t>
      </w:r>
      <w:r w:rsidR="004E7CAF" w:rsidRPr="000A4B5E">
        <w:rPr>
          <w:rFonts w:ascii="Arial" w:hAnsi="Arial" w:cs="Arial"/>
          <w:sz w:val="22"/>
          <w:szCs w:val="22"/>
        </w:rPr>
        <w:t xml:space="preserve"> Kaplan-Meier curve for </w:t>
      </w:r>
      <w:r w:rsidR="005C7A57">
        <w:rPr>
          <w:rFonts w:ascii="Arial" w:hAnsi="Arial" w:cs="Arial"/>
          <w:sz w:val="22"/>
          <w:szCs w:val="22"/>
        </w:rPr>
        <w:lastRenderedPageBreak/>
        <w:t>progression</w:t>
      </w:r>
      <w:r w:rsidR="004E7CAF" w:rsidRPr="000A4B5E">
        <w:rPr>
          <w:rFonts w:ascii="Arial" w:hAnsi="Arial" w:cs="Arial"/>
          <w:sz w:val="22"/>
          <w:szCs w:val="22"/>
        </w:rPr>
        <w:t>-free survival</w:t>
      </w:r>
      <w:r w:rsidR="004E7CAF">
        <w:rPr>
          <w:rFonts w:ascii="Arial" w:hAnsi="Arial" w:cs="Arial"/>
          <w:sz w:val="22"/>
          <w:szCs w:val="22"/>
        </w:rPr>
        <w:t xml:space="preserve"> in samples at </w:t>
      </w:r>
      <w:r w:rsidR="005C7A57">
        <w:rPr>
          <w:rFonts w:ascii="Arial" w:hAnsi="Arial" w:cs="Arial"/>
          <w:sz w:val="22"/>
          <w:szCs w:val="22"/>
        </w:rPr>
        <w:t>cystectomy</w:t>
      </w:r>
      <w:r w:rsidR="004E7CAF" w:rsidRPr="000A4B5E">
        <w:rPr>
          <w:rFonts w:ascii="Arial" w:hAnsi="Arial" w:cs="Arial"/>
          <w:sz w:val="22"/>
          <w:szCs w:val="22"/>
        </w:rPr>
        <w:t>. Both survival curves are stratified by GLUT1</w:t>
      </w:r>
      <w:r w:rsidR="00256547">
        <w:rPr>
          <w:rFonts w:ascii="Arial" w:hAnsi="Arial" w:cs="Arial"/>
          <w:sz w:val="22"/>
          <w:szCs w:val="22"/>
        </w:rPr>
        <w:t xml:space="preserve"> (intensity +3) low and high</w:t>
      </w:r>
      <w:r w:rsidR="004E7CAF" w:rsidRPr="000A4B5E">
        <w:rPr>
          <w:rFonts w:ascii="Arial" w:hAnsi="Arial" w:cs="Arial"/>
          <w:sz w:val="22"/>
          <w:szCs w:val="22"/>
        </w:rPr>
        <w:t>.</w:t>
      </w:r>
      <w:r w:rsidR="00256547">
        <w:rPr>
          <w:rFonts w:ascii="Arial" w:hAnsi="Arial" w:cs="Arial"/>
          <w:sz w:val="22"/>
          <w:szCs w:val="22"/>
        </w:rPr>
        <w:t xml:space="preserve"> The cutoff is the median expression value. </w:t>
      </w:r>
      <w:r w:rsidR="00A34337">
        <w:rPr>
          <w:rFonts w:ascii="Arial" w:hAnsi="Arial" w:cs="Arial"/>
          <w:sz w:val="22"/>
          <w:szCs w:val="22"/>
        </w:rPr>
        <w:t>Hazard ratio Forest plot for the association of tumor area content, tumor regression grade (TRG), GLUT1 expression</w:t>
      </w:r>
      <w:r w:rsidR="00F92068">
        <w:rPr>
          <w:rFonts w:ascii="Arial" w:hAnsi="Arial" w:cs="Arial"/>
          <w:sz w:val="22"/>
          <w:szCs w:val="22"/>
        </w:rPr>
        <w:t xml:space="preserve"> at cystectomy</w:t>
      </w:r>
      <w:r w:rsidR="00A34337">
        <w:rPr>
          <w:rFonts w:ascii="Arial" w:hAnsi="Arial" w:cs="Arial"/>
          <w:sz w:val="22"/>
          <w:szCs w:val="22"/>
        </w:rPr>
        <w:t xml:space="preserve">, time to start chemotherapy, gender and age at diagnosis with the cancer-specific survival </w:t>
      </w:r>
      <w:r w:rsidR="00A34337" w:rsidRPr="00432709">
        <w:rPr>
          <w:rFonts w:ascii="Arial" w:hAnsi="Arial" w:cs="Arial"/>
          <w:b/>
          <w:bCs/>
          <w:sz w:val="22"/>
          <w:szCs w:val="22"/>
        </w:rPr>
        <w:t>(E)</w:t>
      </w:r>
      <w:r w:rsidR="00A34337">
        <w:rPr>
          <w:rFonts w:ascii="Arial" w:hAnsi="Arial" w:cs="Arial"/>
          <w:sz w:val="22"/>
          <w:szCs w:val="22"/>
        </w:rPr>
        <w:t xml:space="preserve"> and progression-free survival </w:t>
      </w:r>
      <w:r w:rsidR="00A34337" w:rsidRPr="00432709">
        <w:rPr>
          <w:rFonts w:ascii="Arial" w:hAnsi="Arial" w:cs="Arial"/>
          <w:b/>
          <w:bCs/>
          <w:sz w:val="22"/>
          <w:szCs w:val="22"/>
        </w:rPr>
        <w:t>(</w:t>
      </w:r>
      <w:r w:rsidR="00E30790">
        <w:rPr>
          <w:rFonts w:ascii="Arial" w:hAnsi="Arial" w:cs="Arial"/>
          <w:b/>
          <w:bCs/>
          <w:sz w:val="22"/>
          <w:szCs w:val="22"/>
        </w:rPr>
        <w:t>G</w:t>
      </w:r>
      <w:r w:rsidR="00A34337" w:rsidRPr="00432709">
        <w:rPr>
          <w:rFonts w:ascii="Arial" w:hAnsi="Arial" w:cs="Arial"/>
          <w:b/>
          <w:bCs/>
          <w:sz w:val="22"/>
          <w:szCs w:val="22"/>
        </w:rPr>
        <w:t>)</w:t>
      </w:r>
      <w:r w:rsidR="00A34337">
        <w:rPr>
          <w:rFonts w:ascii="Arial" w:hAnsi="Arial" w:cs="Arial"/>
          <w:sz w:val="22"/>
          <w:szCs w:val="22"/>
        </w:rPr>
        <w:t>.</w:t>
      </w:r>
      <w:r w:rsidR="00286AF7">
        <w:rPr>
          <w:rFonts w:ascii="Arial" w:hAnsi="Arial" w:cs="Arial"/>
          <w:sz w:val="22"/>
          <w:szCs w:val="22"/>
        </w:rPr>
        <w:t xml:space="preserve"> </w:t>
      </w:r>
      <w:r w:rsidR="00665CC1" w:rsidRPr="00FA4CAA">
        <w:rPr>
          <w:rFonts w:ascii="Arial" w:hAnsi="Arial" w:cs="Arial"/>
          <w:sz w:val="22"/>
          <w:szCs w:val="22"/>
        </w:rPr>
        <w:t xml:space="preserve">Horizontal bars represent 95% confidence intervals; points indicate </w:t>
      </w:r>
      <w:r w:rsidR="00665CC1">
        <w:rPr>
          <w:rFonts w:ascii="Arial" w:hAnsi="Arial" w:cs="Arial"/>
          <w:sz w:val="22"/>
          <w:szCs w:val="22"/>
        </w:rPr>
        <w:t>Hazard ratio</w:t>
      </w:r>
      <w:r w:rsidR="00665CC1" w:rsidRPr="00FA4CAA">
        <w:rPr>
          <w:rFonts w:ascii="Arial" w:hAnsi="Arial" w:cs="Arial"/>
          <w:sz w:val="22"/>
          <w:szCs w:val="22"/>
        </w:rPr>
        <w:t xml:space="preserve"> estimates</w:t>
      </w:r>
      <w:r w:rsidR="00665CC1">
        <w:rPr>
          <w:rFonts w:ascii="Arial" w:hAnsi="Arial" w:cs="Arial"/>
          <w:sz w:val="22"/>
          <w:szCs w:val="22"/>
        </w:rPr>
        <w:t>. Vertical line at Hazard ratio (HR)=1 represents no association. Kaplan-Meier survival curves stratified by risk group of the multivariable cox regression models for</w:t>
      </w:r>
      <w:r w:rsidR="00AD3262">
        <w:rPr>
          <w:rFonts w:ascii="Arial" w:hAnsi="Arial" w:cs="Arial"/>
          <w:sz w:val="22"/>
          <w:szCs w:val="22"/>
        </w:rPr>
        <w:t xml:space="preserve"> disease</w:t>
      </w:r>
      <w:r w:rsidR="00665CC1">
        <w:rPr>
          <w:rFonts w:ascii="Arial" w:hAnsi="Arial" w:cs="Arial"/>
          <w:sz w:val="22"/>
          <w:szCs w:val="22"/>
        </w:rPr>
        <w:t xml:space="preserve">-specific </w:t>
      </w:r>
      <w:r w:rsidR="00AD3262">
        <w:rPr>
          <w:rFonts w:ascii="Arial" w:hAnsi="Arial" w:cs="Arial"/>
          <w:sz w:val="22"/>
          <w:szCs w:val="22"/>
        </w:rPr>
        <w:t>survival</w:t>
      </w:r>
      <w:r w:rsidR="00665CC1">
        <w:rPr>
          <w:rFonts w:ascii="Arial" w:hAnsi="Arial" w:cs="Arial"/>
          <w:sz w:val="22"/>
          <w:szCs w:val="22"/>
        </w:rPr>
        <w:t xml:space="preserve"> </w:t>
      </w:r>
      <w:r w:rsidR="00665CC1" w:rsidRPr="006027AA">
        <w:rPr>
          <w:rFonts w:ascii="Arial" w:hAnsi="Arial" w:cs="Arial"/>
          <w:b/>
          <w:bCs/>
          <w:sz w:val="22"/>
          <w:szCs w:val="22"/>
        </w:rPr>
        <w:t>(</w:t>
      </w:r>
      <w:r w:rsidR="00665CC1">
        <w:rPr>
          <w:rFonts w:ascii="Arial" w:hAnsi="Arial" w:cs="Arial"/>
          <w:b/>
          <w:bCs/>
          <w:sz w:val="22"/>
          <w:szCs w:val="22"/>
        </w:rPr>
        <w:t>F</w:t>
      </w:r>
      <w:r w:rsidR="00665CC1" w:rsidRPr="006027AA">
        <w:rPr>
          <w:rFonts w:ascii="Arial" w:hAnsi="Arial" w:cs="Arial"/>
          <w:b/>
          <w:bCs/>
          <w:sz w:val="22"/>
          <w:szCs w:val="22"/>
        </w:rPr>
        <w:t>)</w:t>
      </w:r>
      <w:r w:rsidR="00665CC1">
        <w:rPr>
          <w:rFonts w:ascii="Arial" w:hAnsi="Arial" w:cs="Arial"/>
          <w:sz w:val="22"/>
          <w:szCs w:val="22"/>
        </w:rPr>
        <w:t xml:space="preserve"> and </w:t>
      </w:r>
      <w:r w:rsidR="00AD3262">
        <w:rPr>
          <w:rFonts w:ascii="Arial" w:hAnsi="Arial" w:cs="Arial"/>
          <w:sz w:val="22"/>
          <w:szCs w:val="22"/>
        </w:rPr>
        <w:t>progression</w:t>
      </w:r>
      <w:r w:rsidR="00665CC1">
        <w:rPr>
          <w:rFonts w:ascii="Arial" w:hAnsi="Arial" w:cs="Arial"/>
          <w:sz w:val="22"/>
          <w:szCs w:val="22"/>
        </w:rPr>
        <w:t xml:space="preserve"> </w:t>
      </w:r>
      <w:r w:rsidR="00665CC1" w:rsidRPr="006027AA">
        <w:rPr>
          <w:rFonts w:ascii="Arial" w:hAnsi="Arial" w:cs="Arial"/>
          <w:b/>
          <w:bCs/>
          <w:sz w:val="22"/>
          <w:szCs w:val="22"/>
        </w:rPr>
        <w:t>(H).</w:t>
      </w:r>
      <w:r w:rsidR="00665CC1">
        <w:rPr>
          <w:rFonts w:ascii="Arial" w:hAnsi="Arial" w:cs="Arial"/>
          <w:sz w:val="22"/>
          <w:szCs w:val="22"/>
        </w:rPr>
        <w:t xml:space="preserve"> The baseline is the lowest risk group, while the others contain the highest risk variables comparing high-risk GLUT1 vs low-low risk GLUT1.</w:t>
      </w:r>
      <w:r w:rsidR="00865143">
        <w:rPr>
          <w:rFonts w:ascii="Arial" w:hAnsi="Arial" w:cs="Arial"/>
          <w:sz w:val="22"/>
          <w:szCs w:val="22"/>
        </w:rPr>
        <w:t xml:space="preserve"> </w:t>
      </w:r>
      <w:r w:rsidR="00F16113">
        <w:rPr>
          <w:rFonts w:ascii="Arial" w:hAnsi="Arial" w:cs="Arial"/>
          <w:sz w:val="22"/>
          <w:szCs w:val="22"/>
        </w:rPr>
        <w:t>* p value &lt;0.05; ** p value &lt;0.01; **** p value &lt;0.0001; ns, non-significative.</w:t>
      </w:r>
      <w:r w:rsidR="00DE6F54">
        <w:rPr>
          <w:rFonts w:ascii="Arial" w:hAnsi="Arial" w:cs="Arial"/>
          <w:sz w:val="22"/>
          <w:szCs w:val="22"/>
        </w:rPr>
        <w:t xml:space="preserve"> NAC, neoadjuvant chemotherapy; TRG, tumor regression grade; HR, hazard ratio; </w:t>
      </w:r>
      <w:proofErr w:type="spellStart"/>
      <w:r w:rsidR="00DE6F54">
        <w:rPr>
          <w:rFonts w:ascii="Arial" w:hAnsi="Arial" w:cs="Arial"/>
          <w:sz w:val="22"/>
          <w:szCs w:val="22"/>
        </w:rPr>
        <w:t>LNmets</w:t>
      </w:r>
      <w:proofErr w:type="spellEnd"/>
      <w:r w:rsidR="00DE6F54">
        <w:rPr>
          <w:rFonts w:ascii="Arial" w:hAnsi="Arial" w:cs="Arial"/>
          <w:sz w:val="22"/>
          <w:szCs w:val="22"/>
        </w:rPr>
        <w:t>, lymph node metastasis; DFS, disease-free survival; PFS, progression-free survival.</w:t>
      </w:r>
    </w:p>
    <w:p w14:paraId="29EF3A7D" w14:textId="03614599" w:rsidR="00071F52" w:rsidRDefault="003173B2" w:rsidP="008D56C7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Sup. Fig. </w:t>
      </w:r>
      <w:r w:rsidR="00676528">
        <w:rPr>
          <w:rFonts w:ascii="Arial" w:hAnsi="Arial" w:cs="Arial"/>
          <w:b/>
          <w:bCs/>
          <w:i/>
          <w:iCs/>
          <w:sz w:val="22"/>
          <w:szCs w:val="22"/>
        </w:rPr>
        <w:t>4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. GLUT1 expression in recurrent urothelium carcinoma samples. </w:t>
      </w:r>
      <w:r w:rsidR="000C4AB7" w:rsidRPr="000C4AB7">
        <w:rPr>
          <w:rFonts w:ascii="Arial" w:hAnsi="Arial" w:cs="Arial"/>
          <w:sz w:val="22"/>
          <w:szCs w:val="22"/>
        </w:rPr>
        <w:t>A) Representative image</w:t>
      </w:r>
      <w:r w:rsidR="00362293">
        <w:rPr>
          <w:rFonts w:ascii="Arial" w:hAnsi="Arial" w:cs="Arial"/>
          <w:sz w:val="22"/>
          <w:szCs w:val="22"/>
        </w:rPr>
        <w:t>s</w:t>
      </w:r>
      <w:r w:rsidR="000C4AB7" w:rsidRPr="000C4AB7">
        <w:rPr>
          <w:rFonts w:ascii="Arial" w:hAnsi="Arial" w:cs="Arial"/>
          <w:sz w:val="22"/>
          <w:szCs w:val="22"/>
        </w:rPr>
        <w:t xml:space="preserve"> of GLUT1</w:t>
      </w:r>
      <w:r w:rsidR="00362293">
        <w:rPr>
          <w:rFonts w:ascii="Arial" w:hAnsi="Arial" w:cs="Arial"/>
          <w:sz w:val="22"/>
          <w:szCs w:val="22"/>
        </w:rPr>
        <w:t xml:space="preserve"> (ref)</w:t>
      </w:r>
      <w:r w:rsidR="000C4AB7" w:rsidRPr="000C4AB7">
        <w:rPr>
          <w:rFonts w:ascii="Arial" w:hAnsi="Arial" w:cs="Arial"/>
          <w:sz w:val="22"/>
          <w:szCs w:val="22"/>
        </w:rPr>
        <w:t xml:space="preserve"> and KDM3A</w:t>
      </w:r>
      <w:r w:rsidR="00362293">
        <w:rPr>
          <w:rFonts w:ascii="Arial" w:hAnsi="Arial" w:cs="Arial"/>
          <w:sz w:val="22"/>
          <w:szCs w:val="22"/>
        </w:rPr>
        <w:t xml:space="preserve"> (green)</w:t>
      </w:r>
      <w:r w:rsidR="000C4AB7" w:rsidRPr="000C4AB7">
        <w:rPr>
          <w:rFonts w:ascii="Arial" w:hAnsi="Arial" w:cs="Arial"/>
          <w:sz w:val="22"/>
          <w:szCs w:val="22"/>
        </w:rPr>
        <w:t xml:space="preserve"> immunofluorescence staining in primary</w:t>
      </w:r>
      <w:r w:rsidR="000C4AB7">
        <w:rPr>
          <w:rFonts w:ascii="Arial" w:hAnsi="Arial" w:cs="Arial"/>
          <w:sz w:val="22"/>
          <w:szCs w:val="22"/>
        </w:rPr>
        <w:t xml:space="preserve"> </w:t>
      </w:r>
      <w:r w:rsidR="000C4AB7" w:rsidRPr="000C4AB7">
        <w:rPr>
          <w:rFonts w:ascii="Arial" w:hAnsi="Arial" w:cs="Arial"/>
          <w:sz w:val="22"/>
          <w:szCs w:val="22"/>
        </w:rPr>
        <w:t>and recurrences of urothelium carcinomas (bladder and upper track tumor locations</w:t>
      </w:r>
      <w:r w:rsidR="00362293">
        <w:rPr>
          <w:rFonts w:ascii="Arial" w:hAnsi="Arial" w:cs="Arial"/>
          <w:sz w:val="22"/>
          <w:szCs w:val="22"/>
        </w:rPr>
        <w:t>)</w:t>
      </w:r>
      <w:r w:rsidR="000C4AB7" w:rsidRPr="000C4AB7">
        <w:rPr>
          <w:rFonts w:ascii="Arial" w:hAnsi="Arial" w:cs="Arial"/>
          <w:sz w:val="22"/>
          <w:szCs w:val="22"/>
        </w:rPr>
        <w:t>. Scale bar=50µm (20x magnification). Images were acquired using the scanner Panoramic 250</w:t>
      </w:r>
      <w:r w:rsidR="000C4AB7">
        <w:rPr>
          <w:rFonts w:ascii="Arial" w:hAnsi="Arial" w:cs="Arial"/>
          <w:sz w:val="22"/>
          <w:szCs w:val="22"/>
        </w:rPr>
        <w:t xml:space="preserve"> </w:t>
      </w:r>
      <w:r w:rsidR="000C4AB7" w:rsidRPr="000C4AB7">
        <w:rPr>
          <w:rFonts w:ascii="Arial" w:hAnsi="Arial" w:cs="Arial"/>
          <w:sz w:val="22"/>
          <w:szCs w:val="22"/>
        </w:rPr>
        <w:t>Flash II (3DHistech, Hungary).</w:t>
      </w:r>
      <w:r w:rsidR="008D56C7">
        <w:rPr>
          <w:rFonts w:ascii="Arial" w:hAnsi="Arial" w:cs="Arial"/>
          <w:sz w:val="22"/>
          <w:szCs w:val="22"/>
        </w:rPr>
        <w:t xml:space="preserve"> </w:t>
      </w:r>
      <w:r w:rsidR="008D56C7" w:rsidRPr="008D56C7">
        <w:rPr>
          <w:rFonts w:ascii="Arial" w:hAnsi="Arial" w:cs="Arial"/>
          <w:sz w:val="22"/>
          <w:szCs w:val="22"/>
        </w:rPr>
        <w:t>DAPI was used as a dye for nuclear DNA</w:t>
      </w:r>
      <w:r w:rsidR="008D56C7">
        <w:rPr>
          <w:rFonts w:ascii="Arial" w:hAnsi="Arial" w:cs="Arial"/>
          <w:sz w:val="22"/>
          <w:szCs w:val="22"/>
        </w:rPr>
        <w:t xml:space="preserve"> counter</w:t>
      </w:r>
      <w:r w:rsidR="008D56C7" w:rsidRPr="008D56C7">
        <w:rPr>
          <w:rFonts w:ascii="Arial" w:hAnsi="Arial" w:cs="Arial"/>
          <w:sz w:val="22"/>
          <w:szCs w:val="22"/>
        </w:rPr>
        <w:t>staining</w:t>
      </w:r>
      <w:r w:rsidR="00224561">
        <w:rPr>
          <w:rFonts w:ascii="Arial" w:hAnsi="Arial" w:cs="Arial"/>
          <w:sz w:val="22"/>
          <w:szCs w:val="22"/>
        </w:rPr>
        <w:t xml:space="preserve"> (blue)</w:t>
      </w:r>
      <w:r w:rsidR="008D56C7" w:rsidRPr="008D56C7">
        <w:rPr>
          <w:rFonts w:ascii="Arial" w:hAnsi="Arial" w:cs="Arial"/>
          <w:sz w:val="22"/>
          <w:szCs w:val="22"/>
        </w:rPr>
        <w:t>.</w:t>
      </w:r>
      <w:r w:rsidR="00822957">
        <w:rPr>
          <w:rFonts w:ascii="Arial" w:hAnsi="Arial" w:cs="Arial"/>
          <w:sz w:val="22"/>
          <w:szCs w:val="22"/>
        </w:rPr>
        <w:t xml:space="preserve"> </w:t>
      </w:r>
      <w:r w:rsidR="00822957" w:rsidRPr="001204DC">
        <w:rPr>
          <w:rFonts w:ascii="Arial" w:hAnsi="Arial" w:cs="Arial"/>
          <w:b/>
          <w:bCs/>
          <w:sz w:val="22"/>
          <w:szCs w:val="22"/>
        </w:rPr>
        <w:t>B)</w:t>
      </w:r>
      <w:r w:rsidR="00822957">
        <w:rPr>
          <w:rFonts w:ascii="Arial" w:hAnsi="Arial" w:cs="Arial"/>
          <w:sz w:val="22"/>
          <w:szCs w:val="22"/>
        </w:rPr>
        <w:t xml:space="preserve"> </w:t>
      </w:r>
      <w:r w:rsidR="00822957" w:rsidRPr="0021349E">
        <w:rPr>
          <w:rFonts w:ascii="Arial" w:hAnsi="Arial" w:cs="Arial"/>
          <w:sz w:val="22"/>
          <w:szCs w:val="22"/>
        </w:rPr>
        <w:t xml:space="preserve">% of GLUT1 positive staining cells in </w:t>
      </w:r>
      <w:r w:rsidR="00822957">
        <w:rPr>
          <w:rFonts w:ascii="Arial" w:hAnsi="Arial" w:cs="Arial"/>
          <w:sz w:val="22"/>
          <w:szCs w:val="22"/>
        </w:rPr>
        <w:t xml:space="preserve">primary </w:t>
      </w:r>
      <w:r w:rsidR="001A0120">
        <w:rPr>
          <w:rFonts w:ascii="Arial" w:hAnsi="Arial" w:cs="Arial"/>
          <w:sz w:val="22"/>
          <w:szCs w:val="22"/>
        </w:rPr>
        <w:t xml:space="preserve">no recurrent and recurrent </w:t>
      </w:r>
      <w:r w:rsidR="001204DC">
        <w:rPr>
          <w:rFonts w:ascii="Arial" w:hAnsi="Arial" w:cs="Arial"/>
          <w:sz w:val="22"/>
          <w:szCs w:val="22"/>
        </w:rPr>
        <w:t>upper track</w:t>
      </w:r>
      <w:r w:rsidR="001A0120">
        <w:rPr>
          <w:rFonts w:ascii="Arial" w:hAnsi="Arial" w:cs="Arial"/>
          <w:sz w:val="22"/>
          <w:szCs w:val="22"/>
        </w:rPr>
        <w:t xml:space="preserve"> urothelium carcinoma and in the respective</w:t>
      </w:r>
      <w:r w:rsidR="001204DC">
        <w:rPr>
          <w:rFonts w:ascii="Arial" w:hAnsi="Arial" w:cs="Arial"/>
          <w:sz w:val="22"/>
          <w:szCs w:val="22"/>
        </w:rPr>
        <w:t xml:space="preserve"> metachronous</w:t>
      </w:r>
      <w:r w:rsidR="001A0120">
        <w:rPr>
          <w:rFonts w:ascii="Arial" w:hAnsi="Arial" w:cs="Arial"/>
          <w:sz w:val="22"/>
          <w:szCs w:val="22"/>
        </w:rPr>
        <w:t xml:space="preserve"> bladder cancer metastasis</w:t>
      </w:r>
      <w:r w:rsidR="001204DC">
        <w:rPr>
          <w:rFonts w:ascii="Arial" w:hAnsi="Arial" w:cs="Arial"/>
          <w:sz w:val="22"/>
          <w:szCs w:val="22"/>
        </w:rPr>
        <w:t xml:space="preserve">. C) </w:t>
      </w:r>
      <w:r w:rsidR="001204DC" w:rsidRPr="0021349E">
        <w:rPr>
          <w:rFonts w:ascii="Arial" w:hAnsi="Arial" w:cs="Arial"/>
          <w:sz w:val="22"/>
          <w:szCs w:val="22"/>
        </w:rPr>
        <w:t xml:space="preserve">% of GLUT1 positive staining cells in </w:t>
      </w:r>
      <w:r w:rsidR="001204DC">
        <w:rPr>
          <w:rFonts w:ascii="Arial" w:hAnsi="Arial" w:cs="Arial"/>
          <w:sz w:val="22"/>
          <w:szCs w:val="22"/>
        </w:rPr>
        <w:t xml:space="preserve">primary no recurrent and recurrent bladder cancer and in the respective metachronous upper track metastasis. BC, bladder cancer; UTUC, upper track urothelial carcinoma; </w:t>
      </w:r>
      <w:r w:rsidR="007E6B2E">
        <w:rPr>
          <w:rFonts w:ascii="Arial" w:hAnsi="Arial" w:cs="Arial"/>
          <w:sz w:val="22"/>
          <w:szCs w:val="22"/>
        </w:rPr>
        <w:t xml:space="preserve">***, p value &lt;0.001; **** p value &lt; 0.0001; ns, non-significative. </w:t>
      </w:r>
    </w:p>
    <w:p w14:paraId="4526798B" w14:textId="6819483F" w:rsidR="00676528" w:rsidRPr="00852636" w:rsidRDefault="00676528" w:rsidP="0067652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Sup. </w:t>
      </w:r>
      <w:r w:rsidRPr="00CF479D">
        <w:rPr>
          <w:rFonts w:ascii="Arial" w:hAnsi="Arial" w:cs="Arial"/>
          <w:b/>
          <w:bCs/>
          <w:i/>
          <w:iCs/>
          <w:sz w:val="22"/>
          <w:szCs w:val="22"/>
        </w:rPr>
        <w:t>Fig</w:t>
      </w:r>
      <w:r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Pr="00CF479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  <w:szCs w:val="22"/>
        </w:rPr>
        <w:t>5</w:t>
      </w:r>
      <w:r w:rsidRPr="00CF479D">
        <w:rPr>
          <w:rFonts w:ascii="Arial" w:hAnsi="Arial" w:cs="Arial"/>
          <w:b/>
          <w:bCs/>
          <w:i/>
          <w:iCs/>
          <w:sz w:val="22"/>
          <w:szCs w:val="22"/>
        </w:rPr>
        <w:t>. Spatial</w:t>
      </w: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transcriptomics quality control (QC</w:t>
      </w:r>
      <w:r w:rsidRPr="006C53AB">
        <w:rPr>
          <w:rFonts w:ascii="Arial" w:hAnsi="Arial" w:cs="Arial"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</w:t>
      </w:r>
      <w:r w:rsidRPr="00AA0F1D">
        <w:rPr>
          <w:rFonts w:ascii="Arial" w:hAnsi="Arial" w:cs="Arial"/>
          <w:b/>
          <w:bCs/>
          <w:sz w:val="22"/>
          <w:szCs w:val="22"/>
        </w:rPr>
        <w:t>A)</w:t>
      </w:r>
      <w:r w:rsidRPr="006C53AB">
        <w:rPr>
          <w:rFonts w:ascii="Arial" w:hAnsi="Arial" w:cs="Arial"/>
          <w:sz w:val="22"/>
          <w:szCs w:val="22"/>
        </w:rPr>
        <w:t xml:space="preserve"> QC scatterplot for spatial transcriptomics</w:t>
      </w:r>
      <w:r>
        <w:rPr>
          <w:rFonts w:ascii="Arial" w:hAnsi="Arial" w:cs="Arial"/>
          <w:sz w:val="22"/>
          <w:szCs w:val="22"/>
        </w:rPr>
        <w:t xml:space="preserve">, </w:t>
      </w:r>
      <w:r w:rsidRPr="00855D1B">
        <w:rPr>
          <w:rFonts w:ascii="Arial" w:hAnsi="Arial" w:cs="Arial"/>
          <w:sz w:val="22"/>
          <w:szCs w:val="22"/>
        </w:rPr>
        <w:t xml:space="preserve">plotting total counts vs. detected </w:t>
      </w:r>
      <w:r>
        <w:rPr>
          <w:rFonts w:ascii="Arial" w:hAnsi="Arial" w:cs="Arial"/>
          <w:sz w:val="22"/>
          <w:szCs w:val="22"/>
        </w:rPr>
        <w:t xml:space="preserve">spatial </w:t>
      </w:r>
      <w:r w:rsidRPr="00855D1B">
        <w:rPr>
          <w:rFonts w:ascii="Arial" w:hAnsi="Arial" w:cs="Arial"/>
          <w:sz w:val="22"/>
          <w:szCs w:val="22"/>
        </w:rPr>
        <w:t>features with density contours.</w:t>
      </w:r>
      <w:r w:rsidRPr="00A46FE5">
        <w:t xml:space="preserve"> </w:t>
      </w:r>
      <w:r w:rsidRPr="00A46FE5">
        <w:rPr>
          <w:rFonts w:ascii="Arial" w:hAnsi="Arial" w:cs="Arial"/>
          <w:sz w:val="22"/>
          <w:szCs w:val="22"/>
        </w:rPr>
        <w:t>Color gradient indicates spot density</w:t>
      </w:r>
      <w:r>
        <w:rPr>
          <w:rFonts w:ascii="Arial" w:hAnsi="Arial" w:cs="Arial"/>
          <w:sz w:val="22"/>
          <w:szCs w:val="22"/>
        </w:rPr>
        <w:t xml:space="preserve">. </w:t>
      </w:r>
      <w:r w:rsidRPr="004931D1">
        <w:rPr>
          <w:rFonts w:ascii="Arial" w:hAnsi="Arial" w:cs="Arial"/>
          <w:b/>
          <w:bCs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Pr="00AA0F1D">
        <w:rPr>
          <w:rFonts w:ascii="Arial" w:hAnsi="Arial" w:cs="Arial"/>
          <w:sz w:val="22"/>
          <w:szCs w:val="22"/>
        </w:rPr>
        <w:t>t-Distributed Stochastic Neighbor Embedding</w:t>
      </w:r>
      <w:r>
        <w:rPr>
          <w:rFonts w:ascii="Arial" w:hAnsi="Arial" w:cs="Arial"/>
          <w:sz w:val="22"/>
          <w:szCs w:val="22"/>
        </w:rPr>
        <w:t xml:space="preserve"> showing the </w:t>
      </w:r>
      <w:r>
        <w:rPr>
          <w:rFonts w:ascii="Arial" w:hAnsi="Arial" w:cs="Arial"/>
          <w:sz w:val="22"/>
          <w:szCs w:val="22"/>
        </w:rPr>
        <w:lastRenderedPageBreak/>
        <w:t xml:space="preserve">distribution of the transcriptomic data of each experimental condition ((tissue, untreated, </w:t>
      </w:r>
      <w:r w:rsidR="00CE1773">
        <w:rPr>
          <w:rFonts w:ascii="Arial" w:hAnsi="Arial" w:cs="Arial"/>
          <w:sz w:val="22"/>
          <w:szCs w:val="22"/>
        </w:rPr>
        <w:t>CDDP+GEM</w:t>
      </w:r>
      <w:r>
        <w:rPr>
          <w:rFonts w:ascii="Arial" w:hAnsi="Arial" w:cs="Arial"/>
          <w:sz w:val="22"/>
          <w:szCs w:val="22"/>
        </w:rPr>
        <w:t xml:space="preserve"> and experimental). </w:t>
      </w:r>
      <w:r w:rsidRPr="004931D1">
        <w:rPr>
          <w:rFonts w:ascii="Arial" w:hAnsi="Arial" w:cs="Arial"/>
          <w:b/>
          <w:bCs/>
          <w:sz w:val="22"/>
          <w:szCs w:val="22"/>
        </w:rPr>
        <w:t xml:space="preserve">C) </w:t>
      </w:r>
      <w:r w:rsidRPr="009B23BC">
        <w:rPr>
          <w:rFonts w:ascii="Arial" w:hAnsi="Arial" w:cs="Arial"/>
          <w:sz w:val="22"/>
          <w:szCs w:val="22"/>
        </w:rPr>
        <w:t>Silhouette plot evaluating clustering resolution.</w:t>
      </w:r>
      <w:r>
        <w:rPr>
          <w:rFonts w:ascii="Arial" w:hAnsi="Arial" w:cs="Arial"/>
          <w:sz w:val="22"/>
          <w:szCs w:val="22"/>
        </w:rPr>
        <w:t xml:space="preserve"> </w:t>
      </w:r>
      <w:r w:rsidRPr="004931D1">
        <w:rPr>
          <w:rFonts w:ascii="Arial" w:hAnsi="Arial" w:cs="Arial"/>
          <w:sz w:val="22"/>
          <w:szCs w:val="22"/>
        </w:rPr>
        <w:t>(optimal at 0.4, dashed line)</w:t>
      </w:r>
      <w:r>
        <w:rPr>
          <w:rFonts w:ascii="Arial" w:hAnsi="Arial" w:cs="Arial"/>
          <w:sz w:val="22"/>
          <w:szCs w:val="22"/>
        </w:rPr>
        <w:t xml:space="preserve">. </w:t>
      </w:r>
      <w:r w:rsidRPr="00757A9B">
        <w:rPr>
          <w:rFonts w:ascii="Arial" w:hAnsi="Arial" w:cs="Arial"/>
          <w:b/>
          <w:bCs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 xml:space="preserve">  P</w:t>
      </w:r>
      <w:r w:rsidRPr="00757A9B">
        <w:rPr>
          <w:rFonts w:ascii="Arial" w:hAnsi="Arial" w:cs="Arial"/>
          <w:sz w:val="22"/>
          <w:szCs w:val="22"/>
        </w:rPr>
        <w:t>er-sample silhouette distributions across tested resolutions</w:t>
      </w:r>
      <w:r>
        <w:rPr>
          <w:rFonts w:ascii="Arial" w:hAnsi="Arial" w:cs="Arial"/>
          <w:sz w:val="22"/>
          <w:szCs w:val="22"/>
        </w:rPr>
        <w:t xml:space="preserve">. The light blue rectangle highlights the optimal resolution. </w:t>
      </w:r>
      <w:r w:rsidR="00CE1773">
        <w:rPr>
          <w:rFonts w:ascii="Arial" w:hAnsi="Arial" w:cs="Arial"/>
          <w:sz w:val="22"/>
          <w:szCs w:val="22"/>
        </w:rPr>
        <w:t xml:space="preserve">CDPP+GEM, </w:t>
      </w:r>
      <w:proofErr w:type="spellStart"/>
      <w:r w:rsidR="00CE1773">
        <w:rPr>
          <w:rFonts w:ascii="Arial" w:hAnsi="Arial" w:cs="Arial"/>
          <w:sz w:val="22"/>
          <w:szCs w:val="22"/>
        </w:rPr>
        <w:t>Cisplatin+Gemcitabine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56CA0E9E" w14:textId="77777777" w:rsidR="00676528" w:rsidRDefault="00676528" w:rsidP="008D56C7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8D18833" w14:textId="2CAEB56C" w:rsidR="00190228" w:rsidRDefault="00190228" w:rsidP="00A8509F"/>
    <w:sectPr w:rsidR="00190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9F"/>
    <w:rsid w:val="00013701"/>
    <w:rsid w:val="00027923"/>
    <w:rsid w:val="00052BA0"/>
    <w:rsid w:val="00057C14"/>
    <w:rsid w:val="00071F52"/>
    <w:rsid w:val="00074128"/>
    <w:rsid w:val="00081B04"/>
    <w:rsid w:val="00082DA1"/>
    <w:rsid w:val="000856B3"/>
    <w:rsid w:val="000C4AB7"/>
    <w:rsid w:val="000F42F8"/>
    <w:rsid w:val="001164CA"/>
    <w:rsid w:val="001204DC"/>
    <w:rsid w:val="00142497"/>
    <w:rsid w:val="00190228"/>
    <w:rsid w:val="001A0120"/>
    <w:rsid w:val="001B07D3"/>
    <w:rsid w:val="001C731E"/>
    <w:rsid w:val="001D620E"/>
    <w:rsid w:val="001E75DE"/>
    <w:rsid w:val="00205E7A"/>
    <w:rsid w:val="00215EDD"/>
    <w:rsid w:val="00220623"/>
    <w:rsid w:val="00224561"/>
    <w:rsid w:val="00256547"/>
    <w:rsid w:val="002615CA"/>
    <w:rsid w:val="00262B36"/>
    <w:rsid w:val="00286AF7"/>
    <w:rsid w:val="0029067D"/>
    <w:rsid w:val="002B2069"/>
    <w:rsid w:val="003173B2"/>
    <w:rsid w:val="00362293"/>
    <w:rsid w:val="00365871"/>
    <w:rsid w:val="00371FE1"/>
    <w:rsid w:val="0037220C"/>
    <w:rsid w:val="003D77ED"/>
    <w:rsid w:val="0041354B"/>
    <w:rsid w:val="00427371"/>
    <w:rsid w:val="004302CE"/>
    <w:rsid w:val="00467499"/>
    <w:rsid w:val="00480D4E"/>
    <w:rsid w:val="00485FE1"/>
    <w:rsid w:val="0049033F"/>
    <w:rsid w:val="004931D1"/>
    <w:rsid w:val="004C5FB7"/>
    <w:rsid w:val="004D125A"/>
    <w:rsid w:val="004E360C"/>
    <w:rsid w:val="004E75BE"/>
    <w:rsid w:val="004E7CAF"/>
    <w:rsid w:val="004F2306"/>
    <w:rsid w:val="005145D1"/>
    <w:rsid w:val="00534768"/>
    <w:rsid w:val="0054453C"/>
    <w:rsid w:val="00584D57"/>
    <w:rsid w:val="0058680E"/>
    <w:rsid w:val="0059185B"/>
    <w:rsid w:val="005A173C"/>
    <w:rsid w:val="005A4D0E"/>
    <w:rsid w:val="005A7743"/>
    <w:rsid w:val="005B4863"/>
    <w:rsid w:val="005C7A57"/>
    <w:rsid w:val="005E376B"/>
    <w:rsid w:val="0061767F"/>
    <w:rsid w:val="006264D3"/>
    <w:rsid w:val="00631582"/>
    <w:rsid w:val="00665CC1"/>
    <w:rsid w:val="00676528"/>
    <w:rsid w:val="006A0FFA"/>
    <w:rsid w:val="006A4175"/>
    <w:rsid w:val="006C53AB"/>
    <w:rsid w:val="006D0E77"/>
    <w:rsid w:val="006D68BA"/>
    <w:rsid w:val="006E6B47"/>
    <w:rsid w:val="006F2041"/>
    <w:rsid w:val="00704A00"/>
    <w:rsid w:val="007106D7"/>
    <w:rsid w:val="007155BC"/>
    <w:rsid w:val="00717F63"/>
    <w:rsid w:val="0072680F"/>
    <w:rsid w:val="00757A9B"/>
    <w:rsid w:val="0076215E"/>
    <w:rsid w:val="00786390"/>
    <w:rsid w:val="00791287"/>
    <w:rsid w:val="007C5B1C"/>
    <w:rsid w:val="007E6B2E"/>
    <w:rsid w:val="007E6F68"/>
    <w:rsid w:val="007F4CC0"/>
    <w:rsid w:val="00800148"/>
    <w:rsid w:val="008134AC"/>
    <w:rsid w:val="00822957"/>
    <w:rsid w:val="008335A8"/>
    <w:rsid w:val="00852636"/>
    <w:rsid w:val="00855D1B"/>
    <w:rsid w:val="008608B4"/>
    <w:rsid w:val="00865143"/>
    <w:rsid w:val="008B4882"/>
    <w:rsid w:val="008C4F7E"/>
    <w:rsid w:val="008C6A41"/>
    <w:rsid w:val="008D1634"/>
    <w:rsid w:val="008D2FF8"/>
    <w:rsid w:val="008D3B4E"/>
    <w:rsid w:val="008D56C7"/>
    <w:rsid w:val="00907D83"/>
    <w:rsid w:val="009416A2"/>
    <w:rsid w:val="009475AC"/>
    <w:rsid w:val="0096030D"/>
    <w:rsid w:val="009664B2"/>
    <w:rsid w:val="00976FB1"/>
    <w:rsid w:val="00986DC3"/>
    <w:rsid w:val="00987BD3"/>
    <w:rsid w:val="00996698"/>
    <w:rsid w:val="009A1E69"/>
    <w:rsid w:val="009B23BC"/>
    <w:rsid w:val="009B6715"/>
    <w:rsid w:val="009C1964"/>
    <w:rsid w:val="009F23FD"/>
    <w:rsid w:val="00A34337"/>
    <w:rsid w:val="00A3747C"/>
    <w:rsid w:val="00A4537A"/>
    <w:rsid w:val="00A46FE5"/>
    <w:rsid w:val="00A55AA2"/>
    <w:rsid w:val="00A72C07"/>
    <w:rsid w:val="00A8509F"/>
    <w:rsid w:val="00AA0F1D"/>
    <w:rsid w:val="00AA1B64"/>
    <w:rsid w:val="00AB0BFA"/>
    <w:rsid w:val="00AD3262"/>
    <w:rsid w:val="00AE13DB"/>
    <w:rsid w:val="00AE3D1A"/>
    <w:rsid w:val="00AE6972"/>
    <w:rsid w:val="00B138FD"/>
    <w:rsid w:val="00B14A25"/>
    <w:rsid w:val="00B17A3F"/>
    <w:rsid w:val="00B32F19"/>
    <w:rsid w:val="00B476CC"/>
    <w:rsid w:val="00B6190E"/>
    <w:rsid w:val="00B67877"/>
    <w:rsid w:val="00B70631"/>
    <w:rsid w:val="00B803F2"/>
    <w:rsid w:val="00B91C5A"/>
    <w:rsid w:val="00B9772E"/>
    <w:rsid w:val="00BA3863"/>
    <w:rsid w:val="00BE5E83"/>
    <w:rsid w:val="00C0595C"/>
    <w:rsid w:val="00C075FB"/>
    <w:rsid w:val="00C07A7E"/>
    <w:rsid w:val="00C45721"/>
    <w:rsid w:val="00C61DAA"/>
    <w:rsid w:val="00C7015C"/>
    <w:rsid w:val="00C70357"/>
    <w:rsid w:val="00C954BB"/>
    <w:rsid w:val="00CA6E43"/>
    <w:rsid w:val="00CE1773"/>
    <w:rsid w:val="00D06BC5"/>
    <w:rsid w:val="00D7734C"/>
    <w:rsid w:val="00DA6E4D"/>
    <w:rsid w:val="00DC266A"/>
    <w:rsid w:val="00DC2977"/>
    <w:rsid w:val="00DC7730"/>
    <w:rsid w:val="00DE52EE"/>
    <w:rsid w:val="00DE6F54"/>
    <w:rsid w:val="00DF5115"/>
    <w:rsid w:val="00E0412D"/>
    <w:rsid w:val="00E10819"/>
    <w:rsid w:val="00E24A1F"/>
    <w:rsid w:val="00E30790"/>
    <w:rsid w:val="00E6197B"/>
    <w:rsid w:val="00E87019"/>
    <w:rsid w:val="00ED0B02"/>
    <w:rsid w:val="00ED73DD"/>
    <w:rsid w:val="00F06288"/>
    <w:rsid w:val="00F14608"/>
    <w:rsid w:val="00F16113"/>
    <w:rsid w:val="00F54771"/>
    <w:rsid w:val="00F63662"/>
    <w:rsid w:val="00F82698"/>
    <w:rsid w:val="00F92068"/>
    <w:rsid w:val="00F97A45"/>
    <w:rsid w:val="00FC7FEB"/>
    <w:rsid w:val="00FE02CB"/>
    <w:rsid w:val="00FE62A8"/>
    <w:rsid w:val="00FE6E1C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72F4F7"/>
  <w15:chartTrackingRefBased/>
  <w15:docId w15:val="{284269FD-84F3-EE43-8F87-C669324E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09F"/>
  </w:style>
  <w:style w:type="paragraph" w:styleId="Heading1">
    <w:name w:val="heading 1"/>
    <w:basedOn w:val="Normal"/>
    <w:next w:val="Normal"/>
    <w:link w:val="Heading1Char"/>
    <w:uiPriority w:val="9"/>
    <w:qFormat/>
    <w:rsid w:val="00A85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0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0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0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0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0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0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0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0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0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0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09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62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B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2B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B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B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713</Words>
  <Characters>4069</Characters>
  <Application>Microsoft Office Word</Application>
  <DocSecurity>0</DocSecurity>
  <Lines>33</Lines>
  <Paragraphs>9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Catarina, Da Silva Macedo (DBMR)</dc:creator>
  <cp:keywords/>
  <dc:description/>
  <cp:lastModifiedBy>Catarina, Da Silva Macedo (DBMR)</cp:lastModifiedBy>
  <cp:revision>63</cp:revision>
  <dcterms:created xsi:type="dcterms:W3CDTF">2026-03-08T20:03:00Z</dcterms:created>
  <dcterms:modified xsi:type="dcterms:W3CDTF">2026-05-08T07:23:00Z</dcterms:modified>
</cp:coreProperties>
</file>