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6A86" w14:textId="77777777" w:rsidR="00254FE4" w:rsidRPr="00A744D5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248F50" w14:textId="77777777" w:rsidR="00254FE4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BC1C5E0" wp14:editId="23D0C90A">
            <wp:extent cx="5274310" cy="1871980"/>
            <wp:effectExtent l="0" t="0" r="2540" b="0"/>
            <wp:docPr id="20567059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DAD5" w14:textId="77777777" w:rsidR="00254FE4" w:rsidRPr="00DE324E" w:rsidRDefault="00254FE4" w:rsidP="00254F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29BE">
        <w:rPr>
          <w:rFonts w:ascii="Arial" w:hAnsi="Arial" w:cs="Arial" w:hint="eastAsia"/>
          <w:b/>
          <w:bCs/>
          <w:sz w:val="20"/>
          <w:szCs w:val="20"/>
        </w:rPr>
        <w:t>Figure S1. Validation of the OPLS-DA model for fecal metabolomic analysis.</w:t>
      </w:r>
    </w:p>
    <w:p w14:paraId="16CA1771" w14:textId="77777777" w:rsidR="00254FE4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29BE">
        <w:rPr>
          <w:rFonts w:ascii="Arial" w:hAnsi="Arial" w:cs="Arial" w:hint="eastAsia"/>
          <w:sz w:val="20"/>
          <w:szCs w:val="20"/>
        </w:rPr>
        <w:t>(A) S-plot derived from the OPLS-DA model showing metabolites contributing to discrimination between control and PCOS groups;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5929BE">
        <w:rPr>
          <w:rFonts w:ascii="Arial" w:hAnsi="Arial" w:cs="Arial" w:hint="eastAsia"/>
          <w:sz w:val="20"/>
          <w:szCs w:val="20"/>
        </w:rPr>
        <w:t>(B) Permutation test assessing the robustness of the OPLS-DA model.</w:t>
      </w:r>
    </w:p>
    <w:p w14:paraId="61F1F97B" w14:textId="77777777" w:rsidR="00254FE4" w:rsidRPr="005929BE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BBD53FC" wp14:editId="494BABBC">
            <wp:extent cx="5274310" cy="4860290"/>
            <wp:effectExtent l="0" t="0" r="2540" b="0"/>
            <wp:docPr id="18744183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CBCB3" w14:textId="77777777" w:rsidR="00254FE4" w:rsidRPr="00A744D5" w:rsidRDefault="00254FE4" w:rsidP="00254F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44D5">
        <w:rPr>
          <w:rFonts w:ascii="Arial" w:hAnsi="Arial" w:cs="Arial"/>
          <w:b/>
          <w:bCs/>
          <w:sz w:val="20"/>
          <w:szCs w:val="20"/>
        </w:rPr>
        <w:t>Figure S2. Metabolic phenotypes induced by high-fat diet</w:t>
      </w:r>
    </w:p>
    <w:p w14:paraId="6CDFF0C6" w14:textId="77777777" w:rsidR="00254FE4" w:rsidRPr="00A744D5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44D5">
        <w:rPr>
          <w:rFonts w:ascii="Arial" w:hAnsi="Arial" w:cs="Arial"/>
          <w:sz w:val="20"/>
          <w:szCs w:val="20"/>
        </w:rPr>
        <w:lastRenderedPageBreak/>
        <w:t>(A) Representative vaginal smear images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(B) Body weight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(C) Inguinal fat mass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(D) Fat-to-body weight ratio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(E) Adipocyte morphology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(F) Representative Oil Red O staining.</w:t>
      </w:r>
    </w:p>
    <w:p w14:paraId="6624BC49" w14:textId="77777777" w:rsidR="00254FE4" w:rsidRPr="00A744D5" w:rsidRDefault="00254FE4" w:rsidP="00254F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708262F" wp14:editId="0EADBF94">
            <wp:extent cx="5274310" cy="3186430"/>
            <wp:effectExtent l="0" t="0" r="2540" b="0"/>
            <wp:docPr id="127639676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4D5">
        <w:rPr>
          <w:rFonts w:ascii="Arial" w:hAnsi="Arial" w:cs="Arial"/>
          <w:b/>
          <w:bCs/>
          <w:sz w:val="20"/>
          <w:szCs w:val="20"/>
        </w:rPr>
        <w:t>Figure S3. Supplementary analysis following IAA treatment and validation of AHR knockdown</w:t>
      </w:r>
    </w:p>
    <w:p w14:paraId="2A582D23" w14:textId="77777777" w:rsidR="00254FE4" w:rsidRPr="00A744D5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44D5">
        <w:rPr>
          <w:rFonts w:ascii="Arial" w:hAnsi="Arial" w:cs="Arial"/>
          <w:sz w:val="20"/>
          <w:szCs w:val="20"/>
        </w:rPr>
        <w:t>(A) Cell viability of granulosa cells assessed by CCK8 assay under IAA treatment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(B) Supplementary pathway enrichment analysis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(C) Heatmap of apoptosis-related genes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(D) Gene set enrichment analysis (GSEA) of apoptosis-related pathways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A744D5">
        <w:rPr>
          <w:rFonts w:ascii="Arial" w:hAnsi="Arial" w:cs="Arial"/>
          <w:sz w:val="20"/>
          <w:szCs w:val="20"/>
        </w:rPr>
        <w:t>(E) Validation of AHR knockdown efficiency.</w:t>
      </w:r>
    </w:p>
    <w:p w14:paraId="13C871C8" w14:textId="77777777" w:rsidR="00254FE4" w:rsidRPr="00AA4A9A" w:rsidRDefault="00254FE4" w:rsidP="00254F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5AB716" w14:textId="77777777" w:rsidR="00C6465A" w:rsidRDefault="00C6465A"/>
    <w:sectPr w:rsidR="00C6465A" w:rsidSect="0025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4"/>
    <w:rsid w:val="000905F0"/>
    <w:rsid w:val="00112C91"/>
    <w:rsid w:val="00242B4F"/>
    <w:rsid w:val="00254FE4"/>
    <w:rsid w:val="00302F9E"/>
    <w:rsid w:val="004E23CF"/>
    <w:rsid w:val="006D5216"/>
    <w:rsid w:val="00A80498"/>
    <w:rsid w:val="00BB3839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1167"/>
  <w15:chartTrackingRefBased/>
  <w15:docId w15:val="{3A190DC3-F526-48C1-A95F-0622E7F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E4"/>
    <w:pPr>
      <w:widowControl w:val="0"/>
    </w:pPr>
    <w:rPr>
      <w:rFonts w:eastAsiaTheme="minorEastAsia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FE4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FE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FE4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FE4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FE4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FE4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FE4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FE4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FE4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FE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5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FE4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5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FE4"/>
    <w:pPr>
      <w:widowControl/>
      <w:spacing w:before="160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254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FE4"/>
    <w:pPr>
      <w:widowControl/>
      <w:ind w:left="720"/>
      <w:contextualSpacing/>
    </w:pPr>
    <w:rPr>
      <w:rFonts w:eastAsia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254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F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757</Characters>
  <Application>Microsoft Office Word</Application>
  <DocSecurity>0</DocSecurity>
  <Lines>14</Lines>
  <Paragraphs>7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2026-07-15T20:01:00Z</dcterms:created>
  <dcterms:modified xsi:type="dcterms:W3CDTF">2026-07-15T20:02:00Z</dcterms:modified>
</cp:coreProperties>
</file>