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4A143" w14:textId="3ABFDDD1" w:rsidR="005B11D4" w:rsidRPr="003E253E" w:rsidRDefault="00F07C99" w:rsidP="003E253E">
      <w:pPr>
        <w:rPr>
          <w:rFonts w:ascii="Times New Roman" w:hAnsi="Times New Roman" w:cs="Times New Roman"/>
          <w:b/>
          <w:bCs/>
          <w:sz w:val="22"/>
          <w:szCs w:val="22"/>
          <w:lang w:val="en-US"/>
        </w:rPr>
      </w:pPr>
      <w:r w:rsidRPr="003E253E">
        <w:rPr>
          <w:rFonts w:ascii="Times New Roman" w:hAnsi="Times New Roman" w:cs="Times New Roman"/>
          <w:b/>
          <w:bCs/>
          <w:sz w:val="22"/>
          <w:szCs w:val="22"/>
          <w:lang w:val="en-US"/>
        </w:rPr>
        <w:t>Supplementary Information</w:t>
      </w:r>
    </w:p>
    <w:p w14:paraId="3B0DE945" w14:textId="77777777" w:rsidR="00F07C99" w:rsidRPr="00F07C99" w:rsidRDefault="00F07C99" w:rsidP="00F07C99">
      <w:pPr>
        <w:rPr>
          <w:rFonts w:ascii="Times New Roman" w:hAnsi="Times New Roman" w:cs="Times New Roman"/>
          <w:b/>
          <w:bCs/>
          <w:sz w:val="20"/>
          <w:szCs w:val="20"/>
          <w:lang w:val="en-US"/>
        </w:rPr>
      </w:pPr>
      <w:r w:rsidRPr="00F07C99">
        <w:rPr>
          <w:rFonts w:ascii="Times New Roman" w:hAnsi="Times New Roman" w:cs="Times New Roman"/>
          <w:b/>
          <w:bCs/>
          <w:sz w:val="20"/>
          <w:szCs w:val="20"/>
          <w:lang w:val="en-US"/>
        </w:rPr>
        <w:t>Supplementary Methods S1. Detailed water sampling procedures</w:t>
      </w:r>
    </w:p>
    <w:p w14:paraId="1FBAC50D" w14:textId="77777777" w:rsidR="00F07C99" w:rsidRPr="00F07C99" w:rsidRDefault="00F07C99" w:rsidP="00F07C99">
      <w:pPr>
        <w:rPr>
          <w:rFonts w:ascii="Times New Roman" w:hAnsi="Times New Roman" w:cs="Times New Roman"/>
          <w:sz w:val="20"/>
          <w:szCs w:val="20"/>
          <w:lang w:val="en-US"/>
        </w:rPr>
      </w:pPr>
      <w:r w:rsidRPr="00F07C99">
        <w:rPr>
          <w:rFonts w:ascii="Times New Roman" w:hAnsi="Times New Roman" w:cs="Times New Roman"/>
          <w:sz w:val="20"/>
          <w:szCs w:val="20"/>
          <w:lang w:val="en-US"/>
        </w:rPr>
        <w:t>Water sampling was conducted during both the dry season (March 2023) and rainy season (August 2023) to characterize spatial and seasonal variation in water quality conditions within mangrove ecosystems. Site 3 (Vasai Creek) was sampled only during the rainy season because of logistical constraints.</w:t>
      </w:r>
    </w:p>
    <w:p w14:paraId="5B26340D" w14:textId="77777777" w:rsidR="00F07C99" w:rsidRPr="00F07C99" w:rsidRDefault="00F07C99" w:rsidP="00F07C99">
      <w:pPr>
        <w:rPr>
          <w:rFonts w:ascii="Times New Roman" w:hAnsi="Times New Roman" w:cs="Times New Roman"/>
          <w:sz w:val="20"/>
          <w:szCs w:val="20"/>
          <w:lang w:val="en-US"/>
        </w:rPr>
      </w:pPr>
      <w:r w:rsidRPr="00F07C99">
        <w:rPr>
          <w:rFonts w:ascii="Times New Roman" w:hAnsi="Times New Roman" w:cs="Times New Roman"/>
          <w:sz w:val="20"/>
          <w:szCs w:val="20"/>
          <w:lang w:val="en-US"/>
        </w:rPr>
        <w:t>During the dry-season survey, sampling was conducted at low tide to assess environmental conditions associated with mangrove root systems and sedimentary water environments. Two microhabitats were selected at each site: (1) “root zones,” where mangrove roots were densely distributed and exposed to sediment during low tide, and (2) adjacent narrow tidal channels (“streams”) through which tidal water flowed across the root zone.</w:t>
      </w:r>
    </w:p>
    <w:p w14:paraId="63A7B6A1" w14:textId="77777777" w:rsidR="00F07C99" w:rsidRPr="00F07C99" w:rsidRDefault="00F07C99" w:rsidP="00F07C99">
      <w:pPr>
        <w:rPr>
          <w:rFonts w:ascii="Times New Roman" w:hAnsi="Times New Roman" w:cs="Times New Roman"/>
          <w:sz w:val="20"/>
          <w:szCs w:val="20"/>
          <w:lang w:val="en-US"/>
        </w:rPr>
      </w:pPr>
      <w:r w:rsidRPr="00F07C99">
        <w:rPr>
          <w:rFonts w:ascii="Times New Roman" w:hAnsi="Times New Roman" w:cs="Times New Roman"/>
          <w:sz w:val="20"/>
          <w:szCs w:val="20"/>
          <w:lang w:val="en-US"/>
        </w:rPr>
        <w:t>At each sampling location, water samples were collected from three depths: 0, 10, and 30 cm below the sediment surface. Surface water (0 cm) was directly collected using clean plastic cups. At 10 and 30 cm depths, sediment-water mixtures were collected manually, allowed to settle, and supernatant water was extracted for analysis. At Site 2, sampling at 30 cm depth in the stream habitat was not possible because of rocky substrate conditions.</w:t>
      </w:r>
    </w:p>
    <w:p w14:paraId="34162B83" w14:textId="77777777" w:rsidR="00F07C99" w:rsidRPr="00F07C99" w:rsidRDefault="00F07C99" w:rsidP="00F07C99">
      <w:pPr>
        <w:rPr>
          <w:rFonts w:ascii="Times New Roman" w:hAnsi="Times New Roman" w:cs="Times New Roman"/>
          <w:sz w:val="20"/>
          <w:szCs w:val="20"/>
          <w:lang w:val="en-US"/>
        </w:rPr>
      </w:pPr>
      <w:r w:rsidRPr="00F07C99">
        <w:rPr>
          <w:rFonts w:ascii="Times New Roman" w:hAnsi="Times New Roman" w:cs="Times New Roman"/>
          <w:sz w:val="20"/>
          <w:szCs w:val="20"/>
          <w:lang w:val="en-US"/>
        </w:rPr>
        <w:t>During the rainy-season survey, sampling was conducted approximately 1–2 h before low tide. Two locations were selected to evaluate spatial variation along the estuarine gradient: (1) a creek-facing site (“streamside”) and (2) an inland site located approximately 0.5–1 km from the creek (“landside”). Access limitations prevented sample collection at the landside location at Site 1.</w:t>
      </w:r>
    </w:p>
    <w:p w14:paraId="518FFF14" w14:textId="77777777" w:rsidR="00F07C99" w:rsidRPr="00F07C99" w:rsidRDefault="00F07C99" w:rsidP="00F07C99">
      <w:pPr>
        <w:rPr>
          <w:rFonts w:ascii="Times New Roman" w:hAnsi="Times New Roman" w:cs="Times New Roman"/>
          <w:b/>
          <w:bCs/>
          <w:sz w:val="20"/>
          <w:szCs w:val="20"/>
          <w:lang w:val="en-US"/>
        </w:rPr>
      </w:pPr>
      <w:r w:rsidRPr="00F07C99">
        <w:rPr>
          <w:rFonts w:ascii="Times New Roman" w:hAnsi="Times New Roman" w:cs="Times New Roman"/>
          <w:b/>
          <w:bCs/>
          <w:sz w:val="20"/>
          <w:szCs w:val="20"/>
          <w:lang w:val="en-US"/>
        </w:rPr>
        <w:t>Supplementary Methods S2. Analytical instrumentation and calibration</w:t>
      </w:r>
    </w:p>
    <w:p w14:paraId="1C398ED7" w14:textId="77777777" w:rsidR="00F07C99" w:rsidRPr="00F07C99" w:rsidRDefault="00F07C99" w:rsidP="00F07C99">
      <w:pPr>
        <w:rPr>
          <w:rFonts w:ascii="Times New Roman" w:hAnsi="Times New Roman" w:cs="Times New Roman"/>
          <w:sz w:val="20"/>
          <w:szCs w:val="20"/>
          <w:lang w:val="en-US"/>
        </w:rPr>
      </w:pPr>
      <w:r w:rsidRPr="00F07C99">
        <w:rPr>
          <w:rFonts w:ascii="Times New Roman" w:hAnsi="Times New Roman" w:cs="Times New Roman"/>
          <w:sz w:val="20"/>
          <w:szCs w:val="20"/>
          <w:lang w:val="en-US"/>
        </w:rPr>
        <w:t>Salinity, nitrate concentration, pH, and electrical conductivity were measured using portable meters (</w:t>
      </w:r>
      <w:proofErr w:type="spellStart"/>
      <w:r w:rsidRPr="00F07C99">
        <w:rPr>
          <w:rFonts w:ascii="Times New Roman" w:hAnsi="Times New Roman" w:cs="Times New Roman"/>
          <w:sz w:val="20"/>
          <w:szCs w:val="20"/>
          <w:lang w:val="en-US"/>
        </w:rPr>
        <w:t>LAQUAtwin</w:t>
      </w:r>
      <w:proofErr w:type="spellEnd"/>
      <w:r w:rsidRPr="00F07C99">
        <w:rPr>
          <w:rFonts w:ascii="Times New Roman" w:hAnsi="Times New Roman" w:cs="Times New Roman"/>
          <w:sz w:val="20"/>
          <w:szCs w:val="20"/>
          <w:lang w:val="en-US"/>
        </w:rPr>
        <w:t xml:space="preserve"> Salt-22, NO3-11C, pH11-B, and COND-33B; Horiba Ltd., Japan). Dissolved oxygen (DO) was measured using a portable DO meter (HQ1130; HACH, USA). Oxidation-reduction potential (ORP) was measured using a PH450 ORP meter (Nikko Hansen &amp; Co., Ltd., Japan). Biochemical oxygen demand (BOD) and chemical oxygen demand (COD) were analyzed using pack test kits (WAK-BOD and WAK-COD(H)-2; Kyoritsu Chemical-Check Lab Corp., Japan).</w:t>
      </w:r>
    </w:p>
    <w:p w14:paraId="67298926" w14:textId="77777777" w:rsidR="00F07C99" w:rsidRPr="00F07C99" w:rsidRDefault="00F07C99" w:rsidP="00F07C99">
      <w:pPr>
        <w:rPr>
          <w:rFonts w:ascii="Times New Roman" w:hAnsi="Times New Roman" w:cs="Times New Roman"/>
          <w:sz w:val="20"/>
          <w:szCs w:val="20"/>
          <w:lang w:val="en-US"/>
        </w:rPr>
      </w:pPr>
      <w:r w:rsidRPr="00F07C99">
        <w:rPr>
          <w:rFonts w:ascii="Times New Roman" w:hAnsi="Times New Roman" w:cs="Times New Roman"/>
          <w:sz w:val="20"/>
          <w:szCs w:val="20"/>
          <w:lang w:val="en-US"/>
        </w:rPr>
        <w:t xml:space="preserve">For leaf isotope analysis, approximately 1.0 ± 0.1 mg of powdered leaf material was weighed into tin capsules and analyzed using continuous-flow isotope ratio mass spectrometry (CF-IRMS; ANCA-GSL, </w:t>
      </w:r>
      <w:proofErr w:type="spellStart"/>
      <w:r w:rsidRPr="00F07C99">
        <w:rPr>
          <w:rFonts w:ascii="Times New Roman" w:hAnsi="Times New Roman" w:cs="Times New Roman"/>
          <w:sz w:val="20"/>
          <w:szCs w:val="20"/>
          <w:lang w:val="en-US"/>
        </w:rPr>
        <w:t>SerCon</w:t>
      </w:r>
      <w:proofErr w:type="spellEnd"/>
      <w:r w:rsidRPr="00F07C99">
        <w:rPr>
          <w:rFonts w:ascii="Times New Roman" w:hAnsi="Times New Roman" w:cs="Times New Roman"/>
          <w:sz w:val="20"/>
          <w:szCs w:val="20"/>
          <w:lang w:val="en-US"/>
        </w:rPr>
        <w:t xml:space="preserve"> Ltd., UK) at the Environmental Dynamics Laboratory, University of Yamanashi.</w:t>
      </w:r>
    </w:p>
    <w:p w14:paraId="3F7F55BD" w14:textId="77777777" w:rsidR="00F07C99" w:rsidRPr="00F07C99" w:rsidRDefault="00F07C99" w:rsidP="00F07C99">
      <w:pPr>
        <w:rPr>
          <w:rFonts w:ascii="Times New Roman" w:hAnsi="Times New Roman" w:cs="Times New Roman"/>
          <w:sz w:val="20"/>
          <w:szCs w:val="20"/>
          <w:lang w:val="en-US"/>
        </w:rPr>
      </w:pPr>
      <w:r w:rsidRPr="00F07C99">
        <w:rPr>
          <w:rFonts w:ascii="Times New Roman" w:hAnsi="Times New Roman" w:cs="Times New Roman"/>
          <w:sz w:val="20"/>
          <w:szCs w:val="20"/>
          <w:lang w:val="en-US"/>
        </w:rPr>
        <w:t xml:space="preserve">For </w:t>
      </w:r>
      <w:proofErr w:type="spellStart"/>
      <w:r w:rsidRPr="00F07C99">
        <w:rPr>
          <w:rFonts w:ascii="Times New Roman" w:hAnsi="Times New Roman" w:cs="Times New Roman"/>
          <w:sz w:val="20"/>
          <w:szCs w:val="20"/>
          <w:lang w:val="en-US"/>
        </w:rPr>
        <w:t>tree</w:t>
      </w:r>
      <w:proofErr w:type="spellEnd"/>
      <w:r w:rsidRPr="00F07C99">
        <w:rPr>
          <w:rFonts w:ascii="Times New Roman" w:hAnsi="Times New Roman" w:cs="Times New Roman"/>
          <w:sz w:val="20"/>
          <w:szCs w:val="20"/>
          <w:lang w:val="en-US"/>
        </w:rPr>
        <w:t xml:space="preserve">-ring isotope analysis, approximately 3.0 mg of wood material was weighed into tin capsules and analyzed using an elemental analyzer-isotope ratio mass spectrometer (EA-IRMS; Delta V coupled with Flash EA 2000, </w:t>
      </w:r>
      <w:proofErr w:type="spellStart"/>
      <w:r w:rsidRPr="00F07C99">
        <w:rPr>
          <w:rFonts w:ascii="Times New Roman" w:hAnsi="Times New Roman" w:cs="Times New Roman"/>
          <w:sz w:val="20"/>
          <w:szCs w:val="20"/>
          <w:lang w:val="en-US"/>
        </w:rPr>
        <w:t>Thermo</w:t>
      </w:r>
      <w:proofErr w:type="spellEnd"/>
      <w:r w:rsidRPr="00F07C99">
        <w:rPr>
          <w:rFonts w:ascii="Times New Roman" w:hAnsi="Times New Roman" w:cs="Times New Roman"/>
          <w:sz w:val="20"/>
          <w:szCs w:val="20"/>
          <w:lang w:val="en-US"/>
        </w:rPr>
        <w:t xml:space="preserve"> Fisher Scientific, USA) at the Center for Ecological Research, Kyoto University (CERKU), because of the low nitrogen content of wood samples (Koba et al., 2021).</w:t>
      </w:r>
    </w:p>
    <w:p w14:paraId="130912D2" w14:textId="77777777" w:rsidR="00F07C99" w:rsidRPr="00F07C99" w:rsidRDefault="00F07C99" w:rsidP="00F07C99">
      <w:pPr>
        <w:rPr>
          <w:rFonts w:ascii="Times New Roman" w:hAnsi="Times New Roman" w:cs="Times New Roman"/>
          <w:sz w:val="20"/>
          <w:szCs w:val="20"/>
          <w:lang w:val="en-US"/>
        </w:rPr>
      </w:pPr>
      <w:r w:rsidRPr="00F07C99">
        <w:rPr>
          <w:rFonts w:ascii="Times New Roman" w:hAnsi="Times New Roman" w:cs="Times New Roman"/>
          <w:sz w:val="20"/>
          <w:szCs w:val="20"/>
          <w:lang w:val="en-US"/>
        </w:rPr>
        <w:t>Alanine and CERKU working standards (CERKU-01, CERKU-03, and CERKU-04) were used for isotopic calibration (</w:t>
      </w:r>
      <w:proofErr w:type="spellStart"/>
      <w:r w:rsidRPr="00F07C99">
        <w:rPr>
          <w:rFonts w:ascii="Times New Roman" w:hAnsi="Times New Roman" w:cs="Times New Roman"/>
          <w:sz w:val="20"/>
          <w:szCs w:val="20"/>
          <w:lang w:val="en-US"/>
        </w:rPr>
        <w:t>Tayasu</w:t>
      </w:r>
      <w:proofErr w:type="spellEnd"/>
      <w:r w:rsidRPr="00F07C99">
        <w:rPr>
          <w:rFonts w:ascii="Times New Roman" w:hAnsi="Times New Roman" w:cs="Times New Roman"/>
          <w:sz w:val="20"/>
          <w:szCs w:val="20"/>
          <w:lang w:val="en-US"/>
        </w:rPr>
        <w:t xml:space="preserve"> et al., 2011). Analytical precision was within ±0.03‰ for foliar δ¹³C, ±0.02‰ for foliar δ¹⁵N, and ±0.02‰ for tree-ring δ¹⁵N.</w:t>
      </w:r>
    </w:p>
    <w:p w14:paraId="5E23CFFD" w14:textId="77777777" w:rsidR="00F07C99" w:rsidRPr="00F07C99" w:rsidRDefault="00F07C99" w:rsidP="00F07C99">
      <w:pPr>
        <w:rPr>
          <w:rFonts w:ascii="Times New Roman" w:hAnsi="Times New Roman" w:cs="Times New Roman"/>
          <w:b/>
          <w:bCs/>
          <w:sz w:val="20"/>
          <w:szCs w:val="20"/>
          <w:lang w:val="en-US"/>
        </w:rPr>
      </w:pPr>
      <w:r w:rsidRPr="00F07C99">
        <w:rPr>
          <w:rFonts w:ascii="Times New Roman" w:hAnsi="Times New Roman" w:cs="Times New Roman"/>
          <w:b/>
          <w:bCs/>
          <w:sz w:val="20"/>
          <w:szCs w:val="20"/>
          <w:lang w:val="en-US"/>
        </w:rPr>
        <w:t>Supplementary Methods S3. Stable isotope notation and calculation</w:t>
      </w:r>
    </w:p>
    <w:p w14:paraId="1EEF049D" w14:textId="77777777" w:rsidR="00F07C99" w:rsidRDefault="00F07C99" w:rsidP="00F07C99">
      <w:pPr>
        <w:rPr>
          <w:rFonts w:ascii="Times New Roman" w:hAnsi="Times New Roman" w:cs="Times New Roman"/>
          <w:sz w:val="20"/>
          <w:szCs w:val="20"/>
          <w:lang w:val="en-US"/>
        </w:rPr>
      </w:pPr>
      <w:r w:rsidRPr="00F07C99">
        <w:rPr>
          <w:rFonts w:ascii="Times New Roman" w:hAnsi="Times New Roman" w:cs="Times New Roman"/>
          <w:sz w:val="20"/>
          <w:szCs w:val="20"/>
          <w:lang w:val="en-US"/>
        </w:rPr>
        <w:t>Stable isotope compositions are expressed in delta (δ) notation relative to international standards according to the following equation:</w:t>
      </w:r>
    </w:p>
    <w:p w14:paraId="5B1E5DAB" w14:textId="5DE4F31B" w:rsidR="00F07C99" w:rsidRPr="00F07C99" w:rsidRDefault="00F07C99" w:rsidP="00F07C99">
      <w:pPr>
        <w:jc w:val="center"/>
        <w:rPr>
          <w:rFonts w:ascii="Times New Roman" w:hAnsi="Times New Roman" w:cs="Times New Roman"/>
          <w:color w:val="000000" w:themeColor="text1"/>
          <w:sz w:val="20"/>
          <w:szCs w:val="20"/>
        </w:rPr>
      </w:pPr>
      <w:proofErr w:type="spellStart"/>
      <w:r w:rsidRPr="00F07C99">
        <w:rPr>
          <w:rFonts w:ascii="Times New Roman" w:hAnsi="Times New Roman" w:cs="Times New Roman"/>
          <w:color w:val="000000" w:themeColor="text1"/>
          <w:sz w:val="20"/>
          <w:szCs w:val="20"/>
        </w:rPr>
        <w:t>δX</w:t>
      </w:r>
      <w:proofErr w:type="spellEnd"/>
      <w:r w:rsidRPr="00F07C99">
        <w:rPr>
          <w:rFonts w:ascii="Times New Roman" w:hAnsi="Times New Roman" w:cs="Times New Roman"/>
          <w:color w:val="000000" w:themeColor="text1"/>
          <w:sz w:val="20"/>
          <w:szCs w:val="20"/>
        </w:rPr>
        <w:t xml:space="preserve"> = [(</w:t>
      </w:r>
      <w:proofErr w:type="spellStart"/>
      <w:r w:rsidRPr="00F07C99">
        <w:rPr>
          <w:rFonts w:ascii="Times New Roman" w:hAnsi="Times New Roman" w:cs="Times New Roman"/>
          <w:color w:val="000000" w:themeColor="text1"/>
          <w:sz w:val="20"/>
          <w:szCs w:val="20"/>
        </w:rPr>
        <w:t>R</w:t>
      </w:r>
      <w:r w:rsidRPr="00F07C99">
        <w:rPr>
          <w:rFonts w:ascii="Times New Roman" w:hAnsi="Times New Roman" w:cs="Times New Roman"/>
          <w:color w:val="000000" w:themeColor="text1"/>
          <w:sz w:val="20"/>
          <w:szCs w:val="20"/>
          <w:vertAlign w:val="subscript"/>
        </w:rPr>
        <w:t>sample</w:t>
      </w:r>
      <w:proofErr w:type="spellEnd"/>
      <w:r w:rsidRPr="00F07C99">
        <w:rPr>
          <w:rFonts w:ascii="Times New Roman" w:hAnsi="Times New Roman" w:cs="Times New Roman"/>
          <w:color w:val="000000" w:themeColor="text1"/>
          <w:sz w:val="20"/>
          <w:szCs w:val="20"/>
        </w:rPr>
        <w:t>/</w:t>
      </w:r>
      <w:proofErr w:type="spellStart"/>
      <w:r w:rsidRPr="00F07C99">
        <w:rPr>
          <w:rFonts w:ascii="Times New Roman" w:hAnsi="Times New Roman" w:cs="Times New Roman"/>
          <w:color w:val="000000" w:themeColor="text1"/>
          <w:sz w:val="20"/>
          <w:szCs w:val="20"/>
        </w:rPr>
        <w:t>R</w:t>
      </w:r>
      <w:r w:rsidRPr="00F07C99">
        <w:rPr>
          <w:rFonts w:ascii="Times New Roman" w:hAnsi="Times New Roman" w:cs="Times New Roman"/>
          <w:color w:val="000000" w:themeColor="text1"/>
          <w:sz w:val="20"/>
          <w:szCs w:val="20"/>
          <w:vertAlign w:val="subscript"/>
        </w:rPr>
        <w:t>standard</w:t>
      </w:r>
      <w:proofErr w:type="spellEnd"/>
      <w:r w:rsidRPr="00F07C99">
        <w:rPr>
          <w:rFonts w:ascii="Times New Roman" w:hAnsi="Times New Roman" w:cs="Times New Roman"/>
          <w:color w:val="000000" w:themeColor="text1"/>
          <w:sz w:val="20"/>
          <w:szCs w:val="20"/>
        </w:rPr>
        <w:t>)-</w:t>
      </w:r>
      <w:proofErr w:type="gramStart"/>
      <w:r w:rsidRPr="00F07C99">
        <w:rPr>
          <w:rFonts w:ascii="Times New Roman" w:hAnsi="Times New Roman" w:cs="Times New Roman"/>
          <w:color w:val="000000" w:themeColor="text1"/>
          <w:sz w:val="20"/>
          <w:szCs w:val="20"/>
        </w:rPr>
        <w:t>1]×</w:t>
      </w:r>
      <w:proofErr w:type="gramEnd"/>
      <w:r w:rsidRPr="00F07C99">
        <w:rPr>
          <w:rFonts w:ascii="Times New Roman" w:hAnsi="Times New Roman" w:cs="Times New Roman"/>
          <w:color w:val="000000" w:themeColor="text1"/>
          <w:sz w:val="20"/>
          <w:szCs w:val="20"/>
        </w:rPr>
        <w:t>1000</w:t>
      </w:r>
    </w:p>
    <w:p w14:paraId="3700B4DF" w14:textId="77777777" w:rsidR="00F07C99" w:rsidRPr="00F07C99" w:rsidRDefault="00F07C99" w:rsidP="00F07C99">
      <w:pPr>
        <w:rPr>
          <w:rFonts w:ascii="Times New Roman" w:hAnsi="Times New Roman" w:cs="Times New Roman"/>
          <w:sz w:val="20"/>
          <w:szCs w:val="20"/>
          <w:lang w:val="en-US"/>
        </w:rPr>
      </w:pPr>
      <w:r w:rsidRPr="00F07C99">
        <w:rPr>
          <w:rFonts w:ascii="Times New Roman" w:hAnsi="Times New Roman" w:cs="Times New Roman"/>
          <w:sz w:val="20"/>
          <w:szCs w:val="20"/>
          <w:lang w:val="en-US"/>
        </w:rPr>
        <w:t xml:space="preserve">where X represents ¹³C or ¹⁵N, </w:t>
      </w:r>
      <w:proofErr w:type="spellStart"/>
      <w:r w:rsidRPr="00F07C99">
        <w:rPr>
          <w:rFonts w:ascii="Times New Roman" w:hAnsi="Times New Roman" w:cs="Times New Roman"/>
          <w:sz w:val="20"/>
          <w:szCs w:val="20"/>
          <w:lang w:val="en-US"/>
        </w:rPr>
        <w:t>Rsample</w:t>
      </w:r>
      <w:proofErr w:type="spellEnd"/>
      <w:r w:rsidRPr="00F07C99">
        <w:rPr>
          <w:rFonts w:ascii="Times New Roman" w:hAnsi="Times New Roman" w:cs="Times New Roman"/>
          <w:sz w:val="20"/>
          <w:szCs w:val="20"/>
          <w:lang w:val="en-US"/>
        </w:rPr>
        <w:t xml:space="preserve"> is the isotopic ratio of the sample (¹³C/¹²C or ¹⁵N/¹⁴N), and </w:t>
      </w:r>
      <w:proofErr w:type="spellStart"/>
      <w:r w:rsidRPr="00F07C99">
        <w:rPr>
          <w:rFonts w:ascii="Times New Roman" w:hAnsi="Times New Roman" w:cs="Times New Roman"/>
          <w:sz w:val="20"/>
          <w:szCs w:val="20"/>
          <w:lang w:val="en-US"/>
        </w:rPr>
        <w:t>Rstandard</w:t>
      </w:r>
      <w:proofErr w:type="spellEnd"/>
      <w:r w:rsidRPr="00F07C99">
        <w:rPr>
          <w:rFonts w:ascii="Times New Roman" w:hAnsi="Times New Roman" w:cs="Times New Roman"/>
          <w:sz w:val="20"/>
          <w:szCs w:val="20"/>
          <w:lang w:val="en-US"/>
        </w:rPr>
        <w:t xml:space="preserve"> is the isotopic ratio of the international standard. Pee Dee Belemnite carbonate and atmospheric N₂ were used as standards for carbon and nitrogen isotope analyses, respectively.</w:t>
      </w:r>
    </w:p>
    <w:p w14:paraId="31279A77" w14:textId="77777777" w:rsidR="00F07C99" w:rsidRPr="00F07C99" w:rsidRDefault="00F07C99" w:rsidP="00F07C99">
      <w:pPr>
        <w:rPr>
          <w:rFonts w:ascii="Times New Roman" w:hAnsi="Times New Roman" w:cs="Times New Roman"/>
          <w:sz w:val="20"/>
          <w:szCs w:val="20"/>
          <w:lang w:val="en-US"/>
        </w:rPr>
      </w:pPr>
      <w:r w:rsidRPr="00F07C99">
        <w:rPr>
          <w:rFonts w:ascii="Times New Roman" w:hAnsi="Times New Roman" w:cs="Times New Roman"/>
          <w:sz w:val="20"/>
          <w:szCs w:val="20"/>
          <w:lang w:val="en-US"/>
        </w:rPr>
        <w:lastRenderedPageBreak/>
        <w:t xml:space="preserve">Foliar δ¹³C values were used as indicators of salinity-related physiological stress and water-use efficiency (Huang et al., 2015; Wei et al., 2008). Foliar and tree-ring δ¹⁵N values were used to evaluate anthropogenic nitrogen inputs and temporal changes in sewage influence (Costanzo et al., 2001; </w:t>
      </w:r>
      <w:proofErr w:type="spellStart"/>
      <w:r w:rsidRPr="00F07C99">
        <w:rPr>
          <w:rFonts w:ascii="Times New Roman" w:hAnsi="Times New Roman" w:cs="Times New Roman"/>
          <w:sz w:val="20"/>
          <w:szCs w:val="20"/>
          <w:lang w:val="en-US"/>
        </w:rPr>
        <w:t>Lugendo</w:t>
      </w:r>
      <w:proofErr w:type="spellEnd"/>
      <w:r w:rsidRPr="00F07C99">
        <w:rPr>
          <w:rFonts w:ascii="Times New Roman" w:hAnsi="Times New Roman" w:cs="Times New Roman"/>
          <w:sz w:val="20"/>
          <w:szCs w:val="20"/>
          <w:lang w:val="en-US"/>
        </w:rPr>
        <w:t xml:space="preserve"> &amp; </w:t>
      </w:r>
      <w:proofErr w:type="spellStart"/>
      <w:r w:rsidRPr="00F07C99">
        <w:rPr>
          <w:rFonts w:ascii="Times New Roman" w:hAnsi="Times New Roman" w:cs="Times New Roman"/>
          <w:sz w:val="20"/>
          <w:szCs w:val="20"/>
          <w:lang w:val="en-US"/>
        </w:rPr>
        <w:t>Kimirei</w:t>
      </w:r>
      <w:proofErr w:type="spellEnd"/>
      <w:r w:rsidRPr="00F07C99">
        <w:rPr>
          <w:rFonts w:ascii="Times New Roman" w:hAnsi="Times New Roman" w:cs="Times New Roman"/>
          <w:sz w:val="20"/>
          <w:szCs w:val="20"/>
          <w:lang w:val="en-US"/>
        </w:rPr>
        <w:t xml:space="preserve">, 2021; Savard &amp; </w:t>
      </w:r>
      <w:proofErr w:type="spellStart"/>
      <w:r w:rsidRPr="00F07C99">
        <w:rPr>
          <w:rFonts w:ascii="Times New Roman" w:hAnsi="Times New Roman" w:cs="Times New Roman"/>
          <w:sz w:val="20"/>
          <w:szCs w:val="20"/>
          <w:lang w:val="en-US"/>
        </w:rPr>
        <w:t>Siegwolf</w:t>
      </w:r>
      <w:proofErr w:type="spellEnd"/>
      <w:r w:rsidRPr="00F07C99">
        <w:rPr>
          <w:rFonts w:ascii="Times New Roman" w:hAnsi="Times New Roman" w:cs="Times New Roman"/>
          <w:sz w:val="20"/>
          <w:szCs w:val="20"/>
          <w:lang w:val="en-US"/>
        </w:rPr>
        <w:t>, 2022).</w:t>
      </w:r>
    </w:p>
    <w:p w14:paraId="575D9DB2" w14:textId="77777777" w:rsidR="00F07C99" w:rsidRPr="00F07C99" w:rsidRDefault="00F07C99" w:rsidP="00F07C99">
      <w:pPr>
        <w:rPr>
          <w:rFonts w:ascii="Times New Roman" w:hAnsi="Times New Roman" w:cs="Times New Roman"/>
          <w:b/>
          <w:bCs/>
          <w:sz w:val="20"/>
          <w:szCs w:val="20"/>
          <w:lang w:val="en-US"/>
        </w:rPr>
      </w:pPr>
      <w:r w:rsidRPr="00F07C99">
        <w:rPr>
          <w:rFonts w:ascii="Times New Roman" w:hAnsi="Times New Roman" w:cs="Times New Roman"/>
          <w:b/>
          <w:bCs/>
          <w:sz w:val="20"/>
          <w:szCs w:val="20"/>
          <w:lang w:val="en-US"/>
        </w:rPr>
        <w:t>Supplementary Methods S4. Radiocarbon dating procedures</w:t>
      </w:r>
    </w:p>
    <w:p w14:paraId="3D77A708" w14:textId="77777777" w:rsidR="00F07C99" w:rsidRPr="00F07C99" w:rsidRDefault="00F07C99" w:rsidP="00F07C99">
      <w:pPr>
        <w:rPr>
          <w:rFonts w:ascii="Times New Roman" w:hAnsi="Times New Roman" w:cs="Times New Roman"/>
          <w:sz w:val="20"/>
          <w:szCs w:val="20"/>
          <w:lang w:val="en-US"/>
        </w:rPr>
      </w:pPr>
      <w:r w:rsidRPr="00F07C99">
        <w:rPr>
          <w:rFonts w:ascii="Times New Roman" w:hAnsi="Times New Roman" w:cs="Times New Roman"/>
          <w:sz w:val="20"/>
          <w:szCs w:val="20"/>
          <w:lang w:val="en-US"/>
        </w:rPr>
        <w:t>To estimate the approximate formation periods of mangrove growth layers, bomb-pulse radiocarbon dating was conducted using accelerator mass spectrometry (AMS) at the Institute of Accelerator Analysis Ltd. (IAA), Kawasaki, Japan.</w:t>
      </w:r>
    </w:p>
    <w:p w14:paraId="324FB0EE" w14:textId="3A3D4477" w:rsidR="00F07C99" w:rsidRPr="00F07C99" w:rsidRDefault="00F07C99" w:rsidP="00F07C99">
      <w:pPr>
        <w:rPr>
          <w:rFonts w:ascii="Times New Roman" w:hAnsi="Times New Roman" w:cs="Times New Roman"/>
          <w:sz w:val="20"/>
          <w:szCs w:val="20"/>
          <w:lang w:val="en-US"/>
        </w:rPr>
      </w:pPr>
      <w:r w:rsidRPr="00F07C99">
        <w:rPr>
          <w:rFonts w:ascii="Times New Roman" w:hAnsi="Times New Roman" w:cs="Times New Roman"/>
          <w:sz w:val="20"/>
          <w:szCs w:val="20"/>
          <w:lang w:val="en-US"/>
        </w:rPr>
        <w:t xml:space="preserve">For each stem core, the innermost growth layer and the 46th layer from the outermost position were selected for radiocarbon analysis. Radiocarbon measurements were used to constrain the approximate age range of growth layers and support </w:t>
      </w:r>
      <w:r w:rsidR="00F64D8E">
        <w:rPr>
          <w:rFonts w:ascii="Times New Roman" w:hAnsi="Times New Roman" w:cs="Times New Roman"/>
          <w:sz w:val="20"/>
          <w:szCs w:val="20"/>
          <w:lang w:val="en-US"/>
        </w:rPr>
        <w:t xml:space="preserve">the </w:t>
      </w:r>
      <w:r w:rsidRPr="00F07C99">
        <w:rPr>
          <w:rFonts w:ascii="Times New Roman" w:hAnsi="Times New Roman" w:cs="Times New Roman"/>
          <w:sz w:val="20"/>
          <w:szCs w:val="20"/>
          <w:lang w:val="en-US"/>
        </w:rPr>
        <w:t>interpretation of long-term δ¹⁵N trends.</w:t>
      </w:r>
    </w:p>
    <w:p w14:paraId="364357D4" w14:textId="77777777" w:rsidR="00F07C99" w:rsidRPr="00EF6A19" w:rsidRDefault="00F07C99" w:rsidP="00F07C99">
      <w:pPr>
        <w:rPr>
          <w:rFonts w:ascii="Times New Roman" w:hAnsi="Times New Roman" w:cs="Times New Roman"/>
          <w:b/>
          <w:bCs/>
          <w:sz w:val="20"/>
          <w:szCs w:val="20"/>
          <w:lang w:val="en-US"/>
        </w:rPr>
      </w:pPr>
      <w:r w:rsidRPr="00EF6A19">
        <w:rPr>
          <w:rFonts w:ascii="Times New Roman" w:hAnsi="Times New Roman" w:cs="Times New Roman"/>
          <w:b/>
          <w:bCs/>
          <w:sz w:val="20"/>
          <w:szCs w:val="20"/>
          <w:lang w:val="en-US"/>
        </w:rPr>
        <w:t>Supplementary Methods S5. Generalized additive model settings</w:t>
      </w:r>
    </w:p>
    <w:p w14:paraId="6BC0388F" w14:textId="508D30CA" w:rsidR="00F07C99" w:rsidRDefault="00F07C99" w:rsidP="00F07C99">
      <w:pPr>
        <w:rPr>
          <w:rFonts w:ascii="Times New Roman" w:hAnsi="Times New Roman" w:cs="Times New Roman"/>
          <w:sz w:val="20"/>
          <w:szCs w:val="20"/>
          <w:lang w:val="en-US"/>
        </w:rPr>
      </w:pPr>
      <w:r w:rsidRPr="00F07C99">
        <w:rPr>
          <w:rFonts w:ascii="Times New Roman" w:hAnsi="Times New Roman" w:cs="Times New Roman"/>
          <w:sz w:val="20"/>
          <w:szCs w:val="20"/>
          <w:lang w:val="en-US"/>
        </w:rPr>
        <w:t xml:space="preserve">To visualize long-term radial trends in tree-ring δ¹⁵N values, generalized additive models (GAMs) were fitted using the </w:t>
      </w:r>
      <w:proofErr w:type="spellStart"/>
      <w:r w:rsidRPr="00F07C99">
        <w:rPr>
          <w:rFonts w:ascii="Times New Roman" w:hAnsi="Times New Roman" w:cs="Times New Roman"/>
          <w:sz w:val="20"/>
          <w:szCs w:val="20"/>
          <w:lang w:val="en-US"/>
        </w:rPr>
        <w:t>mgcv</w:t>
      </w:r>
      <w:proofErr w:type="spellEnd"/>
      <w:r w:rsidRPr="00F07C99">
        <w:rPr>
          <w:rFonts w:ascii="Times New Roman" w:hAnsi="Times New Roman" w:cs="Times New Roman"/>
          <w:sz w:val="20"/>
          <w:szCs w:val="20"/>
          <w:lang w:val="en-US"/>
        </w:rPr>
        <w:t xml:space="preserve"> package in R. Thin-plate regression splines were applied as smoothing functions. Smoothing parameters were estimated using restricted maximum likelihood (REML), and the basis dimension (k) was set to 5 after evaluation of model adequacy using </w:t>
      </w:r>
      <w:proofErr w:type="spellStart"/>
      <w:proofErr w:type="gramStart"/>
      <w:r w:rsidRPr="00F07C99">
        <w:rPr>
          <w:rFonts w:ascii="Times New Roman" w:hAnsi="Times New Roman" w:cs="Times New Roman"/>
          <w:sz w:val="20"/>
          <w:szCs w:val="20"/>
          <w:lang w:val="en-US"/>
        </w:rPr>
        <w:t>gam.check</w:t>
      </w:r>
      <w:proofErr w:type="spellEnd"/>
      <w:proofErr w:type="gramEnd"/>
      <w:r w:rsidRPr="00F07C99">
        <w:rPr>
          <w:rFonts w:ascii="Times New Roman" w:hAnsi="Times New Roman" w:cs="Times New Roman"/>
          <w:sz w:val="20"/>
          <w:szCs w:val="20"/>
          <w:lang w:val="en-US"/>
        </w:rPr>
        <w:t>.</w:t>
      </w:r>
    </w:p>
    <w:p w14:paraId="17EDB7D7" w14:textId="77777777" w:rsidR="00F07C99" w:rsidRDefault="00F07C99" w:rsidP="00F07C99">
      <w:pPr>
        <w:rPr>
          <w:rFonts w:ascii="Times New Roman" w:hAnsi="Times New Roman" w:cs="Times New Roman"/>
          <w:sz w:val="20"/>
          <w:szCs w:val="20"/>
          <w:lang w:val="en-US"/>
        </w:rPr>
      </w:pPr>
    </w:p>
    <w:p w14:paraId="784CE858" w14:textId="4F0993C1" w:rsidR="00F07C99" w:rsidRPr="00F07C99" w:rsidRDefault="00F07C99" w:rsidP="00F07C99">
      <w:pPr>
        <w:rPr>
          <w:rFonts w:ascii="Times New Roman" w:hAnsi="Times New Roman" w:cs="Times New Roman"/>
          <w:b/>
          <w:bCs/>
          <w:sz w:val="20"/>
          <w:szCs w:val="20"/>
          <w:lang w:val="en-US"/>
        </w:rPr>
      </w:pPr>
      <w:r w:rsidRPr="00F07C99">
        <w:rPr>
          <w:rFonts w:ascii="Times New Roman" w:hAnsi="Times New Roman" w:cs="Times New Roman"/>
          <w:b/>
          <w:bCs/>
          <w:sz w:val="20"/>
          <w:szCs w:val="20"/>
          <w:lang w:val="en-US"/>
        </w:rPr>
        <w:t>Supplementary Table 1. Demographic characteristics of interview participants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1137"/>
      </w:tblGrid>
      <w:tr w:rsidR="00F07C99" w:rsidRPr="008A5D1A" w14:paraId="3D79EC36" w14:textId="77777777" w:rsidTr="007A7629">
        <w:trPr>
          <w:jc w:val="center"/>
        </w:trPr>
        <w:tc>
          <w:tcPr>
            <w:tcW w:w="1283" w:type="dxa"/>
            <w:tcBorders>
              <w:top w:val="single" w:sz="4" w:space="0" w:color="auto"/>
              <w:bottom w:val="single" w:sz="4" w:space="0" w:color="auto"/>
            </w:tcBorders>
          </w:tcPr>
          <w:p w14:paraId="25D70B7A" w14:textId="77777777" w:rsidR="00F07C99" w:rsidRPr="008A5D1A" w:rsidRDefault="00F07C99" w:rsidP="007A7629">
            <w:pPr>
              <w:rPr>
                <w:color w:val="000000" w:themeColor="text1"/>
                <w:sz w:val="20"/>
              </w:rPr>
            </w:pPr>
            <w:r w:rsidRPr="008A5D1A">
              <w:rPr>
                <w:color w:val="000000" w:themeColor="text1"/>
                <w:sz w:val="20"/>
              </w:rPr>
              <w:t>Variable</w:t>
            </w:r>
          </w:p>
        </w:tc>
        <w:tc>
          <w:tcPr>
            <w:tcW w:w="1137" w:type="dxa"/>
            <w:tcBorders>
              <w:top w:val="single" w:sz="4" w:space="0" w:color="auto"/>
              <w:bottom w:val="single" w:sz="4" w:space="0" w:color="auto"/>
            </w:tcBorders>
          </w:tcPr>
          <w:p w14:paraId="45E00057" w14:textId="77777777" w:rsidR="00F07C99" w:rsidRPr="008A5D1A" w:rsidRDefault="00F07C99" w:rsidP="007A7629">
            <w:pPr>
              <w:rPr>
                <w:color w:val="000000" w:themeColor="text1"/>
                <w:sz w:val="20"/>
              </w:rPr>
            </w:pPr>
            <w:r w:rsidRPr="008A5D1A">
              <w:rPr>
                <w:color w:val="000000" w:themeColor="text1"/>
                <w:sz w:val="20"/>
              </w:rPr>
              <w:t>Number of people</w:t>
            </w:r>
          </w:p>
        </w:tc>
      </w:tr>
      <w:tr w:rsidR="00F07C99" w:rsidRPr="008A5D1A" w14:paraId="1416648E" w14:textId="77777777" w:rsidTr="007A7629">
        <w:trPr>
          <w:jc w:val="center"/>
        </w:trPr>
        <w:tc>
          <w:tcPr>
            <w:tcW w:w="1283" w:type="dxa"/>
            <w:tcBorders>
              <w:top w:val="single" w:sz="4" w:space="0" w:color="auto"/>
            </w:tcBorders>
          </w:tcPr>
          <w:p w14:paraId="0967AEF5" w14:textId="77777777" w:rsidR="00F07C99" w:rsidRPr="008A5D1A" w:rsidRDefault="00F07C99" w:rsidP="007A7629">
            <w:pPr>
              <w:rPr>
                <w:color w:val="000000" w:themeColor="text1"/>
                <w:sz w:val="20"/>
              </w:rPr>
            </w:pPr>
            <w:r w:rsidRPr="008A5D1A">
              <w:rPr>
                <w:color w:val="000000" w:themeColor="text1"/>
                <w:sz w:val="20"/>
              </w:rPr>
              <w:t>Generation</w:t>
            </w:r>
          </w:p>
        </w:tc>
        <w:tc>
          <w:tcPr>
            <w:tcW w:w="1137" w:type="dxa"/>
            <w:tcBorders>
              <w:top w:val="single" w:sz="4" w:space="0" w:color="auto"/>
            </w:tcBorders>
          </w:tcPr>
          <w:p w14:paraId="69AFB096" w14:textId="77777777" w:rsidR="00F07C99" w:rsidRPr="008A5D1A" w:rsidRDefault="00F07C99" w:rsidP="007A7629">
            <w:pPr>
              <w:jc w:val="right"/>
              <w:rPr>
                <w:color w:val="000000" w:themeColor="text1"/>
                <w:sz w:val="20"/>
              </w:rPr>
            </w:pPr>
          </w:p>
        </w:tc>
      </w:tr>
      <w:tr w:rsidR="00F07C99" w:rsidRPr="008A5D1A" w14:paraId="783CB072" w14:textId="77777777" w:rsidTr="007A7629">
        <w:trPr>
          <w:jc w:val="center"/>
        </w:trPr>
        <w:tc>
          <w:tcPr>
            <w:tcW w:w="1283" w:type="dxa"/>
          </w:tcPr>
          <w:p w14:paraId="3A1C4AF1" w14:textId="77777777" w:rsidR="00F07C99" w:rsidRPr="008A5D1A" w:rsidRDefault="00F07C99" w:rsidP="007A7629">
            <w:pPr>
              <w:rPr>
                <w:color w:val="000000" w:themeColor="text1"/>
                <w:sz w:val="20"/>
              </w:rPr>
            </w:pPr>
            <w:r w:rsidRPr="008A5D1A">
              <w:rPr>
                <w:color w:val="000000" w:themeColor="text1"/>
                <w:sz w:val="20"/>
              </w:rPr>
              <w:t>20s</w:t>
            </w:r>
          </w:p>
        </w:tc>
        <w:tc>
          <w:tcPr>
            <w:tcW w:w="1137" w:type="dxa"/>
          </w:tcPr>
          <w:p w14:paraId="6A73D198" w14:textId="77777777" w:rsidR="00F07C99" w:rsidRPr="008A5D1A" w:rsidRDefault="00F07C99" w:rsidP="007A7629">
            <w:pPr>
              <w:jc w:val="right"/>
              <w:rPr>
                <w:color w:val="000000" w:themeColor="text1"/>
                <w:sz w:val="20"/>
              </w:rPr>
            </w:pPr>
            <w:r w:rsidRPr="008A5D1A">
              <w:rPr>
                <w:color w:val="000000" w:themeColor="text1"/>
                <w:sz w:val="20"/>
              </w:rPr>
              <w:t>2</w:t>
            </w:r>
          </w:p>
        </w:tc>
      </w:tr>
      <w:tr w:rsidR="00F07C99" w:rsidRPr="008A5D1A" w14:paraId="328B66D6" w14:textId="77777777" w:rsidTr="007A7629">
        <w:trPr>
          <w:jc w:val="center"/>
        </w:trPr>
        <w:tc>
          <w:tcPr>
            <w:tcW w:w="1283" w:type="dxa"/>
          </w:tcPr>
          <w:p w14:paraId="4B4A0BC3" w14:textId="77777777" w:rsidR="00F07C99" w:rsidRPr="008A5D1A" w:rsidRDefault="00F07C99" w:rsidP="007A7629">
            <w:pPr>
              <w:rPr>
                <w:color w:val="000000" w:themeColor="text1"/>
                <w:sz w:val="20"/>
              </w:rPr>
            </w:pPr>
            <w:r w:rsidRPr="008A5D1A">
              <w:rPr>
                <w:color w:val="000000" w:themeColor="text1"/>
                <w:sz w:val="20"/>
              </w:rPr>
              <w:t>30s</w:t>
            </w:r>
          </w:p>
        </w:tc>
        <w:tc>
          <w:tcPr>
            <w:tcW w:w="1137" w:type="dxa"/>
          </w:tcPr>
          <w:p w14:paraId="72B2058A" w14:textId="77777777" w:rsidR="00F07C99" w:rsidRPr="008A5D1A" w:rsidRDefault="00F07C99" w:rsidP="007A7629">
            <w:pPr>
              <w:jc w:val="right"/>
              <w:rPr>
                <w:color w:val="000000" w:themeColor="text1"/>
                <w:sz w:val="20"/>
              </w:rPr>
            </w:pPr>
            <w:r w:rsidRPr="008A5D1A">
              <w:rPr>
                <w:color w:val="000000" w:themeColor="text1"/>
                <w:sz w:val="20"/>
              </w:rPr>
              <w:t>1</w:t>
            </w:r>
          </w:p>
        </w:tc>
      </w:tr>
      <w:tr w:rsidR="00F07C99" w:rsidRPr="008A5D1A" w14:paraId="13C975FA" w14:textId="77777777" w:rsidTr="007A7629">
        <w:trPr>
          <w:jc w:val="center"/>
        </w:trPr>
        <w:tc>
          <w:tcPr>
            <w:tcW w:w="1283" w:type="dxa"/>
          </w:tcPr>
          <w:p w14:paraId="28F4E235" w14:textId="77777777" w:rsidR="00F07C99" w:rsidRPr="008A5D1A" w:rsidRDefault="00F07C99" w:rsidP="007A7629">
            <w:pPr>
              <w:rPr>
                <w:color w:val="000000" w:themeColor="text1"/>
                <w:sz w:val="20"/>
              </w:rPr>
            </w:pPr>
            <w:r w:rsidRPr="008A5D1A">
              <w:rPr>
                <w:color w:val="000000" w:themeColor="text1"/>
                <w:sz w:val="20"/>
              </w:rPr>
              <w:t>40s</w:t>
            </w:r>
          </w:p>
        </w:tc>
        <w:tc>
          <w:tcPr>
            <w:tcW w:w="1137" w:type="dxa"/>
          </w:tcPr>
          <w:p w14:paraId="5596C326" w14:textId="77777777" w:rsidR="00F07C99" w:rsidRPr="008A5D1A" w:rsidRDefault="00F07C99" w:rsidP="007A7629">
            <w:pPr>
              <w:jc w:val="right"/>
              <w:rPr>
                <w:color w:val="000000" w:themeColor="text1"/>
                <w:sz w:val="20"/>
              </w:rPr>
            </w:pPr>
            <w:r w:rsidRPr="008A5D1A">
              <w:rPr>
                <w:color w:val="000000" w:themeColor="text1"/>
                <w:sz w:val="20"/>
              </w:rPr>
              <w:t>10</w:t>
            </w:r>
          </w:p>
        </w:tc>
      </w:tr>
      <w:tr w:rsidR="00F07C99" w:rsidRPr="008A5D1A" w14:paraId="6B14E522" w14:textId="77777777" w:rsidTr="007A7629">
        <w:trPr>
          <w:jc w:val="center"/>
        </w:trPr>
        <w:tc>
          <w:tcPr>
            <w:tcW w:w="1283" w:type="dxa"/>
          </w:tcPr>
          <w:p w14:paraId="32BFC440" w14:textId="77777777" w:rsidR="00F07C99" w:rsidRPr="008A5D1A" w:rsidRDefault="00F07C99" w:rsidP="007A7629">
            <w:pPr>
              <w:rPr>
                <w:color w:val="000000" w:themeColor="text1"/>
                <w:sz w:val="20"/>
              </w:rPr>
            </w:pPr>
            <w:r w:rsidRPr="008A5D1A">
              <w:rPr>
                <w:color w:val="000000" w:themeColor="text1"/>
                <w:sz w:val="20"/>
              </w:rPr>
              <w:t>50s</w:t>
            </w:r>
          </w:p>
        </w:tc>
        <w:tc>
          <w:tcPr>
            <w:tcW w:w="1137" w:type="dxa"/>
          </w:tcPr>
          <w:p w14:paraId="01D88938" w14:textId="77777777" w:rsidR="00F07C99" w:rsidRPr="008A5D1A" w:rsidRDefault="00F07C99" w:rsidP="007A7629">
            <w:pPr>
              <w:jc w:val="right"/>
              <w:rPr>
                <w:color w:val="000000" w:themeColor="text1"/>
                <w:sz w:val="20"/>
              </w:rPr>
            </w:pPr>
            <w:r w:rsidRPr="008A5D1A">
              <w:rPr>
                <w:color w:val="000000" w:themeColor="text1"/>
                <w:sz w:val="20"/>
              </w:rPr>
              <w:t>7</w:t>
            </w:r>
          </w:p>
        </w:tc>
      </w:tr>
      <w:tr w:rsidR="00F07C99" w:rsidRPr="008A5D1A" w14:paraId="04B8DA82" w14:textId="77777777" w:rsidTr="007A7629">
        <w:trPr>
          <w:jc w:val="center"/>
        </w:trPr>
        <w:tc>
          <w:tcPr>
            <w:tcW w:w="1283" w:type="dxa"/>
          </w:tcPr>
          <w:p w14:paraId="1BA7479C" w14:textId="77777777" w:rsidR="00F07C99" w:rsidRPr="008A5D1A" w:rsidRDefault="00F07C99" w:rsidP="007A7629">
            <w:pPr>
              <w:rPr>
                <w:color w:val="000000" w:themeColor="text1"/>
                <w:sz w:val="20"/>
              </w:rPr>
            </w:pPr>
            <w:r w:rsidRPr="008A5D1A">
              <w:rPr>
                <w:color w:val="000000" w:themeColor="text1"/>
                <w:sz w:val="20"/>
              </w:rPr>
              <w:t>60s</w:t>
            </w:r>
          </w:p>
        </w:tc>
        <w:tc>
          <w:tcPr>
            <w:tcW w:w="1137" w:type="dxa"/>
          </w:tcPr>
          <w:p w14:paraId="7B72F89F" w14:textId="77777777" w:rsidR="00F07C99" w:rsidRPr="008A5D1A" w:rsidRDefault="00F07C99" w:rsidP="007A7629">
            <w:pPr>
              <w:jc w:val="right"/>
              <w:rPr>
                <w:color w:val="000000" w:themeColor="text1"/>
                <w:sz w:val="20"/>
              </w:rPr>
            </w:pPr>
            <w:r w:rsidRPr="008A5D1A">
              <w:rPr>
                <w:color w:val="000000" w:themeColor="text1"/>
                <w:sz w:val="20"/>
              </w:rPr>
              <w:t>4</w:t>
            </w:r>
          </w:p>
        </w:tc>
      </w:tr>
      <w:tr w:rsidR="00F07C99" w:rsidRPr="008A5D1A" w14:paraId="7642D02D" w14:textId="77777777" w:rsidTr="007A7629">
        <w:trPr>
          <w:jc w:val="center"/>
        </w:trPr>
        <w:tc>
          <w:tcPr>
            <w:tcW w:w="1283" w:type="dxa"/>
            <w:tcBorders>
              <w:bottom w:val="single" w:sz="4" w:space="0" w:color="auto"/>
            </w:tcBorders>
          </w:tcPr>
          <w:p w14:paraId="42A37289" w14:textId="77777777" w:rsidR="00F07C99" w:rsidRPr="008A5D1A" w:rsidRDefault="00F07C99" w:rsidP="007A7629">
            <w:pPr>
              <w:rPr>
                <w:color w:val="000000" w:themeColor="text1"/>
                <w:sz w:val="20"/>
              </w:rPr>
            </w:pPr>
            <w:r w:rsidRPr="008A5D1A">
              <w:rPr>
                <w:color w:val="000000" w:themeColor="text1"/>
                <w:sz w:val="20"/>
              </w:rPr>
              <w:t>70s</w:t>
            </w:r>
          </w:p>
        </w:tc>
        <w:tc>
          <w:tcPr>
            <w:tcW w:w="1137" w:type="dxa"/>
            <w:tcBorders>
              <w:bottom w:val="single" w:sz="4" w:space="0" w:color="auto"/>
            </w:tcBorders>
          </w:tcPr>
          <w:p w14:paraId="136DCC49" w14:textId="77777777" w:rsidR="00F07C99" w:rsidRPr="008A5D1A" w:rsidRDefault="00F07C99" w:rsidP="007A7629">
            <w:pPr>
              <w:jc w:val="right"/>
              <w:rPr>
                <w:color w:val="000000" w:themeColor="text1"/>
                <w:sz w:val="20"/>
              </w:rPr>
            </w:pPr>
            <w:r w:rsidRPr="008A5D1A">
              <w:rPr>
                <w:color w:val="000000" w:themeColor="text1"/>
                <w:sz w:val="20"/>
              </w:rPr>
              <w:t>8</w:t>
            </w:r>
          </w:p>
        </w:tc>
      </w:tr>
      <w:tr w:rsidR="00F07C99" w:rsidRPr="008A5D1A" w14:paraId="470ADF74" w14:textId="77777777" w:rsidTr="007A7629">
        <w:trPr>
          <w:jc w:val="center"/>
        </w:trPr>
        <w:tc>
          <w:tcPr>
            <w:tcW w:w="1283" w:type="dxa"/>
            <w:tcBorders>
              <w:top w:val="single" w:sz="4" w:space="0" w:color="auto"/>
            </w:tcBorders>
          </w:tcPr>
          <w:p w14:paraId="7C394F5F" w14:textId="77777777" w:rsidR="00F07C99" w:rsidRPr="008A5D1A" w:rsidRDefault="00F07C99" w:rsidP="007A7629">
            <w:pPr>
              <w:rPr>
                <w:color w:val="000000" w:themeColor="text1"/>
                <w:sz w:val="20"/>
              </w:rPr>
            </w:pPr>
            <w:r w:rsidRPr="008A5D1A">
              <w:rPr>
                <w:color w:val="000000" w:themeColor="text1"/>
                <w:sz w:val="20"/>
              </w:rPr>
              <w:t>Site</w:t>
            </w:r>
          </w:p>
        </w:tc>
        <w:tc>
          <w:tcPr>
            <w:tcW w:w="1137" w:type="dxa"/>
            <w:tcBorders>
              <w:top w:val="single" w:sz="4" w:space="0" w:color="auto"/>
            </w:tcBorders>
          </w:tcPr>
          <w:p w14:paraId="3DA6E779" w14:textId="77777777" w:rsidR="00F07C99" w:rsidRPr="008A5D1A" w:rsidRDefault="00F07C99" w:rsidP="007A7629">
            <w:pPr>
              <w:jc w:val="right"/>
              <w:rPr>
                <w:color w:val="000000" w:themeColor="text1"/>
                <w:sz w:val="20"/>
              </w:rPr>
            </w:pPr>
          </w:p>
        </w:tc>
      </w:tr>
      <w:tr w:rsidR="00F07C99" w:rsidRPr="008A5D1A" w14:paraId="44A069B7" w14:textId="77777777" w:rsidTr="007A7629">
        <w:trPr>
          <w:jc w:val="center"/>
        </w:trPr>
        <w:tc>
          <w:tcPr>
            <w:tcW w:w="1283" w:type="dxa"/>
          </w:tcPr>
          <w:p w14:paraId="072B3E75" w14:textId="77777777" w:rsidR="00F07C99" w:rsidRPr="008A5D1A" w:rsidRDefault="00F07C99" w:rsidP="007A7629">
            <w:pPr>
              <w:rPr>
                <w:color w:val="000000" w:themeColor="text1"/>
                <w:sz w:val="20"/>
              </w:rPr>
            </w:pPr>
            <w:r w:rsidRPr="008A5D1A">
              <w:rPr>
                <w:color w:val="000000" w:themeColor="text1"/>
                <w:sz w:val="20"/>
              </w:rPr>
              <w:t>Site 1</w:t>
            </w:r>
          </w:p>
        </w:tc>
        <w:tc>
          <w:tcPr>
            <w:tcW w:w="1137" w:type="dxa"/>
          </w:tcPr>
          <w:p w14:paraId="2107D5C3" w14:textId="77777777" w:rsidR="00F07C99" w:rsidRPr="008A5D1A" w:rsidRDefault="00F07C99" w:rsidP="007A7629">
            <w:pPr>
              <w:jc w:val="right"/>
              <w:rPr>
                <w:color w:val="000000" w:themeColor="text1"/>
                <w:sz w:val="20"/>
              </w:rPr>
            </w:pPr>
            <w:r w:rsidRPr="008A5D1A">
              <w:rPr>
                <w:color w:val="000000" w:themeColor="text1"/>
                <w:sz w:val="20"/>
              </w:rPr>
              <w:t>27</w:t>
            </w:r>
          </w:p>
        </w:tc>
      </w:tr>
      <w:tr w:rsidR="00F07C99" w:rsidRPr="008A5D1A" w14:paraId="5173C308" w14:textId="77777777" w:rsidTr="007A7629">
        <w:trPr>
          <w:jc w:val="center"/>
        </w:trPr>
        <w:tc>
          <w:tcPr>
            <w:tcW w:w="1283" w:type="dxa"/>
          </w:tcPr>
          <w:p w14:paraId="59045D15" w14:textId="77777777" w:rsidR="00F07C99" w:rsidRPr="008A5D1A" w:rsidRDefault="00F07C99" w:rsidP="007A7629">
            <w:pPr>
              <w:rPr>
                <w:color w:val="000000" w:themeColor="text1"/>
                <w:sz w:val="20"/>
              </w:rPr>
            </w:pPr>
            <w:r w:rsidRPr="008A5D1A">
              <w:rPr>
                <w:color w:val="000000" w:themeColor="text1"/>
                <w:sz w:val="20"/>
              </w:rPr>
              <w:t>Site 2</w:t>
            </w:r>
          </w:p>
        </w:tc>
        <w:tc>
          <w:tcPr>
            <w:tcW w:w="1137" w:type="dxa"/>
          </w:tcPr>
          <w:p w14:paraId="1773D309" w14:textId="77777777" w:rsidR="00F07C99" w:rsidRPr="008A5D1A" w:rsidRDefault="00F07C99" w:rsidP="007A7629">
            <w:pPr>
              <w:jc w:val="right"/>
              <w:rPr>
                <w:color w:val="000000" w:themeColor="text1"/>
                <w:sz w:val="20"/>
              </w:rPr>
            </w:pPr>
            <w:r w:rsidRPr="008A5D1A">
              <w:rPr>
                <w:color w:val="000000" w:themeColor="text1"/>
                <w:sz w:val="20"/>
              </w:rPr>
              <w:t>3</w:t>
            </w:r>
          </w:p>
        </w:tc>
      </w:tr>
      <w:tr w:rsidR="00F07C99" w:rsidRPr="008A5D1A" w14:paraId="0D19DFB3" w14:textId="77777777" w:rsidTr="007A7629">
        <w:trPr>
          <w:jc w:val="center"/>
        </w:trPr>
        <w:tc>
          <w:tcPr>
            <w:tcW w:w="1283" w:type="dxa"/>
            <w:tcBorders>
              <w:bottom w:val="single" w:sz="4" w:space="0" w:color="auto"/>
            </w:tcBorders>
          </w:tcPr>
          <w:p w14:paraId="610DDDAD" w14:textId="77777777" w:rsidR="00F07C99" w:rsidRPr="008A5D1A" w:rsidRDefault="00F07C99" w:rsidP="007A7629">
            <w:pPr>
              <w:rPr>
                <w:color w:val="000000" w:themeColor="text1"/>
                <w:sz w:val="20"/>
              </w:rPr>
            </w:pPr>
            <w:r w:rsidRPr="008A5D1A">
              <w:rPr>
                <w:color w:val="000000" w:themeColor="text1"/>
                <w:sz w:val="20"/>
              </w:rPr>
              <w:t>Site 3</w:t>
            </w:r>
          </w:p>
        </w:tc>
        <w:tc>
          <w:tcPr>
            <w:tcW w:w="1137" w:type="dxa"/>
            <w:tcBorders>
              <w:bottom w:val="single" w:sz="4" w:space="0" w:color="auto"/>
            </w:tcBorders>
          </w:tcPr>
          <w:p w14:paraId="6BFE1288" w14:textId="77777777" w:rsidR="00F07C99" w:rsidRPr="008A5D1A" w:rsidRDefault="00F07C99" w:rsidP="007A7629">
            <w:pPr>
              <w:jc w:val="right"/>
              <w:rPr>
                <w:color w:val="000000" w:themeColor="text1"/>
                <w:sz w:val="20"/>
              </w:rPr>
            </w:pPr>
            <w:r w:rsidRPr="008A5D1A">
              <w:rPr>
                <w:color w:val="000000" w:themeColor="text1"/>
                <w:sz w:val="20"/>
              </w:rPr>
              <w:t>2</w:t>
            </w:r>
          </w:p>
        </w:tc>
      </w:tr>
      <w:tr w:rsidR="00F07C99" w:rsidRPr="008A5D1A" w14:paraId="4CEEE568" w14:textId="77777777" w:rsidTr="007A7629">
        <w:trPr>
          <w:jc w:val="center"/>
        </w:trPr>
        <w:tc>
          <w:tcPr>
            <w:tcW w:w="1283" w:type="dxa"/>
            <w:tcBorders>
              <w:top w:val="single" w:sz="4" w:space="0" w:color="auto"/>
            </w:tcBorders>
          </w:tcPr>
          <w:p w14:paraId="34A785E8" w14:textId="77777777" w:rsidR="00F07C99" w:rsidRPr="008A5D1A" w:rsidRDefault="00F07C99" w:rsidP="007A7629">
            <w:pPr>
              <w:rPr>
                <w:color w:val="000000" w:themeColor="text1"/>
                <w:sz w:val="20"/>
              </w:rPr>
            </w:pPr>
            <w:r w:rsidRPr="008A5D1A">
              <w:rPr>
                <w:color w:val="000000" w:themeColor="text1"/>
                <w:sz w:val="20"/>
              </w:rPr>
              <w:t>Sex</w:t>
            </w:r>
          </w:p>
        </w:tc>
        <w:tc>
          <w:tcPr>
            <w:tcW w:w="1137" w:type="dxa"/>
            <w:tcBorders>
              <w:top w:val="single" w:sz="4" w:space="0" w:color="auto"/>
            </w:tcBorders>
          </w:tcPr>
          <w:p w14:paraId="19C8F1BF" w14:textId="77777777" w:rsidR="00F07C99" w:rsidRPr="008A5D1A" w:rsidRDefault="00F07C99" w:rsidP="007A7629">
            <w:pPr>
              <w:jc w:val="right"/>
              <w:rPr>
                <w:color w:val="000000" w:themeColor="text1"/>
                <w:sz w:val="20"/>
              </w:rPr>
            </w:pPr>
          </w:p>
        </w:tc>
      </w:tr>
      <w:tr w:rsidR="00F07C99" w:rsidRPr="008A5D1A" w14:paraId="48F271EC" w14:textId="77777777" w:rsidTr="007A7629">
        <w:trPr>
          <w:jc w:val="center"/>
        </w:trPr>
        <w:tc>
          <w:tcPr>
            <w:tcW w:w="1283" w:type="dxa"/>
          </w:tcPr>
          <w:p w14:paraId="03E3A964" w14:textId="77777777" w:rsidR="00F07C99" w:rsidRPr="008A5D1A" w:rsidRDefault="00F07C99" w:rsidP="007A7629">
            <w:pPr>
              <w:rPr>
                <w:color w:val="000000" w:themeColor="text1"/>
                <w:sz w:val="20"/>
              </w:rPr>
            </w:pPr>
            <w:r w:rsidRPr="008A5D1A">
              <w:rPr>
                <w:color w:val="000000" w:themeColor="text1"/>
                <w:sz w:val="20"/>
              </w:rPr>
              <w:t>Male</w:t>
            </w:r>
          </w:p>
        </w:tc>
        <w:tc>
          <w:tcPr>
            <w:tcW w:w="1137" w:type="dxa"/>
          </w:tcPr>
          <w:p w14:paraId="4FE6164D" w14:textId="77777777" w:rsidR="00F07C99" w:rsidRPr="008A5D1A" w:rsidRDefault="00F07C99" w:rsidP="007A7629">
            <w:pPr>
              <w:jc w:val="right"/>
              <w:rPr>
                <w:color w:val="000000" w:themeColor="text1"/>
                <w:sz w:val="20"/>
              </w:rPr>
            </w:pPr>
            <w:r w:rsidRPr="008A5D1A">
              <w:rPr>
                <w:color w:val="000000" w:themeColor="text1"/>
                <w:sz w:val="20"/>
              </w:rPr>
              <w:t>19</w:t>
            </w:r>
          </w:p>
        </w:tc>
      </w:tr>
      <w:tr w:rsidR="00F07C99" w:rsidRPr="008A5D1A" w14:paraId="42DB0042" w14:textId="77777777" w:rsidTr="007A7629">
        <w:trPr>
          <w:jc w:val="center"/>
        </w:trPr>
        <w:tc>
          <w:tcPr>
            <w:tcW w:w="1283" w:type="dxa"/>
            <w:tcBorders>
              <w:bottom w:val="single" w:sz="4" w:space="0" w:color="auto"/>
            </w:tcBorders>
          </w:tcPr>
          <w:p w14:paraId="18093E6F" w14:textId="77777777" w:rsidR="00F07C99" w:rsidRPr="008A5D1A" w:rsidRDefault="00F07C99" w:rsidP="007A7629">
            <w:pPr>
              <w:rPr>
                <w:color w:val="000000" w:themeColor="text1"/>
                <w:sz w:val="20"/>
              </w:rPr>
            </w:pPr>
            <w:r w:rsidRPr="008A5D1A">
              <w:rPr>
                <w:color w:val="000000" w:themeColor="text1"/>
                <w:sz w:val="20"/>
              </w:rPr>
              <w:t>Female</w:t>
            </w:r>
          </w:p>
        </w:tc>
        <w:tc>
          <w:tcPr>
            <w:tcW w:w="1137" w:type="dxa"/>
            <w:tcBorders>
              <w:bottom w:val="single" w:sz="4" w:space="0" w:color="auto"/>
            </w:tcBorders>
          </w:tcPr>
          <w:p w14:paraId="35ACD7AE" w14:textId="77777777" w:rsidR="00F07C99" w:rsidRPr="008A5D1A" w:rsidRDefault="00F07C99" w:rsidP="007A7629">
            <w:pPr>
              <w:jc w:val="right"/>
              <w:rPr>
                <w:color w:val="000000" w:themeColor="text1"/>
                <w:sz w:val="20"/>
              </w:rPr>
            </w:pPr>
            <w:r w:rsidRPr="008A5D1A">
              <w:rPr>
                <w:color w:val="000000" w:themeColor="text1"/>
                <w:sz w:val="20"/>
              </w:rPr>
              <w:t>13</w:t>
            </w:r>
          </w:p>
        </w:tc>
      </w:tr>
    </w:tbl>
    <w:p w14:paraId="28B794E0" w14:textId="77777777" w:rsidR="00F07C99" w:rsidRDefault="00F07C99" w:rsidP="00F07C99">
      <w:pPr>
        <w:rPr>
          <w:rFonts w:ascii="Times New Roman" w:hAnsi="Times New Roman" w:cs="Times New Roman"/>
          <w:sz w:val="20"/>
          <w:szCs w:val="20"/>
          <w:lang w:val="en-US"/>
        </w:rPr>
      </w:pPr>
    </w:p>
    <w:p w14:paraId="63CF032B" w14:textId="1CB941A9" w:rsidR="003E253E" w:rsidRPr="00EF6A19" w:rsidRDefault="003E253E" w:rsidP="003E253E">
      <w:pPr>
        <w:rPr>
          <w:rFonts w:ascii="Times New Roman" w:hAnsi="Times New Roman" w:cs="Times New Roman"/>
          <w:b/>
          <w:bCs/>
          <w:sz w:val="20"/>
          <w:szCs w:val="20"/>
          <w:lang w:val="en-US"/>
        </w:rPr>
      </w:pPr>
      <w:r>
        <w:rPr>
          <w:rFonts w:ascii="Times New Roman" w:hAnsi="Times New Roman" w:cs="Times New Roman"/>
          <w:b/>
          <w:bCs/>
          <w:sz w:val="20"/>
          <w:szCs w:val="20"/>
          <w:lang w:val="en-US"/>
        </w:rPr>
        <w:t>Reference</w:t>
      </w:r>
      <w:r w:rsidRPr="00EF6A19">
        <w:rPr>
          <w:rFonts w:ascii="Times New Roman" w:hAnsi="Times New Roman" w:cs="Times New Roman"/>
          <w:b/>
          <w:bCs/>
          <w:sz w:val="20"/>
          <w:szCs w:val="20"/>
          <w:lang w:val="en-US"/>
        </w:rPr>
        <w:t>s</w:t>
      </w:r>
    </w:p>
    <w:p w14:paraId="16CA049F" w14:textId="5B785030" w:rsidR="00F64D8E" w:rsidRDefault="00F64D8E" w:rsidP="003E253E">
      <w:pPr>
        <w:rPr>
          <w:rFonts w:ascii="Times New Roman" w:hAnsi="Times New Roman" w:cs="Times New Roman"/>
          <w:sz w:val="20"/>
          <w:szCs w:val="20"/>
          <w:lang w:val="en-US"/>
        </w:rPr>
      </w:pPr>
      <w:r w:rsidRPr="00F64D8E">
        <w:rPr>
          <w:rFonts w:ascii="Times New Roman" w:hAnsi="Times New Roman" w:cs="Times New Roman"/>
          <w:sz w:val="20"/>
          <w:szCs w:val="20"/>
          <w:lang w:val="en-US"/>
        </w:rPr>
        <w:t xml:space="preserve">Costanzo, S. D., M. J. O’Donohue, W. C. Dennison, N. R. </w:t>
      </w:r>
      <w:proofErr w:type="spellStart"/>
      <w:r w:rsidRPr="00F64D8E">
        <w:rPr>
          <w:rFonts w:ascii="Times New Roman" w:hAnsi="Times New Roman" w:cs="Times New Roman"/>
          <w:sz w:val="20"/>
          <w:szCs w:val="20"/>
          <w:lang w:val="en-US"/>
        </w:rPr>
        <w:t>Loneragan</w:t>
      </w:r>
      <w:proofErr w:type="spellEnd"/>
      <w:r w:rsidRPr="00F64D8E">
        <w:rPr>
          <w:rFonts w:ascii="Times New Roman" w:hAnsi="Times New Roman" w:cs="Times New Roman"/>
          <w:sz w:val="20"/>
          <w:szCs w:val="20"/>
          <w:lang w:val="en-US"/>
        </w:rPr>
        <w:t xml:space="preserve">, and M. Thomas. 2001. A new approach for detecting and mapping sewage impacts. Marine Pollution Bulletin 42(2):149–156. </w:t>
      </w:r>
      <w:hyperlink r:id="rId4" w:history="1">
        <w:r w:rsidRPr="00250E8F">
          <w:rPr>
            <w:rStyle w:val="Hyperlink"/>
            <w:rFonts w:ascii="Times New Roman" w:hAnsi="Times New Roman" w:cs="Times New Roman"/>
            <w:sz w:val="20"/>
            <w:szCs w:val="20"/>
            <w:lang w:val="en-US"/>
          </w:rPr>
          <w:t>https://doi.org/10.1016/S0025-326X(00)00125-9</w:t>
        </w:r>
      </w:hyperlink>
    </w:p>
    <w:p w14:paraId="52656D68" w14:textId="4F1BEE4C" w:rsidR="00F64D8E" w:rsidRDefault="00F64D8E" w:rsidP="003E253E">
      <w:pPr>
        <w:rPr>
          <w:rFonts w:ascii="Times New Roman" w:hAnsi="Times New Roman" w:cs="Times New Roman"/>
          <w:sz w:val="20"/>
          <w:szCs w:val="20"/>
          <w:lang w:val="en-US"/>
        </w:rPr>
      </w:pPr>
      <w:r w:rsidRPr="00F64D8E">
        <w:rPr>
          <w:rFonts w:ascii="Times New Roman" w:hAnsi="Times New Roman" w:cs="Times New Roman"/>
          <w:sz w:val="20"/>
          <w:szCs w:val="20"/>
          <w:lang w:val="en-US"/>
        </w:rPr>
        <w:t xml:space="preserve">Huang, M., Q. Li, T. Le, and F. Tan. 2015. Foliar carbon isotope discrimination and water sources of mangrove forests along natural soil salinity gradients and implications for their distribution pattern. Nature Environment and Pollution Technology 14:957. Retrieved from </w:t>
      </w:r>
      <w:hyperlink r:id="rId5" w:history="1">
        <w:r w:rsidRPr="00250E8F">
          <w:rPr>
            <w:rStyle w:val="Hyperlink"/>
            <w:rFonts w:ascii="Times New Roman" w:hAnsi="Times New Roman" w:cs="Times New Roman"/>
            <w:sz w:val="20"/>
            <w:szCs w:val="20"/>
            <w:lang w:val="en-US"/>
          </w:rPr>
          <w:t>https://neptjournal.com/upload-images/NL-54-37-(35)D-346.pdf</w:t>
        </w:r>
      </w:hyperlink>
    </w:p>
    <w:p w14:paraId="0CC0EC1C" w14:textId="3118DAD0" w:rsidR="00F64D8E" w:rsidRDefault="00F64D8E" w:rsidP="003E253E">
      <w:pPr>
        <w:rPr>
          <w:rFonts w:ascii="Times New Roman" w:hAnsi="Times New Roman" w:cs="Times New Roman"/>
          <w:sz w:val="20"/>
          <w:szCs w:val="20"/>
          <w:lang w:val="en-US"/>
        </w:rPr>
      </w:pPr>
      <w:r w:rsidRPr="00F64D8E">
        <w:rPr>
          <w:rFonts w:ascii="Times New Roman" w:hAnsi="Times New Roman" w:cs="Times New Roman"/>
          <w:sz w:val="20"/>
          <w:szCs w:val="20"/>
          <w:lang w:val="en-US"/>
        </w:rPr>
        <w:t xml:space="preserve">Koba, K., K. Kinoshita, Y. Onishi, K. Fukushima, K. Osaka, N. Matsuo, K. </w:t>
      </w:r>
      <w:proofErr w:type="spellStart"/>
      <w:r w:rsidRPr="00F64D8E">
        <w:rPr>
          <w:rFonts w:ascii="Times New Roman" w:hAnsi="Times New Roman" w:cs="Times New Roman"/>
          <w:sz w:val="20"/>
          <w:szCs w:val="20"/>
          <w:lang w:val="en-US"/>
        </w:rPr>
        <w:t>Funakawa</w:t>
      </w:r>
      <w:proofErr w:type="spellEnd"/>
      <w:r w:rsidRPr="00F64D8E">
        <w:rPr>
          <w:rFonts w:ascii="Times New Roman" w:hAnsi="Times New Roman" w:cs="Times New Roman"/>
          <w:sz w:val="20"/>
          <w:szCs w:val="20"/>
          <w:lang w:val="en-US"/>
        </w:rPr>
        <w:t xml:space="preserve">, Y. Seko, A. Medo, R. Hirasawa, N. Ogawa, F. Hyodo, and C. Yoshimizu. 2021. Carbon and nitrogen isotope analysis on small samples using a near-conventional EA-IRMS system (in Japanese with English abstract). Radioisotopes 70:700410. </w:t>
      </w:r>
      <w:hyperlink r:id="rId6" w:history="1">
        <w:r w:rsidRPr="00250E8F">
          <w:rPr>
            <w:rStyle w:val="Hyperlink"/>
            <w:rFonts w:ascii="Times New Roman" w:hAnsi="Times New Roman" w:cs="Times New Roman"/>
            <w:sz w:val="20"/>
            <w:szCs w:val="20"/>
            <w:lang w:val="en-US"/>
          </w:rPr>
          <w:t>https://doi.org/10.3769/radioisotopes.70.291</w:t>
        </w:r>
      </w:hyperlink>
    </w:p>
    <w:p w14:paraId="276ACE16" w14:textId="13182F17" w:rsidR="00F64D8E" w:rsidRDefault="00F64D8E" w:rsidP="003E253E">
      <w:pPr>
        <w:rPr>
          <w:rFonts w:ascii="Times New Roman" w:hAnsi="Times New Roman" w:cs="Times New Roman"/>
          <w:sz w:val="20"/>
          <w:szCs w:val="20"/>
          <w:lang w:val="en-US"/>
        </w:rPr>
      </w:pPr>
      <w:proofErr w:type="spellStart"/>
      <w:r w:rsidRPr="00F64D8E">
        <w:rPr>
          <w:rFonts w:ascii="Times New Roman" w:hAnsi="Times New Roman" w:cs="Times New Roman"/>
          <w:sz w:val="20"/>
          <w:szCs w:val="20"/>
          <w:lang w:val="en-US"/>
        </w:rPr>
        <w:lastRenderedPageBreak/>
        <w:t>Lugendo</w:t>
      </w:r>
      <w:proofErr w:type="spellEnd"/>
      <w:r w:rsidRPr="00F64D8E">
        <w:rPr>
          <w:rFonts w:ascii="Times New Roman" w:hAnsi="Times New Roman" w:cs="Times New Roman"/>
          <w:sz w:val="20"/>
          <w:szCs w:val="20"/>
          <w:lang w:val="en-US"/>
        </w:rPr>
        <w:t xml:space="preserve">, R. B., and A. I. </w:t>
      </w:r>
      <w:proofErr w:type="spellStart"/>
      <w:r w:rsidRPr="00F64D8E">
        <w:rPr>
          <w:rFonts w:ascii="Times New Roman" w:hAnsi="Times New Roman" w:cs="Times New Roman"/>
          <w:sz w:val="20"/>
          <w:szCs w:val="20"/>
          <w:lang w:val="en-US"/>
        </w:rPr>
        <w:t>Kimirei</w:t>
      </w:r>
      <w:proofErr w:type="spellEnd"/>
      <w:r w:rsidRPr="00F64D8E">
        <w:rPr>
          <w:rFonts w:ascii="Times New Roman" w:hAnsi="Times New Roman" w:cs="Times New Roman"/>
          <w:sz w:val="20"/>
          <w:szCs w:val="20"/>
          <w:lang w:val="en-US"/>
        </w:rPr>
        <w:t xml:space="preserve">. 2021. Anthropogenic nitrogen pollution in mangrove ecosystems along Dar es Salaam and Bagamoyo coasts in Tanzania. Marine Pollution Bulletin 168:112415. </w:t>
      </w:r>
      <w:hyperlink r:id="rId7" w:history="1">
        <w:r w:rsidRPr="00250E8F">
          <w:rPr>
            <w:rStyle w:val="Hyperlink"/>
            <w:rFonts w:ascii="Times New Roman" w:hAnsi="Times New Roman" w:cs="Times New Roman"/>
            <w:sz w:val="20"/>
            <w:szCs w:val="20"/>
            <w:lang w:val="en-US"/>
          </w:rPr>
          <w:t>https://doi.org/10.1016/j.marpolbul.2021.112415</w:t>
        </w:r>
      </w:hyperlink>
    </w:p>
    <w:p w14:paraId="779443BA" w14:textId="2100F86A" w:rsidR="00F64D8E" w:rsidRDefault="00F64D8E" w:rsidP="003E253E">
      <w:pPr>
        <w:rPr>
          <w:rFonts w:ascii="Times New Roman" w:hAnsi="Times New Roman" w:cs="Times New Roman"/>
          <w:sz w:val="20"/>
          <w:szCs w:val="20"/>
          <w:lang w:val="en-US"/>
        </w:rPr>
      </w:pPr>
      <w:r w:rsidRPr="00F64D8E">
        <w:rPr>
          <w:rFonts w:ascii="Times New Roman" w:hAnsi="Times New Roman" w:cs="Times New Roman"/>
          <w:sz w:val="20"/>
          <w:szCs w:val="20"/>
          <w:lang w:val="en-US"/>
        </w:rPr>
        <w:t xml:space="preserve">Savard, M. M., and R. T. W. </w:t>
      </w:r>
      <w:proofErr w:type="spellStart"/>
      <w:r w:rsidRPr="00F64D8E">
        <w:rPr>
          <w:rFonts w:ascii="Times New Roman" w:hAnsi="Times New Roman" w:cs="Times New Roman"/>
          <w:sz w:val="20"/>
          <w:szCs w:val="20"/>
          <w:lang w:val="en-US"/>
        </w:rPr>
        <w:t>Siegwolf</w:t>
      </w:r>
      <w:proofErr w:type="spellEnd"/>
      <w:r w:rsidRPr="00F64D8E">
        <w:rPr>
          <w:rFonts w:ascii="Times New Roman" w:hAnsi="Times New Roman" w:cs="Times New Roman"/>
          <w:sz w:val="20"/>
          <w:szCs w:val="20"/>
          <w:lang w:val="en-US"/>
        </w:rPr>
        <w:t xml:space="preserve">. 2022. Nitrogen Isotopes in Tree Rings—Challenges and Prospects. In: </w:t>
      </w:r>
      <w:proofErr w:type="spellStart"/>
      <w:r w:rsidRPr="00F64D8E">
        <w:rPr>
          <w:rFonts w:ascii="Times New Roman" w:hAnsi="Times New Roman" w:cs="Times New Roman"/>
          <w:sz w:val="20"/>
          <w:szCs w:val="20"/>
          <w:lang w:val="en-US"/>
        </w:rPr>
        <w:t>Siegwolf</w:t>
      </w:r>
      <w:proofErr w:type="spellEnd"/>
      <w:r w:rsidRPr="00F64D8E">
        <w:rPr>
          <w:rFonts w:ascii="Times New Roman" w:hAnsi="Times New Roman" w:cs="Times New Roman"/>
          <w:sz w:val="20"/>
          <w:szCs w:val="20"/>
          <w:lang w:val="en-US"/>
        </w:rPr>
        <w:t xml:space="preserve">, R.T.W., Brooks, J.R., Roden, J., Saurer, M. (eds) Stable Isotopes in Tree Rings. Tree Physiology, vol 8. Springer, Cham. </w:t>
      </w:r>
      <w:hyperlink r:id="rId8" w:history="1">
        <w:r w:rsidRPr="00250E8F">
          <w:rPr>
            <w:rStyle w:val="Hyperlink"/>
            <w:rFonts w:ascii="Times New Roman" w:hAnsi="Times New Roman" w:cs="Times New Roman"/>
            <w:sz w:val="20"/>
            <w:szCs w:val="20"/>
            <w:lang w:val="en-US"/>
          </w:rPr>
          <w:t>https://doi-org.kyoto-u.idm.oclc.org/10.1007/978-3-030-92698-4_12</w:t>
        </w:r>
      </w:hyperlink>
    </w:p>
    <w:p w14:paraId="764462C3" w14:textId="5E1FBED3" w:rsidR="00F64D8E" w:rsidRDefault="00F64D8E" w:rsidP="003E253E">
      <w:pPr>
        <w:rPr>
          <w:rFonts w:ascii="Times New Roman" w:hAnsi="Times New Roman" w:cs="Times New Roman"/>
          <w:sz w:val="20"/>
          <w:szCs w:val="20"/>
          <w:lang w:val="en-US"/>
        </w:rPr>
      </w:pPr>
      <w:r w:rsidRPr="00F64D8E">
        <w:rPr>
          <w:rFonts w:ascii="Times New Roman" w:hAnsi="Times New Roman" w:cs="Times New Roman"/>
          <w:sz w:val="20"/>
          <w:szCs w:val="20"/>
          <w:lang w:val="en-US"/>
        </w:rPr>
        <w:t xml:space="preserve">Tayasu, I., R. Hirasawa, N. O. Ogawa, N. </w:t>
      </w:r>
      <w:proofErr w:type="spellStart"/>
      <w:r w:rsidRPr="00F64D8E">
        <w:rPr>
          <w:rFonts w:ascii="Times New Roman" w:hAnsi="Times New Roman" w:cs="Times New Roman"/>
          <w:sz w:val="20"/>
          <w:szCs w:val="20"/>
          <w:lang w:val="en-US"/>
        </w:rPr>
        <w:t>Ohkouchi</w:t>
      </w:r>
      <w:proofErr w:type="spellEnd"/>
      <w:r w:rsidRPr="00F64D8E">
        <w:rPr>
          <w:rFonts w:ascii="Times New Roman" w:hAnsi="Times New Roman" w:cs="Times New Roman"/>
          <w:sz w:val="20"/>
          <w:szCs w:val="20"/>
          <w:lang w:val="en-US"/>
        </w:rPr>
        <w:t xml:space="preserve">, and K. Yamada. 2011. New organic reference materials for carbon- and nitrogen-stable isotope ratio measurements provided by Center for Ecological Research, Kyoto University, and Institute of </w:t>
      </w:r>
      <w:proofErr w:type="spellStart"/>
      <w:r w:rsidRPr="00F64D8E">
        <w:rPr>
          <w:rFonts w:ascii="Times New Roman" w:hAnsi="Times New Roman" w:cs="Times New Roman"/>
          <w:sz w:val="20"/>
          <w:szCs w:val="20"/>
          <w:lang w:val="en-US"/>
        </w:rPr>
        <w:t>Biogeosciences</w:t>
      </w:r>
      <w:proofErr w:type="spellEnd"/>
      <w:r w:rsidRPr="00F64D8E">
        <w:rPr>
          <w:rFonts w:ascii="Times New Roman" w:hAnsi="Times New Roman" w:cs="Times New Roman"/>
          <w:sz w:val="20"/>
          <w:szCs w:val="20"/>
          <w:lang w:val="en-US"/>
        </w:rPr>
        <w:t xml:space="preserve">, Japan Agency for Marine-Earth Science and Technology. Limnology 12:261–266. </w:t>
      </w:r>
      <w:hyperlink r:id="rId9" w:history="1">
        <w:r w:rsidRPr="00250E8F">
          <w:rPr>
            <w:rStyle w:val="Hyperlink"/>
            <w:rFonts w:ascii="Times New Roman" w:hAnsi="Times New Roman" w:cs="Times New Roman"/>
            <w:sz w:val="20"/>
            <w:szCs w:val="20"/>
            <w:lang w:val="en-US"/>
          </w:rPr>
          <w:t>https://doi.org/10.1007/s10201-011-0345-5</w:t>
        </w:r>
      </w:hyperlink>
    </w:p>
    <w:p w14:paraId="4571187E" w14:textId="5B1159DD" w:rsidR="00F64D8E" w:rsidRDefault="00F64D8E" w:rsidP="003E253E">
      <w:pPr>
        <w:rPr>
          <w:rFonts w:ascii="Times New Roman" w:hAnsi="Times New Roman" w:cs="Times New Roman"/>
          <w:sz w:val="20"/>
          <w:szCs w:val="20"/>
          <w:lang w:val="en-US"/>
        </w:rPr>
      </w:pPr>
      <w:r w:rsidRPr="00F64D8E">
        <w:rPr>
          <w:rFonts w:ascii="Times New Roman" w:hAnsi="Times New Roman" w:cs="Times New Roman"/>
          <w:sz w:val="20"/>
          <w:szCs w:val="20"/>
          <w:lang w:val="en-US"/>
        </w:rPr>
        <w:t xml:space="preserve">Wei, L., C. Yan, B. Ye, and X. Guo. 2008. Effects of salinity on leaf δ¹³C in three dominant mangrove species along salinity gradients in an estuarine wetland, southeast China. Journal of Coastal Research 24(1):267–272. </w:t>
      </w:r>
      <w:hyperlink r:id="rId10" w:history="1">
        <w:r w:rsidRPr="00250E8F">
          <w:rPr>
            <w:rStyle w:val="Hyperlink"/>
            <w:rFonts w:ascii="Times New Roman" w:hAnsi="Times New Roman" w:cs="Times New Roman"/>
            <w:sz w:val="20"/>
            <w:szCs w:val="20"/>
            <w:lang w:val="en-US"/>
          </w:rPr>
          <w:t>https://doi.org/10.2112/06-0765.1</w:t>
        </w:r>
      </w:hyperlink>
    </w:p>
    <w:p w14:paraId="4001F6C5" w14:textId="77777777" w:rsidR="00F64D8E" w:rsidRPr="00F07C99" w:rsidRDefault="00F64D8E" w:rsidP="003E253E">
      <w:pPr>
        <w:rPr>
          <w:rFonts w:ascii="Times New Roman" w:hAnsi="Times New Roman" w:cs="Times New Roman"/>
          <w:sz w:val="20"/>
          <w:szCs w:val="20"/>
          <w:lang w:val="en-US"/>
        </w:rPr>
      </w:pPr>
    </w:p>
    <w:sectPr w:rsidR="00F64D8E" w:rsidRPr="00F07C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99"/>
    <w:rsid w:val="000024D5"/>
    <w:rsid w:val="0005479A"/>
    <w:rsid w:val="000713F4"/>
    <w:rsid w:val="00094B32"/>
    <w:rsid w:val="000B1C36"/>
    <w:rsid w:val="000D7EFE"/>
    <w:rsid w:val="00105EA1"/>
    <w:rsid w:val="0012793F"/>
    <w:rsid w:val="001A5ACB"/>
    <w:rsid w:val="001F758B"/>
    <w:rsid w:val="003840F5"/>
    <w:rsid w:val="003E253E"/>
    <w:rsid w:val="00404047"/>
    <w:rsid w:val="00493902"/>
    <w:rsid w:val="004A1667"/>
    <w:rsid w:val="004B171A"/>
    <w:rsid w:val="00551FD1"/>
    <w:rsid w:val="00552348"/>
    <w:rsid w:val="005B11D4"/>
    <w:rsid w:val="005D3810"/>
    <w:rsid w:val="006D0BF0"/>
    <w:rsid w:val="006F66AB"/>
    <w:rsid w:val="00704027"/>
    <w:rsid w:val="00744D7E"/>
    <w:rsid w:val="00745FBA"/>
    <w:rsid w:val="007D1BF8"/>
    <w:rsid w:val="0084011D"/>
    <w:rsid w:val="00921B62"/>
    <w:rsid w:val="00927D68"/>
    <w:rsid w:val="00933193"/>
    <w:rsid w:val="00955459"/>
    <w:rsid w:val="00A63B77"/>
    <w:rsid w:val="00AC19A5"/>
    <w:rsid w:val="00AD6B96"/>
    <w:rsid w:val="00B001CD"/>
    <w:rsid w:val="00B648FD"/>
    <w:rsid w:val="00D223A8"/>
    <w:rsid w:val="00E15352"/>
    <w:rsid w:val="00E2722F"/>
    <w:rsid w:val="00ED229B"/>
    <w:rsid w:val="00EF6A19"/>
    <w:rsid w:val="00F07C99"/>
    <w:rsid w:val="00F1746A"/>
    <w:rsid w:val="00F35912"/>
    <w:rsid w:val="00F3743F"/>
    <w:rsid w:val="00F64D8E"/>
    <w:rsid w:val="00FE4DDB"/>
    <w:rsid w:val="00FF3A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15EE9A9"/>
  <w15:chartTrackingRefBased/>
  <w15:docId w15:val="{30C34A11-E0E6-0545-831A-67AE2A417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7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7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7C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7C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7C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7C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C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C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C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C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7C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7C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7C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7C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7C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C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C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C99"/>
    <w:rPr>
      <w:rFonts w:eastAsiaTheme="majorEastAsia" w:cstheme="majorBidi"/>
      <w:color w:val="272727" w:themeColor="text1" w:themeTint="D8"/>
    </w:rPr>
  </w:style>
  <w:style w:type="paragraph" w:styleId="Title">
    <w:name w:val="Title"/>
    <w:basedOn w:val="Normal"/>
    <w:next w:val="Normal"/>
    <w:link w:val="TitleChar"/>
    <w:uiPriority w:val="10"/>
    <w:qFormat/>
    <w:rsid w:val="00F07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C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C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C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C99"/>
    <w:pPr>
      <w:spacing w:before="160"/>
      <w:jc w:val="center"/>
    </w:pPr>
    <w:rPr>
      <w:i/>
      <w:iCs/>
      <w:color w:val="404040" w:themeColor="text1" w:themeTint="BF"/>
    </w:rPr>
  </w:style>
  <w:style w:type="character" w:customStyle="1" w:styleId="QuoteChar">
    <w:name w:val="Quote Char"/>
    <w:basedOn w:val="DefaultParagraphFont"/>
    <w:link w:val="Quote"/>
    <w:uiPriority w:val="29"/>
    <w:rsid w:val="00F07C99"/>
    <w:rPr>
      <w:i/>
      <w:iCs/>
      <w:color w:val="404040" w:themeColor="text1" w:themeTint="BF"/>
    </w:rPr>
  </w:style>
  <w:style w:type="paragraph" w:styleId="ListParagraph">
    <w:name w:val="List Paragraph"/>
    <w:basedOn w:val="Normal"/>
    <w:uiPriority w:val="34"/>
    <w:qFormat/>
    <w:rsid w:val="00F07C99"/>
    <w:pPr>
      <w:ind w:left="720"/>
      <w:contextualSpacing/>
    </w:pPr>
  </w:style>
  <w:style w:type="character" w:styleId="IntenseEmphasis">
    <w:name w:val="Intense Emphasis"/>
    <w:basedOn w:val="DefaultParagraphFont"/>
    <w:uiPriority w:val="21"/>
    <w:qFormat/>
    <w:rsid w:val="00F07C99"/>
    <w:rPr>
      <w:i/>
      <w:iCs/>
      <w:color w:val="0F4761" w:themeColor="accent1" w:themeShade="BF"/>
    </w:rPr>
  </w:style>
  <w:style w:type="paragraph" w:styleId="IntenseQuote">
    <w:name w:val="Intense Quote"/>
    <w:basedOn w:val="Normal"/>
    <w:next w:val="Normal"/>
    <w:link w:val="IntenseQuoteChar"/>
    <w:uiPriority w:val="30"/>
    <w:qFormat/>
    <w:rsid w:val="00F07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C99"/>
    <w:rPr>
      <w:i/>
      <w:iCs/>
      <w:color w:val="0F4761" w:themeColor="accent1" w:themeShade="BF"/>
    </w:rPr>
  </w:style>
  <w:style w:type="character" w:styleId="IntenseReference">
    <w:name w:val="Intense Reference"/>
    <w:basedOn w:val="DefaultParagraphFont"/>
    <w:uiPriority w:val="32"/>
    <w:qFormat/>
    <w:rsid w:val="00F07C99"/>
    <w:rPr>
      <w:b/>
      <w:bCs/>
      <w:smallCaps/>
      <w:color w:val="0F4761" w:themeColor="accent1" w:themeShade="BF"/>
      <w:spacing w:val="5"/>
    </w:rPr>
  </w:style>
  <w:style w:type="table" w:styleId="TableGrid">
    <w:name w:val="Table Grid"/>
    <w:basedOn w:val="TableNormal"/>
    <w:uiPriority w:val="39"/>
    <w:rsid w:val="00F07C99"/>
    <w:pPr>
      <w:spacing w:after="0" w:line="240" w:lineRule="auto"/>
    </w:pPr>
    <w:rPr>
      <w:rFonts w:ascii="Times New Roman" w:eastAsia="MS Mincho" w:hAnsi="Times New Roman" w:cs="Times New Roman"/>
      <w:sz w:val="21"/>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4D8E"/>
    <w:rPr>
      <w:color w:val="467886" w:themeColor="hyperlink"/>
      <w:u w:val="single"/>
    </w:rPr>
  </w:style>
  <w:style w:type="character" w:styleId="UnresolvedMention">
    <w:name w:val="Unresolved Mention"/>
    <w:basedOn w:val="DefaultParagraphFont"/>
    <w:uiPriority w:val="99"/>
    <w:semiHidden/>
    <w:unhideWhenUsed/>
    <w:rsid w:val="00F64D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kyoto-u.idm.oclc.org/10.1007/978-3-030-92698-4_12" TargetMode="External"/><Relationship Id="rId3" Type="http://schemas.openxmlformats.org/officeDocument/2006/relationships/webSettings" Target="webSettings.xml"/><Relationship Id="rId7" Type="http://schemas.openxmlformats.org/officeDocument/2006/relationships/hyperlink" Target="https://doi.org/10.1016/j.marpolbul.2021.11241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769/radioisotopes.70.291" TargetMode="External"/><Relationship Id="rId11" Type="http://schemas.openxmlformats.org/officeDocument/2006/relationships/fontTable" Target="fontTable.xml"/><Relationship Id="rId5" Type="http://schemas.openxmlformats.org/officeDocument/2006/relationships/hyperlink" Target="https://neptjournal.com/upload-images/NL-54-37-(35)D-346.pdf" TargetMode="External"/><Relationship Id="rId10" Type="http://schemas.openxmlformats.org/officeDocument/2006/relationships/hyperlink" Target="https://doi.org/10.2112/06-0765.1" TargetMode="External"/><Relationship Id="rId4" Type="http://schemas.openxmlformats.org/officeDocument/2006/relationships/hyperlink" Target="https://doi.org/10.1016/S0025-326X(00)00125-9" TargetMode="External"/><Relationship Id="rId9" Type="http://schemas.openxmlformats.org/officeDocument/2006/relationships/hyperlink" Target="https://doi.org/10.1007/s10201-011-034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1166</Words>
  <Characters>6650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uruma.karin.86j@st.kyoto-u.ac.jp</dc:creator>
  <cp:keywords/>
  <dc:description/>
  <cp:lastModifiedBy>uruma.karin.86j@st.kyoto-u.ac.jp</cp:lastModifiedBy>
  <cp:revision>5</cp:revision>
  <dcterms:created xsi:type="dcterms:W3CDTF">2026-05-21T04:56:00Z</dcterms:created>
  <dcterms:modified xsi:type="dcterms:W3CDTF">2026-05-27T02:07:00Z</dcterms:modified>
</cp:coreProperties>
</file>