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A151" w14:textId="77777777" w:rsidR="00D04619" w:rsidRDefault="00D04619" w:rsidP="00D04619">
      <w:pPr>
        <w:rPr>
          <w:rFonts w:ascii="Aptos" w:eastAsia="Aptos" w:hAnsi="Aptos" w:cs="Times New Roman"/>
          <w:b/>
          <w:bCs/>
          <w:sz w:val="28"/>
          <w:szCs w:val="28"/>
        </w:rPr>
      </w:pPr>
      <w:r w:rsidRPr="00390C48">
        <w:rPr>
          <w:rFonts w:ascii="Aptos" w:eastAsia="Aptos" w:hAnsi="Aptos" w:cs="Times New Roman"/>
          <w:b/>
          <w:bCs/>
          <w:sz w:val="28"/>
          <w:szCs w:val="28"/>
        </w:rPr>
        <w:t>Supplementary figures</w:t>
      </w:r>
      <w:r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2CD26B07" w14:textId="15EEA503" w:rsidR="00D249ED" w:rsidRPr="00D249ED" w:rsidRDefault="00D249ED" w:rsidP="00D249ED">
      <w:pPr>
        <w:jc w:val="center"/>
        <w:rPr>
          <w:rFonts w:ascii="Aptos" w:eastAsia="Aptos" w:hAnsi="Aptos" w:cs="Times New Roman"/>
          <w:noProof/>
          <w:sz w:val="22"/>
          <w:szCs w:val="22"/>
          <w:lang w:val="nb-NO"/>
        </w:rPr>
      </w:pPr>
    </w:p>
    <w:p w14:paraId="54768D7C" w14:textId="6595558E" w:rsidR="00D249ED" w:rsidRPr="00D249ED" w:rsidRDefault="00D249ED" w:rsidP="00D249ED">
      <w:pPr>
        <w:jc w:val="center"/>
        <w:rPr>
          <w:rFonts w:ascii="Aptos" w:eastAsia="Aptos" w:hAnsi="Aptos" w:cs="Times New Roman"/>
          <w:noProof/>
          <w:sz w:val="22"/>
          <w:szCs w:val="22"/>
          <w:lang w:val="nb-NO"/>
        </w:rPr>
      </w:pPr>
      <w:r w:rsidRPr="00D249ED">
        <w:rPr>
          <w:rFonts w:ascii="Aptos" w:eastAsia="Aptos" w:hAnsi="Aptos" w:cs="Times New Roman"/>
          <w:noProof/>
          <w:sz w:val="22"/>
          <w:szCs w:val="22"/>
          <w:lang w:val="nb-NO"/>
        </w:rPr>
        <w:drawing>
          <wp:inline distT="0" distB="0" distL="0" distR="0" wp14:anchorId="6A979686" wp14:editId="6661978E">
            <wp:extent cx="5760720" cy="5514975"/>
            <wp:effectExtent l="0" t="0" r="0" b="9525"/>
            <wp:docPr id="1427278543" name="Bilde 1" descr="Et bilde som inneholder tekst, diagram, line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78543" name="Bilde 1" descr="Et bilde som inneholder tekst, diagram, line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17205" w14:textId="1AB54CD0" w:rsidR="00D04619" w:rsidRPr="002D672C" w:rsidRDefault="00D04619" w:rsidP="00D04619">
      <w:pPr>
        <w:jc w:val="center"/>
        <w:rPr>
          <w:rFonts w:ascii="Aptos" w:eastAsia="Aptos" w:hAnsi="Aptos" w:cs="Times New Roman"/>
          <w:noProof/>
          <w:sz w:val="22"/>
          <w:szCs w:val="22"/>
        </w:rPr>
      </w:pPr>
    </w:p>
    <w:p w14:paraId="0380229B" w14:textId="77777777" w:rsidR="00D04619" w:rsidRDefault="00D04619" w:rsidP="00D04619">
      <w:pPr>
        <w:jc w:val="both"/>
        <w:rPr>
          <w:rFonts w:ascii="Aptos" w:eastAsia="Aptos" w:hAnsi="Aptos" w:cs="Times New Roman"/>
          <w:sz w:val="22"/>
          <w:szCs w:val="22"/>
        </w:rPr>
      </w:pPr>
      <w:r w:rsidRPr="00390C48">
        <w:rPr>
          <w:rFonts w:ascii="Aptos" w:eastAsia="Aptos" w:hAnsi="Aptos" w:cs="Times New Roman"/>
          <w:b/>
          <w:bCs/>
          <w:sz w:val="22"/>
          <w:szCs w:val="22"/>
        </w:rPr>
        <w:t>Supplementary Figure S</w:t>
      </w:r>
      <w:r>
        <w:rPr>
          <w:rFonts w:ascii="Aptos" w:eastAsia="Aptos" w:hAnsi="Aptos" w:cs="Times New Roman"/>
          <w:b/>
          <w:bCs/>
          <w:sz w:val="22"/>
          <w:szCs w:val="22"/>
        </w:rPr>
        <w:t>1</w:t>
      </w:r>
      <w:r w:rsidRPr="00390C48">
        <w:rPr>
          <w:rFonts w:ascii="Aptos" w:eastAsia="Aptos" w:hAnsi="Aptos" w:cs="Times New Roman"/>
          <w:b/>
          <w:bCs/>
          <w:sz w:val="22"/>
          <w:szCs w:val="22"/>
        </w:rPr>
        <w:t>.</w:t>
      </w:r>
      <w:r w:rsidRPr="00390C48">
        <w:rPr>
          <w:rFonts w:ascii="Aptos" w:eastAsia="Aptos" w:hAnsi="Aptos" w:cs="Times New Roman"/>
          <w:sz w:val="22"/>
          <w:szCs w:val="22"/>
        </w:rPr>
        <w:t xml:space="preserve"> </w:t>
      </w:r>
      <w:r w:rsidRPr="00390C48">
        <w:rPr>
          <w:rFonts w:ascii="Aptos" w:eastAsia="Aptos" w:hAnsi="Aptos" w:cs="Times New Roman"/>
          <w:b/>
          <w:bCs/>
          <w:sz w:val="22"/>
          <w:szCs w:val="22"/>
        </w:rPr>
        <w:t>Histological tumor size and re-excision status.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390C48">
        <w:rPr>
          <w:rFonts w:ascii="Aptos" w:eastAsia="Aptos" w:hAnsi="Aptos" w:cs="Times New Roman"/>
          <w:sz w:val="22"/>
          <w:szCs w:val="22"/>
        </w:rPr>
        <w:t xml:space="preserve">Histological tumor size stratified by re-excision status: no re-excision (blue) and re-excision performed (red). The y-axis represents the final histological size. Differences in tumor size between the two groups were assessed using the Wilcoxon rank sum test; the corresponding </w:t>
      </w:r>
      <w:r w:rsidRPr="00390C48">
        <w:rPr>
          <w:rFonts w:ascii="Aptos" w:eastAsia="Aptos" w:hAnsi="Aptos" w:cs="Times New Roman"/>
          <w:i/>
          <w:iCs/>
          <w:sz w:val="22"/>
          <w:szCs w:val="22"/>
        </w:rPr>
        <w:t>p</w:t>
      </w:r>
      <w:r w:rsidRPr="00390C48">
        <w:rPr>
          <w:rFonts w:ascii="Aptos" w:eastAsia="Aptos" w:hAnsi="Aptos" w:cs="Times New Roman"/>
          <w:sz w:val="22"/>
          <w:szCs w:val="22"/>
        </w:rPr>
        <w:t xml:space="preserve">-value is shown. </w:t>
      </w:r>
    </w:p>
    <w:p w14:paraId="65BC404A" w14:textId="77777777" w:rsidR="00D04619" w:rsidRDefault="00D04619" w:rsidP="00D04619">
      <w:pPr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br w:type="page"/>
      </w:r>
    </w:p>
    <w:p w14:paraId="01FB48A1" w14:textId="77777777" w:rsidR="00D04619" w:rsidRPr="0094226C" w:rsidRDefault="00D04619" w:rsidP="00D04619">
      <w:pPr>
        <w:rPr>
          <w:rFonts w:ascii="Aptos" w:eastAsia="Aptos" w:hAnsi="Aptos" w:cs="Times New Roman"/>
          <w:sz w:val="22"/>
          <w:szCs w:val="22"/>
        </w:rPr>
      </w:pPr>
      <w:r w:rsidRPr="0094226C">
        <w:rPr>
          <w:rFonts w:ascii="Aptos" w:eastAsia="Aptos" w:hAnsi="Aptos" w:cs="Times New Roman"/>
          <w:noProof/>
          <w:sz w:val="22"/>
          <w:szCs w:val="22"/>
        </w:rPr>
        <w:lastRenderedPageBreak/>
        <w:drawing>
          <wp:inline distT="0" distB="0" distL="0" distR="0" wp14:anchorId="77ED77DC" wp14:editId="2854A7E5">
            <wp:extent cx="5760720" cy="3240405"/>
            <wp:effectExtent l="0" t="0" r="0" b="0"/>
            <wp:docPr id="617813539" name="Bilde 1" descr="Et bilde som inneholder tekst, skjermbilde, diagram, Parallel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13539" name="Bilde 1" descr="Et bilde som inneholder tekst, skjermbilde, diagram, Parallel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F1A0" w14:textId="77777777" w:rsidR="00D04619" w:rsidRPr="00036DDD" w:rsidRDefault="00D04619" w:rsidP="00D04619">
      <w:pPr>
        <w:jc w:val="both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b/>
          <w:bCs/>
          <w:sz w:val="22"/>
          <w:szCs w:val="22"/>
        </w:rPr>
        <w:t xml:space="preserve">Supplementary </w:t>
      </w:r>
      <w:r w:rsidRPr="00036DDD">
        <w:rPr>
          <w:rFonts w:ascii="Aptos" w:eastAsia="Aptos" w:hAnsi="Aptos" w:cs="Times New Roman"/>
          <w:b/>
          <w:bCs/>
          <w:sz w:val="22"/>
          <w:szCs w:val="22"/>
        </w:rPr>
        <w:t>Figure S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2. </w:t>
      </w:r>
      <w:r w:rsidRPr="0094226C">
        <w:rPr>
          <w:rFonts w:ascii="Aptos" w:eastAsia="Aptos" w:hAnsi="Aptos" w:cs="Times New Roman"/>
          <w:b/>
          <w:bCs/>
          <w:sz w:val="22"/>
          <w:szCs w:val="22"/>
        </w:rPr>
        <w:t>Imaging modalities by treatment groups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: </w:t>
      </w:r>
      <w:r w:rsidRPr="00036DDD">
        <w:rPr>
          <w:rFonts w:ascii="Aptos" w:eastAsia="Aptos" w:hAnsi="Aptos" w:cs="Times New Roman"/>
          <w:sz w:val="22"/>
          <w:szCs w:val="22"/>
        </w:rPr>
        <w:t>Stacked bar plots depicting the percentage of patients with documented imaging measurements for each modality, classified as performed or not performed, according to treatment group (PS</w:t>
      </w:r>
      <w:r>
        <w:rPr>
          <w:rFonts w:ascii="Aptos" w:eastAsia="Aptos" w:hAnsi="Aptos" w:cs="Times New Roman"/>
          <w:sz w:val="22"/>
          <w:szCs w:val="22"/>
        </w:rPr>
        <w:t>; yellow</w:t>
      </w:r>
      <w:r w:rsidRPr="00036DDD">
        <w:rPr>
          <w:rFonts w:ascii="Aptos" w:eastAsia="Aptos" w:hAnsi="Aptos" w:cs="Times New Roman"/>
          <w:sz w:val="22"/>
          <w:szCs w:val="22"/>
        </w:rPr>
        <w:t xml:space="preserve"> vs NST</w:t>
      </w:r>
      <w:r>
        <w:rPr>
          <w:rFonts w:ascii="Aptos" w:eastAsia="Aptos" w:hAnsi="Aptos" w:cs="Times New Roman"/>
          <w:sz w:val="22"/>
          <w:szCs w:val="22"/>
        </w:rPr>
        <w:t>; blue</w:t>
      </w:r>
      <w:r w:rsidRPr="00036DDD">
        <w:rPr>
          <w:rFonts w:ascii="Aptos" w:eastAsia="Aptos" w:hAnsi="Aptos" w:cs="Times New Roman"/>
          <w:sz w:val="22"/>
          <w:szCs w:val="22"/>
        </w:rPr>
        <w:t>).</w:t>
      </w:r>
    </w:p>
    <w:p w14:paraId="5D656E13" w14:textId="7B74FA81" w:rsidR="00D249ED" w:rsidRPr="00432C23" w:rsidRDefault="00D249ED" w:rsidP="00D249ED">
      <w:pPr>
        <w:rPr>
          <w:rFonts w:ascii="Aptos" w:eastAsia="Aptos" w:hAnsi="Aptos" w:cs="Times New Roman"/>
          <w:sz w:val="22"/>
          <w:szCs w:val="22"/>
        </w:rPr>
      </w:pPr>
    </w:p>
    <w:p w14:paraId="37CB5641" w14:textId="77777777" w:rsidR="00D04619" w:rsidRDefault="00D04619" w:rsidP="00D04619">
      <w:pPr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br w:type="page"/>
      </w:r>
    </w:p>
    <w:p w14:paraId="0EB8BEE7" w14:textId="77777777" w:rsidR="00D04619" w:rsidRPr="00711DEB" w:rsidRDefault="00D04619" w:rsidP="00D04619">
      <w:pPr>
        <w:rPr>
          <w:rFonts w:ascii="Aptos" w:eastAsia="Aptos" w:hAnsi="Aptos" w:cs="Times New Roman"/>
          <w:sz w:val="22"/>
          <w:szCs w:val="22"/>
        </w:rPr>
      </w:pPr>
      <w:r w:rsidRPr="00711DEB">
        <w:rPr>
          <w:rFonts w:ascii="Aptos" w:eastAsia="Aptos" w:hAnsi="Aptos" w:cs="Times New Roman"/>
          <w:noProof/>
          <w:sz w:val="22"/>
          <w:szCs w:val="22"/>
        </w:rPr>
        <w:lastRenderedPageBreak/>
        <w:drawing>
          <wp:inline distT="0" distB="0" distL="0" distR="0" wp14:anchorId="0D24EF84" wp14:editId="5D055339">
            <wp:extent cx="5760720" cy="5075555"/>
            <wp:effectExtent l="0" t="0" r="0" b="0"/>
            <wp:docPr id="2033726368" name="Bilde 7" descr="Et bilde som inneholder tekst, skjermbilde, diagram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26368" name="Bilde 7" descr="Et bilde som inneholder tekst, skjermbilde, diagram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05BBD" w14:textId="4AFC3DB8" w:rsidR="00D04619" w:rsidRPr="00390C48" w:rsidRDefault="00D04619" w:rsidP="00D04619">
      <w:pPr>
        <w:jc w:val="both"/>
        <w:rPr>
          <w:rFonts w:ascii="Aptos" w:eastAsia="Aptos" w:hAnsi="Aptos" w:cs="Times New Roman"/>
          <w:sz w:val="22"/>
          <w:szCs w:val="22"/>
        </w:rPr>
      </w:pPr>
      <w:r w:rsidRPr="00390C48">
        <w:rPr>
          <w:rFonts w:ascii="Aptos" w:eastAsia="Aptos" w:hAnsi="Aptos" w:cs="Times New Roman"/>
          <w:b/>
          <w:bCs/>
          <w:sz w:val="22"/>
          <w:szCs w:val="22"/>
        </w:rPr>
        <w:t>Supplementary Figure S</w:t>
      </w:r>
      <w:r>
        <w:rPr>
          <w:rFonts w:ascii="Aptos" w:eastAsia="Aptos" w:hAnsi="Aptos" w:cs="Times New Roman"/>
          <w:b/>
          <w:bCs/>
          <w:sz w:val="22"/>
          <w:szCs w:val="22"/>
        </w:rPr>
        <w:t>3</w:t>
      </w:r>
      <w:r w:rsidRPr="00390C48">
        <w:rPr>
          <w:rFonts w:ascii="Aptos" w:eastAsia="Aptos" w:hAnsi="Aptos" w:cs="Times New Roman"/>
          <w:b/>
          <w:bCs/>
          <w:sz w:val="22"/>
          <w:szCs w:val="22"/>
        </w:rPr>
        <w:t>.</w:t>
      </w:r>
      <w:r w:rsidRPr="00390C48">
        <w:rPr>
          <w:rFonts w:ascii="Aptos" w:eastAsia="Aptos" w:hAnsi="Aptos" w:cs="Times New Roman"/>
          <w:sz w:val="22"/>
          <w:szCs w:val="22"/>
        </w:rPr>
        <w:t xml:space="preserve"> </w:t>
      </w:r>
      <w:r w:rsidRPr="00390C48">
        <w:rPr>
          <w:rFonts w:ascii="Aptos" w:eastAsia="Aptos" w:hAnsi="Aptos" w:cs="Times New Roman"/>
          <w:b/>
          <w:bCs/>
          <w:sz w:val="22"/>
          <w:szCs w:val="22"/>
        </w:rPr>
        <w:t>Comparison and correlation of tumor size measurements.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390C48">
        <w:rPr>
          <w:rFonts w:ascii="Aptos" w:eastAsia="Aptos" w:hAnsi="Aptos" w:cs="Times New Roman"/>
          <w:sz w:val="22"/>
          <w:szCs w:val="22"/>
        </w:rPr>
        <w:t>Distribution of tumor size according to clinical and radiological size estimates in the NST group (A) and PS group (B).</w:t>
      </w:r>
      <w:r w:rsidRPr="00390C48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390C48">
        <w:rPr>
          <w:rFonts w:ascii="Aptos" w:eastAsia="Aptos" w:hAnsi="Aptos" w:cs="Times New Roman"/>
          <w:sz w:val="22"/>
          <w:szCs w:val="22"/>
        </w:rPr>
        <w:t xml:space="preserve">Pairwise comparisons were performed using the Wilcoxon rank sum test; </w:t>
      </w:r>
      <w:r w:rsidRPr="00B625A9">
        <w:rPr>
          <w:rFonts w:ascii="Aptos" w:eastAsia="Aptos" w:hAnsi="Aptos" w:cs="Times New Roman"/>
          <w:sz w:val="22"/>
          <w:szCs w:val="22"/>
        </w:rPr>
        <w:t>Statistical significance is indicated as follows: **** indicates p &lt; 0.0001; ns, not significant. The y-axis represents the final histological tumor size.</w:t>
      </w:r>
      <w:r w:rsidRPr="00711DEB">
        <w:rPr>
          <w:rFonts w:ascii="Aptos" w:eastAsia="Aptos" w:hAnsi="Aptos" w:cs="Times New Roman"/>
          <w:sz w:val="22"/>
          <w:szCs w:val="22"/>
        </w:rPr>
        <w:t xml:space="preserve"> (C)</w:t>
      </w:r>
      <w:r w:rsidRPr="00390C48">
        <w:rPr>
          <w:rFonts w:ascii="Aptos" w:eastAsia="Aptos" w:hAnsi="Aptos" w:cs="Times New Roman"/>
          <w:sz w:val="22"/>
          <w:szCs w:val="22"/>
        </w:rPr>
        <w:t xml:space="preserve"> Correlation matrix of tumor size measurements in the NST group, including palpable size, primary mammography (MX), primary ultrasound (US), primary MRI, </w:t>
      </w:r>
      <w:r w:rsidR="00D249ED">
        <w:rPr>
          <w:rFonts w:ascii="Aptos" w:eastAsia="Aptos" w:hAnsi="Aptos" w:cs="Times New Roman"/>
          <w:sz w:val="22"/>
          <w:szCs w:val="22"/>
        </w:rPr>
        <w:t>preoperative MRI</w:t>
      </w:r>
      <w:r w:rsidRPr="00390C48">
        <w:rPr>
          <w:rFonts w:ascii="Aptos" w:eastAsia="Aptos" w:hAnsi="Aptos" w:cs="Times New Roman"/>
          <w:sz w:val="22"/>
          <w:szCs w:val="22"/>
        </w:rPr>
        <w:t xml:space="preserve">, and final histological size. </w:t>
      </w:r>
      <w:r w:rsidR="00D249ED">
        <w:rPr>
          <w:rFonts w:ascii="Aptos" w:eastAsia="Aptos" w:hAnsi="Aptos" w:cs="Times New Roman"/>
          <w:sz w:val="22"/>
          <w:szCs w:val="22"/>
        </w:rPr>
        <w:t>The right</w:t>
      </w:r>
      <w:r w:rsidR="00D249ED" w:rsidRPr="00390C48">
        <w:rPr>
          <w:rFonts w:ascii="Aptos" w:eastAsia="Aptos" w:hAnsi="Aptos" w:cs="Times New Roman"/>
          <w:sz w:val="22"/>
          <w:szCs w:val="22"/>
        </w:rPr>
        <w:t>-side</w:t>
      </w:r>
      <w:r w:rsidRPr="00390C48">
        <w:rPr>
          <w:rFonts w:ascii="Aptos" w:eastAsia="Aptos" w:hAnsi="Aptos" w:cs="Times New Roman"/>
          <w:sz w:val="22"/>
          <w:szCs w:val="22"/>
        </w:rPr>
        <w:t xml:space="preserve"> annotation indicates the strength and direction of </w:t>
      </w:r>
      <w:r>
        <w:rPr>
          <w:rFonts w:ascii="Aptos" w:eastAsia="Aptos" w:hAnsi="Aptos" w:cs="Times New Roman"/>
          <w:sz w:val="22"/>
          <w:szCs w:val="22"/>
        </w:rPr>
        <w:t xml:space="preserve">the </w:t>
      </w:r>
      <w:r w:rsidRPr="00390C48">
        <w:rPr>
          <w:rFonts w:ascii="Aptos" w:eastAsia="Aptos" w:hAnsi="Aptos" w:cs="Times New Roman"/>
          <w:sz w:val="22"/>
          <w:szCs w:val="22"/>
        </w:rPr>
        <w:t xml:space="preserve">correlation coefficients. The circle size correlates </w:t>
      </w:r>
      <w:r>
        <w:rPr>
          <w:rFonts w:ascii="Aptos" w:eastAsia="Aptos" w:hAnsi="Aptos" w:cs="Times New Roman"/>
          <w:sz w:val="22"/>
          <w:szCs w:val="22"/>
        </w:rPr>
        <w:t>with</w:t>
      </w:r>
      <w:r w:rsidRPr="00390C48">
        <w:rPr>
          <w:rFonts w:ascii="Aptos" w:eastAsia="Aptos" w:hAnsi="Aptos" w:cs="Times New Roman"/>
          <w:sz w:val="22"/>
          <w:szCs w:val="22"/>
        </w:rPr>
        <w:t xml:space="preserve"> the magnitude of correlation. </w:t>
      </w:r>
    </w:p>
    <w:p w14:paraId="374C47DD" w14:textId="77777777" w:rsidR="00D04619" w:rsidRDefault="00D04619" w:rsidP="00D04619">
      <w:pPr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br w:type="page"/>
      </w:r>
    </w:p>
    <w:p w14:paraId="21D73DEF" w14:textId="3750FB99" w:rsidR="00D249ED" w:rsidRPr="00D249ED" w:rsidRDefault="00D249ED" w:rsidP="00D249ED">
      <w:pPr>
        <w:jc w:val="center"/>
        <w:rPr>
          <w:rFonts w:ascii="Aptos" w:eastAsia="Aptos" w:hAnsi="Aptos" w:cs="Times New Roman"/>
          <w:sz w:val="22"/>
          <w:szCs w:val="22"/>
          <w:lang w:val="nb-NO"/>
        </w:rPr>
      </w:pPr>
      <w:r w:rsidRPr="00D249ED">
        <w:rPr>
          <w:rFonts w:ascii="Aptos" w:eastAsia="Aptos" w:hAnsi="Aptos" w:cs="Times New Roman"/>
          <w:noProof/>
          <w:sz w:val="22"/>
          <w:szCs w:val="22"/>
          <w:lang w:val="nb-NO"/>
        </w:rPr>
        <w:lastRenderedPageBreak/>
        <w:drawing>
          <wp:inline distT="0" distB="0" distL="0" distR="0" wp14:anchorId="61555629" wp14:editId="2F123790">
            <wp:extent cx="5760720" cy="5739765"/>
            <wp:effectExtent l="0" t="0" r="0" b="0"/>
            <wp:docPr id="182139195" name="Bilde 3" descr="Et bilde som inneholder tekst, line, diagram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39195" name="Bilde 3" descr="Et bilde som inneholder tekst, line, diagram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B9D6" w14:textId="5296449D" w:rsidR="00D04619" w:rsidRPr="003E0E68" w:rsidRDefault="00D04619" w:rsidP="00D04619">
      <w:pPr>
        <w:jc w:val="center"/>
        <w:rPr>
          <w:rFonts w:ascii="Aptos" w:eastAsia="Aptos" w:hAnsi="Aptos" w:cs="Times New Roman"/>
          <w:sz w:val="22"/>
          <w:szCs w:val="22"/>
        </w:rPr>
      </w:pPr>
    </w:p>
    <w:p w14:paraId="007F0456" w14:textId="77777777" w:rsidR="00D04619" w:rsidRDefault="00D04619" w:rsidP="00D04619">
      <w:pPr>
        <w:jc w:val="both"/>
        <w:rPr>
          <w:rFonts w:ascii="Aptos" w:eastAsia="Aptos" w:hAnsi="Aptos" w:cs="Times New Roman"/>
          <w:sz w:val="22"/>
          <w:szCs w:val="22"/>
        </w:rPr>
      </w:pPr>
      <w:r w:rsidRPr="00390C48">
        <w:rPr>
          <w:rFonts w:ascii="Aptos" w:eastAsia="Aptos" w:hAnsi="Aptos" w:cs="Times New Roman"/>
          <w:b/>
          <w:bCs/>
          <w:sz w:val="22"/>
          <w:szCs w:val="22"/>
        </w:rPr>
        <w:t xml:space="preserve">Supplementary Figure </w:t>
      </w:r>
      <w:r>
        <w:rPr>
          <w:rFonts w:ascii="Aptos" w:eastAsia="Aptos" w:hAnsi="Aptos" w:cs="Times New Roman"/>
          <w:b/>
          <w:bCs/>
          <w:sz w:val="22"/>
          <w:szCs w:val="22"/>
        </w:rPr>
        <w:t>S4.</w:t>
      </w:r>
      <w:r w:rsidRPr="00390C48">
        <w:rPr>
          <w:rFonts w:ascii="Aptos" w:eastAsia="Aptos" w:hAnsi="Aptos" w:cs="Times New Roman"/>
          <w:b/>
          <w:bCs/>
          <w:sz w:val="22"/>
          <w:szCs w:val="22"/>
        </w:rPr>
        <w:t xml:space="preserve"> Response to 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NST: </w:t>
      </w:r>
      <w:r w:rsidRPr="00390C48">
        <w:rPr>
          <w:rFonts w:ascii="Aptos" w:eastAsia="Aptos" w:hAnsi="Aptos" w:cs="Times New Roman"/>
          <w:sz w:val="22"/>
          <w:szCs w:val="22"/>
        </w:rPr>
        <w:t>Individual patient trajectories from clinical tumor size (</w:t>
      </w:r>
      <w:r>
        <w:rPr>
          <w:rFonts w:ascii="Aptos" w:eastAsia="Aptos" w:hAnsi="Aptos" w:cs="Times New Roman"/>
          <w:sz w:val="22"/>
          <w:szCs w:val="22"/>
        </w:rPr>
        <w:t>post-NST</w:t>
      </w:r>
      <w:r w:rsidRPr="00390C48">
        <w:rPr>
          <w:rFonts w:ascii="Aptos" w:eastAsia="Aptos" w:hAnsi="Aptos" w:cs="Times New Roman"/>
          <w:sz w:val="22"/>
          <w:szCs w:val="22"/>
        </w:rPr>
        <w:t xml:space="preserve">) to pathological tumor size (ypT, post-treatment). Each line represents one patient, with the y-axis indicating tumor size in millimeters. Lines are color-coded according to treatment type: variants of standard chemotherapy, endocrine therapy, and anti-HER2 therapy. </w:t>
      </w:r>
      <w:r>
        <w:rPr>
          <w:rFonts w:ascii="Aptos" w:eastAsia="Aptos" w:hAnsi="Aptos" w:cs="Times New Roman"/>
          <w:sz w:val="22"/>
          <w:szCs w:val="22"/>
        </w:rPr>
        <w:t>Cases</w:t>
      </w:r>
      <w:r w:rsidRPr="00390C48"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>without</w:t>
      </w:r>
      <w:r w:rsidRPr="00390C48"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>an MRI post-NST</w:t>
      </w:r>
      <w:r w:rsidRPr="00390C48">
        <w:rPr>
          <w:rFonts w:ascii="Aptos" w:eastAsia="Aptos" w:hAnsi="Aptos" w:cs="Times New Roman"/>
          <w:sz w:val="22"/>
          <w:szCs w:val="22"/>
        </w:rPr>
        <w:t xml:space="preserve"> are not shown in this plot. </w:t>
      </w:r>
    </w:p>
    <w:p w14:paraId="23D6168F" w14:textId="77777777" w:rsidR="00D04619" w:rsidRDefault="00D04619" w:rsidP="00D04619">
      <w:pPr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br w:type="page"/>
      </w:r>
    </w:p>
    <w:p w14:paraId="672C3215" w14:textId="77777777" w:rsidR="00D04619" w:rsidRPr="003E0E68" w:rsidRDefault="00D04619" w:rsidP="00D04619">
      <w:pPr>
        <w:rPr>
          <w:rFonts w:ascii="Aptos" w:eastAsia="Aptos" w:hAnsi="Aptos" w:cs="Times New Roman"/>
          <w:sz w:val="22"/>
          <w:szCs w:val="22"/>
        </w:rPr>
      </w:pPr>
      <w:r w:rsidRPr="003E0E68">
        <w:rPr>
          <w:rFonts w:ascii="Aptos" w:eastAsia="Aptos" w:hAnsi="Aptos" w:cs="Times New Roman"/>
          <w:noProof/>
          <w:sz w:val="22"/>
          <w:szCs w:val="22"/>
        </w:rPr>
        <w:lastRenderedPageBreak/>
        <w:drawing>
          <wp:inline distT="0" distB="0" distL="0" distR="0" wp14:anchorId="6C4BC0B9" wp14:editId="312D701F">
            <wp:extent cx="5760720" cy="2033905"/>
            <wp:effectExtent l="0" t="0" r="0" b="4445"/>
            <wp:docPr id="1298545000" name="Bilde 9" descr="Et bilde som inneholder tekst, diagram, Font, Plottdiagra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45000" name="Bilde 9" descr="Et bilde som inneholder tekst, diagram, Font, Plottdiagra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A3592" w14:textId="77777777" w:rsidR="00D04619" w:rsidRPr="00390C48" w:rsidRDefault="00D04619" w:rsidP="00D04619">
      <w:pPr>
        <w:rPr>
          <w:rFonts w:ascii="Aptos" w:eastAsia="Aptos" w:hAnsi="Aptos" w:cs="Times New Roman"/>
          <w:sz w:val="22"/>
          <w:szCs w:val="22"/>
        </w:rPr>
      </w:pPr>
    </w:p>
    <w:p w14:paraId="4235ED6B" w14:textId="77777777" w:rsidR="00D04619" w:rsidRPr="00254196" w:rsidRDefault="00D04619" w:rsidP="00D04619">
      <w:pPr>
        <w:jc w:val="both"/>
        <w:rPr>
          <w:rFonts w:ascii="Aptos" w:eastAsia="Aptos" w:hAnsi="Aptos" w:cs="Times New Roman"/>
          <w:b/>
          <w:bCs/>
          <w:sz w:val="22"/>
          <w:szCs w:val="22"/>
        </w:rPr>
      </w:pPr>
      <w:r>
        <w:rPr>
          <w:rFonts w:ascii="Aptos" w:hAnsi="Aptos"/>
          <w:b/>
          <w:sz w:val="22"/>
        </w:rPr>
        <w:t xml:space="preserve">Supplementary </w:t>
      </w:r>
      <w:r w:rsidRPr="00BB36F9">
        <w:rPr>
          <w:rFonts w:ascii="Aptos" w:hAnsi="Aptos"/>
          <w:b/>
          <w:sz w:val="22"/>
        </w:rPr>
        <w:t xml:space="preserve">Figure </w:t>
      </w:r>
      <w:r>
        <w:rPr>
          <w:rFonts w:ascii="Aptos" w:hAnsi="Aptos"/>
          <w:b/>
          <w:sz w:val="22"/>
        </w:rPr>
        <w:t>S</w:t>
      </w:r>
      <w:r w:rsidRPr="00BB36F9">
        <w:rPr>
          <w:rFonts w:ascii="Aptos" w:hAnsi="Aptos"/>
          <w:b/>
          <w:sz w:val="22"/>
        </w:rPr>
        <w:t>5</w:t>
      </w:r>
      <w:r>
        <w:rPr>
          <w:rFonts w:ascii="Aptos" w:hAnsi="Aptos"/>
          <w:b/>
          <w:sz w:val="22"/>
        </w:rPr>
        <w:t xml:space="preserve"> </w:t>
      </w:r>
      <w:r w:rsidRPr="00F81252">
        <w:rPr>
          <w:rFonts w:ascii="Aptos" w:hAnsi="Aptos"/>
          <w:b/>
          <w:sz w:val="22"/>
        </w:rPr>
        <w:t>Survival outcomes according to treatment strategy in</w:t>
      </w:r>
      <w:r>
        <w:rPr>
          <w:rFonts w:ascii="Aptos" w:hAnsi="Aptos"/>
          <w:b/>
          <w:sz w:val="22"/>
        </w:rPr>
        <w:t xml:space="preserve"> </w:t>
      </w:r>
      <w:r w:rsidRPr="00BB36F9">
        <w:rPr>
          <w:rFonts w:ascii="Aptos" w:hAnsi="Aptos"/>
          <w:b/>
          <w:sz w:val="22"/>
        </w:rPr>
        <w:t>cases with invasive lobular carcinoma (ILC).</w:t>
      </w:r>
      <w:r>
        <w:rPr>
          <w:rFonts w:ascii="Aptos" w:hAnsi="Aptos"/>
          <w:b/>
          <w:sz w:val="22"/>
        </w:rPr>
        <w:t xml:space="preserve"> </w:t>
      </w:r>
      <w:r w:rsidRPr="00254196">
        <w:rPr>
          <w:rFonts w:ascii="Aptos" w:hAnsi="Aptos"/>
          <w:sz w:val="22"/>
        </w:rPr>
        <w:t xml:space="preserve">Kaplan–Meier curves comparing (A) </w:t>
      </w:r>
      <w:r>
        <w:rPr>
          <w:rFonts w:ascii="Aptos" w:hAnsi="Aptos"/>
          <w:sz w:val="22"/>
        </w:rPr>
        <w:t>DFS</w:t>
      </w:r>
      <w:r w:rsidRPr="00254196">
        <w:rPr>
          <w:rFonts w:ascii="Aptos" w:hAnsi="Aptos"/>
          <w:sz w:val="22"/>
        </w:rPr>
        <w:t xml:space="preserve">, (B) </w:t>
      </w:r>
      <w:r>
        <w:rPr>
          <w:rFonts w:ascii="Aptos" w:hAnsi="Aptos"/>
          <w:sz w:val="22"/>
        </w:rPr>
        <w:t>DSS,</w:t>
      </w:r>
      <w:r w:rsidRPr="00254196">
        <w:rPr>
          <w:rFonts w:ascii="Aptos" w:hAnsi="Aptos"/>
          <w:sz w:val="22"/>
        </w:rPr>
        <w:t xml:space="preserve"> and (C) </w:t>
      </w:r>
      <w:r>
        <w:rPr>
          <w:rFonts w:ascii="Aptos" w:hAnsi="Aptos"/>
          <w:sz w:val="22"/>
        </w:rPr>
        <w:t>OS</w:t>
      </w:r>
      <w:r w:rsidRPr="00254196">
        <w:rPr>
          <w:rFonts w:ascii="Aptos" w:hAnsi="Aptos"/>
          <w:sz w:val="22"/>
        </w:rPr>
        <w:t xml:space="preserve"> between patients treated with </w:t>
      </w:r>
      <w:r>
        <w:rPr>
          <w:rFonts w:ascii="Aptos" w:hAnsi="Aptos"/>
          <w:sz w:val="22"/>
        </w:rPr>
        <w:t>NST (</w:t>
      </w:r>
      <w:r w:rsidRPr="00254196">
        <w:rPr>
          <w:rFonts w:ascii="Aptos" w:hAnsi="Aptos"/>
          <w:sz w:val="22"/>
        </w:rPr>
        <w:t>blue) and PS</w:t>
      </w:r>
      <w:r>
        <w:rPr>
          <w:rFonts w:ascii="Aptos" w:hAnsi="Aptos"/>
          <w:sz w:val="22"/>
        </w:rPr>
        <w:t xml:space="preserve"> (</w:t>
      </w:r>
      <w:r w:rsidRPr="00254196">
        <w:rPr>
          <w:rFonts w:ascii="Aptos" w:hAnsi="Aptos"/>
          <w:sz w:val="22"/>
        </w:rPr>
        <w:t>yellow). Shaded areas represent 95% confidence intervals. Time is shown in months from definitive surgery. Numbers at risk are displayed below each panel. Survival distributions were compared using the log-rank test; no statistically significant differences were observed between treatment groups for DFS, DSS, or OS (all log-rank p &gt; 0.05).</w:t>
      </w:r>
    </w:p>
    <w:p w14:paraId="7A44E30C" w14:textId="77777777" w:rsidR="004A7E13" w:rsidRDefault="004A7E13"/>
    <w:sectPr w:rsidR="004A7E13" w:rsidSect="00DE28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5AA7" w14:textId="77777777" w:rsidR="00AF7B46" w:rsidRDefault="00AF7B46" w:rsidP="00432C23">
      <w:pPr>
        <w:spacing w:after="0" w:line="240" w:lineRule="auto"/>
      </w:pPr>
      <w:r>
        <w:separator/>
      </w:r>
    </w:p>
  </w:endnote>
  <w:endnote w:type="continuationSeparator" w:id="0">
    <w:p w14:paraId="1F1832B1" w14:textId="77777777" w:rsidR="00AF7B46" w:rsidRDefault="00AF7B46" w:rsidP="0043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14" w14:textId="77777777" w:rsidR="00432C23" w:rsidRDefault="00432C2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329042"/>
      <w:docPartObj>
        <w:docPartGallery w:val="Page Numbers (Bottom of Page)"/>
        <w:docPartUnique/>
      </w:docPartObj>
    </w:sdtPr>
    <w:sdtEndPr/>
    <w:sdtContent>
      <w:p w14:paraId="0A987FA4" w14:textId="2ACA53EE" w:rsidR="00432C23" w:rsidRDefault="00432C2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347431B8" w14:textId="77777777" w:rsidR="00432C23" w:rsidRDefault="00432C2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A0C" w14:textId="77777777" w:rsidR="00432C23" w:rsidRDefault="00432C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00F2" w14:textId="77777777" w:rsidR="00AF7B46" w:rsidRDefault="00AF7B46" w:rsidP="00432C23">
      <w:pPr>
        <w:spacing w:after="0" w:line="240" w:lineRule="auto"/>
      </w:pPr>
      <w:r>
        <w:separator/>
      </w:r>
    </w:p>
  </w:footnote>
  <w:footnote w:type="continuationSeparator" w:id="0">
    <w:p w14:paraId="515F16F7" w14:textId="77777777" w:rsidR="00AF7B46" w:rsidRDefault="00AF7B46" w:rsidP="0043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73C1" w14:textId="77777777" w:rsidR="00432C23" w:rsidRDefault="00432C2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6BE4" w14:textId="77777777" w:rsidR="00432C23" w:rsidRDefault="00432C2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1C7E" w14:textId="77777777" w:rsidR="00432C23" w:rsidRDefault="00432C2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9"/>
    <w:rsid w:val="00181D0C"/>
    <w:rsid w:val="00432C23"/>
    <w:rsid w:val="004A7E13"/>
    <w:rsid w:val="00A37F67"/>
    <w:rsid w:val="00AF7B46"/>
    <w:rsid w:val="00C94858"/>
    <w:rsid w:val="00D04619"/>
    <w:rsid w:val="00D249ED"/>
    <w:rsid w:val="00D427BE"/>
    <w:rsid w:val="00DD0F17"/>
    <w:rsid w:val="00DE2849"/>
    <w:rsid w:val="00E04C5B"/>
    <w:rsid w:val="00F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B18C"/>
  <w15:chartTrackingRefBased/>
  <w15:docId w15:val="{A10C471A-63EC-4C02-BCD3-4E44CD39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19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injenummer">
    <w:name w:val="line number"/>
    <w:basedOn w:val="Standardskriftforavsnitt"/>
    <w:uiPriority w:val="99"/>
    <w:semiHidden/>
    <w:unhideWhenUsed/>
    <w:rsid w:val="00D04619"/>
  </w:style>
  <w:style w:type="character" w:styleId="Merknadsreferanse">
    <w:name w:val="annotation reference"/>
    <w:basedOn w:val="Standardskriftforavsnitt"/>
    <w:uiPriority w:val="99"/>
    <w:semiHidden/>
    <w:unhideWhenUsed/>
    <w:rsid w:val="00FA58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A587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A5874"/>
    <w:rPr>
      <w:kern w:val="2"/>
      <w:sz w:val="20"/>
      <w:szCs w:val="20"/>
      <w:lang w:val="en-US"/>
      <w14:ligatures w14:val="standardContextu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A587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A5874"/>
    <w:rPr>
      <w:b/>
      <w:bCs/>
      <w:kern w:val="2"/>
      <w:sz w:val="20"/>
      <w:szCs w:val="20"/>
      <w:lang w:val="en-US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43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2C23"/>
    <w:rPr>
      <w:kern w:val="2"/>
      <w:sz w:val="24"/>
      <w:szCs w:val="24"/>
      <w:lang w:val="en-US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43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2C23"/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691C-406E-4C69-85C0-14E3B10A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Casas Arozamena</dc:creator>
  <cp:keywords/>
  <dc:description/>
  <cp:lastModifiedBy>Margit Riis</cp:lastModifiedBy>
  <cp:revision>2</cp:revision>
  <dcterms:created xsi:type="dcterms:W3CDTF">2026-04-27T11:32:00Z</dcterms:created>
  <dcterms:modified xsi:type="dcterms:W3CDTF">2026-04-27T11:32:00Z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1319e22d-42f8-4f1d-a016-e09455ea9443</vt:lpwstr>
  </property>
</Properties>
</file>