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37" w:rsidRPr="00D9624F" w:rsidRDefault="00777337" w:rsidP="00777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77337" w:rsidRPr="00D9624F" w:rsidRDefault="00777337" w:rsidP="0077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77337" w:rsidRPr="001C0B20" w:rsidRDefault="00777337" w:rsidP="00777337">
      <w:r w:rsidRPr="001C0B20">
        <w:rPr>
          <w:b/>
          <w:bCs/>
        </w:rPr>
        <w:t>Supplementary Materials and Methods</w:t>
      </w:r>
    </w:p>
    <w:p w:rsidR="00777337" w:rsidRPr="001C0B20" w:rsidRDefault="00777337" w:rsidP="00777337">
      <w:r w:rsidRPr="001C0B20">
        <w:rPr>
          <w:b/>
          <w:bCs/>
        </w:rPr>
        <w:t>S1. Detailed Sample Processing Protocol</w:t>
      </w:r>
    </w:p>
    <w:p w:rsidR="00777337" w:rsidRPr="001C0B20" w:rsidRDefault="00777337" w:rsidP="00777337">
      <w:r w:rsidRPr="001C0B20">
        <w:rPr>
          <w:b/>
          <w:bCs/>
        </w:rPr>
        <w:t>S1.1 FFPE Section Preparation</w:t>
      </w:r>
      <w:r w:rsidRPr="001C0B20">
        <w:br/>
      </w:r>
      <w:proofErr w:type="spellStart"/>
      <w:r w:rsidRPr="001C0B20">
        <w:t>Tumor</w:t>
      </w:r>
      <w:proofErr w:type="spellEnd"/>
      <w:r w:rsidRPr="001C0B20">
        <w:t xml:space="preserve"> tissue blocks were reviewed by board-certified pathologists to confirm diagnosis and assess </w:t>
      </w:r>
      <w:proofErr w:type="spellStart"/>
      <w:r w:rsidRPr="001C0B20">
        <w:t>tumor</w:t>
      </w:r>
      <w:proofErr w:type="spellEnd"/>
      <w:r w:rsidRPr="001C0B20">
        <w:t xml:space="preserve"> content. </w:t>
      </w:r>
      <w:proofErr w:type="spellStart"/>
      <w:r w:rsidRPr="001C0B20">
        <w:t>Hematoxylin</w:t>
      </w:r>
      <w:proofErr w:type="spellEnd"/>
      <w:r w:rsidRPr="001C0B20">
        <w:t xml:space="preserve">-eosin (H&amp;E)-stained slides were prepared from each block to estimate </w:t>
      </w:r>
      <w:proofErr w:type="spellStart"/>
      <w:r w:rsidRPr="001C0B20">
        <w:t>tumor</w:t>
      </w:r>
      <w:proofErr w:type="spellEnd"/>
      <w:r w:rsidRPr="001C0B20">
        <w:t xml:space="preserve"> cellularity. Areas with ≥30% </w:t>
      </w:r>
      <w:proofErr w:type="spellStart"/>
      <w:r w:rsidRPr="001C0B20">
        <w:t>tumor</w:t>
      </w:r>
      <w:proofErr w:type="spellEnd"/>
      <w:r w:rsidRPr="001C0B20">
        <w:t xml:space="preserve"> cell content were marked. When </w:t>
      </w:r>
      <w:proofErr w:type="spellStart"/>
      <w:r w:rsidRPr="001C0B20">
        <w:t>tumor</w:t>
      </w:r>
      <w:proofErr w:type="spellEnd"/>
      <w:r w:rsidRPr="001C0B20">
        <w:t xml:space="preserve"> content was &lt;30%, </w:t>
      </w:r>
      <w:proofErr w:type="spellStart"/>
      <w:r w:rsidRPr="001C0B20">
        <w:t>macrodissection</w:t>
      </w:r>
      <w:proofErr w:type="spellEnd"/>
      <w:r w:rsidRPr="001C0B20">
        <w:t xml:space="preserve"> was performed by scraping marked </w:t>
      </w:r>
      <w:proofErr w:type="spellStart"/>
      <w:r w:rsidRPr="001C0B20">
        <w:t>tumor</w:t>
      </w:r>
      <w:proofErr w:type="spellEnd"/>
      <w:r w:rsidRPr="001C0B20">
        <w:t xml:space="preserve"> areas from 3-5 adjacent unstained sections (5-10 </w:t>
      </w:r>
      <w:proofErr w:type="spellStart"/>
      <w:r w:rsidRPr="001C0B20">
        <w:t>μm</w:t>
      </w:r>
      <w:proofErr w:type="spellEnd"/>
      <w:r w:rsidRPr="001C0B20">
        <w:t xml:space="preserve"> thickness) to enrich for </w:t>
      </w:r>
      <w:proofErr w:type="spellStart"/>
      <w:r w:rsidRPr="001C0B20">
        <w:t>tumor</w:t>
      </w:r>
      <w:proofErr w:type="spellEnd"/>
      <w:r w:rsidRPr="001C0B20">
        <w:t xml:space="preserve"> cells.</w:t>
      </w:r>
    </w:p>
    <w:p w:rsidR="00777337" w:rsidRPr="001C0B20" w:rsidRDefault="00777337" w:rsidP="00777337">
      <w:r w:rsidRPr="001C0B20">
        <w:rPr>
          <w:b/>
          <w:bCs/>
        </w:rPr>
        <w:t>S1.2 DNA Extraction and Quality Control</w:t>
      </w:r>
      <w:r w:rsidRPr="001C0B20">
        <w:br/>
        <w:t xml:space="preserve">Genomic DNA was extracted using the </w:t>
      </w:r>
      <w:proofErr w:type="spellStart"/>
      <w:r w:rsidRPr="00060154">
        <w:t>ReliaPrep</w:t>
      </w:r>
      <w:proofErr w:type="spellEnd"/>
      <w:r w:rsidRPr="00060154">
        <w:t xml:space="preserve">™ FFPE </w:t>
      </w:r>
      <w:proofErr w:type="spellStart"/>
      <w:r w:rsidRPr="00060154">
        <w:t>gDNA</w:t>
      </w:r>
      <w:proofErr w:type="spellEnd"/>
      <w:r w:rsidRPr="00060154">
        <w:t xml:space="preserve"> </w:t>
      </w:r>
      <w:proofErr w:type="spellStart"/>
      <w:r w:rsidRPr="00060154">
        <w:t>Miniprep</w:t>
      </w:r>
      <w:proofErr w:type="spellEnd"/>
      <w:r w:rsidRPr="00060154">
        <w:t xml:space="preserve"> System</w:t>
      </w:r>
      <w:r>
        <w:t xml:space="preserve"> and </w:t>
      </w:r>
      <w:proofErr w:type="spellStart"/>
      <w:r w:rsidRPr="00060154">
        <w:t>ReliaPrep</w:t>
      </w:r>
      <w:proofErr w:type="spellEnd"/>
      <w:r w:rsidRPr="00060154">
        <w:t xml:space="preserve">™ FFPE Total RNA </w:t>
      </w:r>
      <w:proofErr w:type="spellStart"/>
      <w:r w:rsidRPr="00060154">
        <w:t>Miniprep</w:t>
      </w:r>
      <w:proofErr w:type="spellEnd"/>
      <w:r w:rsidRPr="00060154">
        <w:t xml:space="preserve"> System </w:t>
      </w:r>
      <w:r w:rsidRPr="001C0B20">
        <w:t>(</w:t>
      </w:r>
      <w:proofErr w:type="spellStart"/>
      <w:r>
        <w:t>Promega</w:t>
      </w:r>
      <w:proofErr w:type="spellEnd"/>
      <w:r>
        <w:t>, Madison, WI, USA</w:t>
      </w:r>
      <w:r w:rsidRPr="001C0B20">
        <w:t xml:space="preserve">) according to manufacturer's instructions. Briefly, FFPE sections were </w:t>
      </w:r>
      <w:proofErr w:type="spellStart"/>
      <w:r w:rsidRPr="001C0B20">
        <w:t>deparaffinized</w:t>
      </w:r>
      <w:proofErr w:type="spellEnd"/>
      <w:r w:rsidRPr="001C0B20">
        <w:t xml:space="preserve"> with</w:t>
      </w:r>
      <w:r>
        <w:t xml:space="preserve"> mineral oil</w:t>
      </w:r>
      <w:r w:rsidRPr="001C0B20">
        <w:t>, followed by protein digestion using prot</w:t>
      </w:r>
      <w:r>
        <w:t>einase K</w:t>
      </w:r>
      <w:r w:rsidRPr="001C0B20">
        <w:t xml:space="preserve"> at 5</w:t>
      </w:r>
      <w:r>
        <w:t>6</w:t>
      </w:r>
      <w:r w:rsidRPr="001C0B20">
        <w:t xml:space="preserve">°C for 3 hours. DNA was isolated using spin columns and eluted in 60 </w:t>
      </w:r>
      <w:proofErr w:type="spellStart"/>
      <w:r w:rsidRPr="001C0B20">
        <w:t>μL</w:t>
      </w:r>
      <w:proofErr w:type="spellEnd"/>
      <w:r w:rsidRPr="001C0B20">
        <w:t xml:space="preserve"> elution buffer.</w:t>
      </w:r>
    </w:p>
    <w:p w:rsidR="00777337" w:rsidRPr="001C0B20" w:rsidRDefault="00777337" w:rsidP="00777337">
      <w:r w:rsidRPr="001C0B20">
        <w:t xml:space="preserve">DNA quantity was measured using the Qubit dsDNA HS Assay Kit on a Qubit 4 </w:t>
      </w:r>
      <w:proofErr w:type="spellStart"/>
      <w:r w:rsidRPr="001C0B20">
        <w:t>Fluorometer</w:t>
      </w:r>
      <w:proofErr w:type="spellEnd"/>
      <w:r w:rsidRPr="001C0B20">
        <w:t xml:space="preserve"> (</w:t>
      </w:r>
      <w:proofErr w:type="spellStart"/>
      <w:r w:rsidRPr="001C0B20">
        <w:t>Thermo</w:t>
      </w:r>
      <w:proofErr w:type="spellEnd"/>
      <w:r w:rsidRPr="001C0B20">
        <w:t xml:space="preserve"> Fisher Scientific). DNA quality was assessed by determining the DV200 metric (percentage of DNA fragments &gt;200 base pairs) using the Agilent 2200 </w:t>
      </w:r>
      <w:proofErr w:type="spellStart"/>
      <w:r w:rsidRPr="001C0B20">
        <w:t>TapeStation</w:t>
      </w:r>
      <w:proofErr w:type="spellEnd"/>
      <w:r w:rsidRPr="001C0B20">
        <w:t xml:space="preserve"> system with Genomic DNA </w:t>
      </w:r>
      <w:proofErr w:type="spellStart"/>
      <w:r w:rsidRPr="001C0B20">
        <w:t>ScreenTape</w:t>
      </w:r>
      <w:proofErr w:type="spellEnd"/>
      <w:r w:rsidRPr="001C0B20">
        <w:t xml:space="preserve"> (Agilent Technologies, Santa Clara, CA, USA). Samples with ≥20 ng total DNA and DV200 ≥30% were considered suitable for library preparation. Samples failing quality metrics were re-extracted from additional sections or excluded from analysis.</w:t>
      </w:r>
    </w:p>
    <w:p w:rsidR="00777337" w:rsidRPr="001C0B20" w:rsidRDefault="00777337" w:rsidP="00777337">
      <w:r w:rsidRPr="001C0B20">
        <w:rPr>
          <w:b/>
          <w:bCs/>
        </w:rPr>
        <w:t>S2. Detailed Next-Generation Sequencing Protocol</w:t>
      </w:r>
    </w:p>
    <w:p w:rsidR="00777337" w:rsidRPr="001C0B20" w:rsidRDefault="00777337" w:rsidP="00777337">
      <w:r w:rsidRPr="001C0B20">
        <w:rPr>
          <w:b/>
          <w:bCs/>
        </w:rPr>
        <w:t>S2.1 Library Preparation</w:t>
      </w:r>
      <w:r w:rsidRPr="001C0B20">
        <w:br/>
        <w:t xml:space="preserve">Sequencing libraries were prepared from 20 ng </w:t>
      </w:r>
      <w:proofErr w:type="spellStart"/>
      <w:r w:rsidRPr="001C0B20">
        <w:t>tumor</w:t>
      </w:r>
      <w:proofErr w:type="spellEnd"/>
      <w:r w:rsidRPr="001C0B20">
        <w:t xml:space="preserve"> DNA using the Ion </w:t>
      </w:r>
      <w:proofErr w:type="spellStart"/>
      <w:r w:rsidRPr="001C0B20">
        <w:t>AmpliSeq</w:t>
      </w:r>
      <w:proofErr w:type="spellEnd"/>
      <w:r w:rsidRPr="001C0B20">
        <w:t xml:space="preserve"> Library Kit Plus (</w:t>
      </w:r>
      <w:proofErr w:type="spellStart"/>
      <w:r w:rsidRPr="001C0B20">
        <w:t>Thermo</w:t>
      </w:r>
      <w:proofErr w:type="spellEnd"/>
      <w:r w:rsidRPr="001C0B20">
        <w:t xml:space="preserve"> Fisher Scientific, </w:t>
      </w:r>
      <w:proofErr w:type="spellStart"/>
      <w:r w:rsidRPr="001C0B20">
        <w:t>catalog</w:t>
      </w:r>
      <w:proofErr w:type="spellEnd"/>
      <w:r w:rsidRPr="001C0B20">
        <w:t xml:space="preserve"> #4488990) following manufacturer's protocol version 2.0. The </w:t>
      </w:r>
      <w:proofErr w:type="spellStart"/>
      <w:r w:rsidRPr="001C0B20">
        <w:t>Oncomine</w:t>
      </w:r>
      <w:proofErr w:type="spellEnd"/>
      <w:r w:rsidRPr="001C0B20">
        <w:t xml:space="preserve"> Comprehensive Assay v4 (OCA v4) primer pool covering 517 genes was used for multiplex PCR amplification (</w:t>
      </w:r>
      <w:proofErr w:type="spellStart"/>
      <w:r w:rsidRPr="001C0B20">
        <w:t>catalog</w:t>
      </w:r>
      <w:proofErr w:type="spellEnd"/>
      <w:r w:rsidRPr="001C0B20">
        <w:t xml:space="preserve"> #A43931). Amplification consisted of:</w:t>
      </w:r>
    </w:p>
    <w:p w:rsidR="00777337" w:rsidRPr="001C0B20" w:rsidRDefault="00777337" w:rsidP="00777337">
      <w:pPr>
        <w:numPr>
          <w:ilvl w:val="0"/>
          <w:numId w:val="1"/>
        </w:numPr>
      </w:pPr>
      <w:r w:rsidRPr="001C0B20">
        <w:t>Initial denaturation: 99°C for 2 minutes</w:t>
      </w:r>
    </w:p>
    <w:p w:rsidR="00777337" w:rsidRPr="001C0B20" w:rsidRDefault="00777337" w:rsidP="00777337">
      <w:pPr>
        <w:numPr>
          <w:ilvl w:val="0"/>
          <w:numId w:val="1"/>
        </w:numPr>
      </w:pPr>
      <w:r w:rsidRPr="001C0B20">
        <w:t>21 cycles of: 99°C for 15 seconds, 60°C for 16 minutes</w:t>
      </w:r>
    </w:p>
    <w:p w:rsidR="00777337" w:rsidRPr="001C0B20" w:rsidRDefault="00777337" w:rsidP="00777337">
      <w:r w:rsidRPr="001C0B20">
        <w:t xml:space="preserve">Amplicons were treated with </w:t>
      </w:r>
      <w:proofErr w:type="spellStart"/>
      <w:r w:rsidRPr="001C0B20">
        <w:t>FuPa</w:t>
      </w:r>
      <w:proofErr w:type="spellEnd"/>
      <w:r w:rsidRPr="001C0B20">
        <w:t xml:space="preserve"> reagent to partially digest primers and phosphorylate amplicons. Adapters containing Ion Xpress Barcodes were ligated to enable sample multiplexing. Libraries were purified using </w:t>
      </w:r>
      <w:proofErr w:type="spellStart"/>
      <w:r w:rsidRPr="001C0B20">
        <w:t>Agencourt</w:t>
      </w:r>
      <w:proofErr w:type="spellEnd"/>
      <w:r w:rsidRPr="001C0B20">
        <w:t xml:space="preserve"> </w:t>
      </w:r>
      <w:proofErr w:type="spellStart"/>
      <w:r w:rsidRPr="001C0B20">
        <w:t>AMPure</w:t>
      </w:r>
      <w:proofErr w:type="spellEnd"/>
      <w:r w:rsidRPr="001C0B20">
        <w:t xml:space="preserve"> XP beads (Beckman Coulter, Indianapolis, IN, USA) at 1.2× </w:t>
      </w:r>
      <w:proofErr w:type="spellStart"/>
      <w:r w:rsidRPr="001C0B20">
        <w:t>bead</w:t>
      </w:r>
      <w:proofErr w:type="gramStart"/>
      <w:r w:rsidRPr="001C0B20">
        <w:t>:sample</w:t>
      </w:r>
      <w:proofErr w:type="spellEnd"/>
      <w:proofErr w:type="gramEnd"/>
      <w:r w:rsidRPr="001C0B20">
        <w:t xml:space="preserve"> ratio.</w:t>
      </w:r>
    </w:p>
    <w:p w:rsidR="00777337" w:rsidRPr="001C0B20" w:rsidRDefault="00777337" w:rsidP="00777337">
      <w:r w:rsidRPr="001C0B20">
        <w:t xml:space="preserve">Library quality and concentration were assessed using the Ion Library </w:t>
      </w:r>
      <w:proofErr w:type="spellStart"/>
      <w:r w:rsidRPr="001C0B20">
        <w:t>TaqMan</w:t>
      </w:r>
      <w:proofErr w:type="spellEnd"/>
      <w:r w:rsidRPr="001C0B20">
        <w:t xml:space="preserve"> Quantitation Kit (</w:t>
      </w:r>
      <w:proofErr w:type="spellStart"/>
      <w:r w:rsidRPr="001C0B20">
        <w:t>Thermo</w:t>
      </w:r>
      <w:proofErr w:type="spellEnd"/>
      <w:r w:rsidRPr="001C0B20">
        <w:t xml:space="preserve"> Fisher Scientific) on a </w:t>
      </w:r>
      <w:proofErr w:type="spellStart"/>
      <w:r w:rsidRPr="001C0B20">
        <w:t>QuantStudio</w:t>
      </w:r>
      <w:proofErr w:type="spellEnd"/>
      <w:r w:rsidRPr="001C0B20">
        <w:t xml:space="preserve"> 5 Real-Time PCR System. Libraries were normalized to 100 </w:t>
      </w:r>
      <w:proofErr w:type="spellStart"/>
      <w:r w:rsidRPr="001C0B20">
        <w:t>pM</w:t>
      </w:r>
      <w:proofErr w:type="spellEnd"/>
      <w:r w:rsidRPr="001C0B20">
        <w:t xml:space="preserve"> before </w:t>
      </w:r>
      <w:proofErr w:type="spellStart"/>
      <w:r w:rsidRPr="001C0B20">
        <w:t>templating</w:t>
      </w:r>
      <w:proofErr w:type="spellEnd"/>
      <w:r w:rsidRPr="001C0B20">
        <w:t>.</w:t>
      </w:r>
    </w:p>
    <w:p w:rsidR="00777337" w:rsidRPr="001C0B20" w:rsidRDefault="00777337" w:rsidP="00777337">
      <w:r w:rsidRPr="001C0B20">
        <w:rPr>
          <w:b/>
          <w:bCs/>
        </w:rPr>
        <w:t>S2.2 Template Preparation and Sequencing</w:t>
      </w:r>
      <w:r w:rsidRPr="001C0B20">
        <w:br/>
        <w:t>Template preparation and chip loading were automated on the Ion Chef System (</w:t>
      </w:r>
      <w:proofErr w:type="spellStart"/>
      <w:r w:rsidRPr="001C0B20">
        <w:t>Thermo</w:t>
      </w:r>
      <w:proofErr w:type="spellEnd"/>
      <w:r w:rsidRPr="001C0B20">
        <w:t xml:space="preserve"> Fisher Scientific) using the Ion 540 Kit-Chef (</w:t>
      </w:r>
      <w:proofErr w:type="spellStart"/>
      <w:r w:rsidRPr="001C0B20">
        <w:t>catalog</w:t>
      </w:r>
      <w:proofErr w:type="spellEnd"/>
      <w:r w:rsidRPr="001C0B20">
        <w:t xml:space="preserve"> #A34538). Eight barcoded libraries were pooled per Ion 540 Chip. The Ion Chef performed:</w:t>
      </w:r>
    </w:p>
    <w:p w:rsidR="00777337" w:rsidRPr="001C0B20" w:rsidRDefault="00777337" w:rsidP="00777337">
      <w:pPr>
        <w:numPr>
          <w:ilvl w:val="0"/>
          <w:numId w:val="2"/>
        </w:numPr>
      </w:pPr>
      <w:r w:rsidRPr="001C0B20">
        <w:lastRenderedPageBreak/>
        <w:t>Emulsion PCR to clonally amplify DNA libraries on Ion Sphere Particles (ISPs)</w:t>
      </w:r>
    </w:p>
    <w:p w:rsidR="00777337" w:rsidRPr="001C0B20" w:rsidRDefault="00777337" w:rsidP="00777337">
      <w:pPr>
        <w:numPr>
          <w:ilvl w:val="0"/>
          <w:numId w:val="2"/>
        </w:numPr>
      </w:pPr>
      <w:r w:rsidRPr="001C0B20">
        <w:t>Enrichment of template-positive ISPs</w:t>
      </w:r>
    </w:p>
    <w:p w:rsidR="00777337" w:rsidRPr="001C0B20" w:rsidRDefault="00777337" w:rsidP="00777337">
      <w:pPr>
        <w:numPr>
          <w:ilvl w:val="0"/>
          <w:numId w:val="2"/>
        </w:numPr>
      </w:pPr>
      <w:r w:rsidRPr="001C0B20">
        <w:t>Loading of enriched ISPs onto Ion 540 Chips</w:t>
      </w:r>
    </w:p>
    <w:p w:rsidR="00777337" w:rsidRPr="001C0B20" w:rsidRDefault="00777337" w:rsidP="00777337">
      <w:r w:rsidRPr="001C0B20">
        <w:t xml:space="preserve">Sequencing was performed on the Ion </w:t>
      </w:r>
      <w:proofErr w:type="spellStart"/>
      <w:r w:rsidRPr="001C0B20">
        <w:t>GeneStudio</w:t>
      </w:r>
      <w:proofErr w:type="spellEnd"/>
      <w:r w:rsidRPr="001C0B20">
        <w:t xml:space="preserve"> S5 XL System (</w:t>
      </w:r>
      <w:proofErr w:type="spellStart"/>
      <w:r w:rsidRPr="001C0B20">
        <w:t>Thermo</w:t>
      </w:r>
      <w:proofErr w:type="spellEnd"/>
      <w:r w:rsidRPr="001C0B20">
        <w:t xml:space="preserve"> Fisher Scientific) using Ion 540 Chips. Sequencing run parameters were set to 850 flows targeting read lengths up to 200 base pairs. Target performance metrics included:</w:t>
      </w:r>
    </w:p>
    <w:p w:rsidR="00777337" w:rsidRPr="001C0B20" w:rsidRDefault="00777337" w:rsidP="00777337">
      <w:pPr>
        <w:numPr>
          <w:ilvl w:val="0"/>
          <w:numId w:val="3"/>
        </w:numPr>
      </w:pPr>
      <w:r w:rsidRPr="001C0B20">
        <w:t>Average coverage depth: ≥1000× (range: 500-3000×)</w:t>
      </w:r>
    </w:p>
    <w:p w:rsidR="00777337" w:rsidRPr="001C0B20" w:rsidRDefault="00777337" w:rsidP="00777337">
      <w:pPr>
        <w:numPr>
          <w:ilvl w:val="0"/>
          <w:numId w:val="3"/>
        </w:numPr>
      </w:pPr>
      <w:r w:rsidRPr="001C0B20">
        <w:t>Coverage uniformity: ≥90% (percentage of amplicons covered at ≥0.2× mean depth)</w:t>
      </w:r>
    </w:p>
    <w:p w:rsidR="00777337" w:rsidRPr="001C0B20" w:rsidRDefault="00777337" w:rsidP="00777337">
      <w:pPr>
        <w:numPr>
          <w:ilvl w:val="0"/>
          <w:numId w:val="3"/>
        </w:numPr>
      </w:pPr>
      <w:r w:rsidRPr="001C0B20">
        <w:t>On-target reads: ≥85%</w:t>
      </w:r>
    </w:p>
    <w:p w:rsidR="00777337" w:rsidRPr="001C0B20" w:rsidRDefault="00777337" w:rsidP="00777337">
      <w:pPr>
        <w:numPr>
          <w:ilvl w:val="0"/>
          <w:numId w:val="3"/>
        </w:numPr>
      </w:pPr>
      <w:r w:rsidRPr="001C0B20">
        <w:t>Usable reads: ≥80%</w:t>
      </w:r>
    </w:p>
    <w:p w:rsidR="00777337" w:rsidRPr="001C0B20" w:rsidRDefault="00777337" w:rsidP="00777337">
      <w:pPr>
        <w:numPr>
          <w:ilvl w:val="0"/>
          <w:numId w:val="3"/>
        </w:numPr>
      </w:pPr>
      <w:r w:rsidRPr="001C0B20">
        <w:t>Polyclonal reads: &lt;30%</w:t>
      </w:r>
    </w:p>
    <w:p w:rsidR="00777337" w:rsidRPr="001C0B20" w:rsidRDefault="00777337" w:rsidP="00777337">
      <w:r w:rsidRPr="001C0B20">
        <w:rPr>
          <w:b/>
          <w:bCs/>
        </w:rPr>
        <w:t xml:space="preserve">S3. Detailed </w:t>
      </w:r>
      <w:proofErr w:type="spellStart"/>
      <w:r w:rsidRPr="001C0B20">
        <w:rPr>
          <w:b/>
          <w:bCs/>
        </w:rPr>
        <w:t>Bioinformatic</w:t>
      </w:r>
      <w:proofErr w:type="spellEnd"/>
      <w:r w:rsidRPr="001C0B20">
        <w:rPr>
          <w:b/>
          <w:bCs/>
        </w:rPr>
        <w:t xml:space="preserve"> Analysis Pipeline</w:t>
      </w:r>
    </w:p>
    <w:p w:rsidR="00777337" w:rsidRPr="001C0B20" w:rsidRDefault="00777337" w:rsidP="00777337">
      <w:r w:rsidRPr="001C0B20">
        <w:rPr>
          <w:b/>
          <w:bCs/>
        </w:rPr>
        <w:t>S3.1 Signal Processing and Base Calling</w:t>
      </w:r>
      <w:r w:rsidRPr="001C0B20">
        <w:br/>
        <w:t>Raw voltage signals were converted to sequence data using Torrent Suite Software v5.18.1 (</w:t>
      </w:r>
      <w:proofErr w:type="spellStart"/>
      <w:r w:rsidRPr="001C0B20">
        <w:t>Thermo</w:t>
      </w:r>
      <w:proofErr w:type="spellEnd"/>
      <w:r w:rsidRPr="001C0B20">
        <w:t xml:space="preserve"> Fisher Scientific). The software performed:</w:t>
      </w:r>
    </w:p>
    <w:p w:rsidR="00777337" w:rsidRPr="001C0B20" w:rsidRDefault="00777337" w:rsidP="00777337">
      <w:pPr>
        <w:numPr>
          <w:ilvl w:val="0"/>
          <w:numId w:val="4"/>
        </w:numPr>
      </w:pPr>
      <w:r w:rsidRPr="001C0B20">
        <w:t>Phase correction to account for signal decay</w:t>
      </w:r>
    </w:p>
    <w:p w:rsidR="00777337" w:rsidRPr="001C0B20" w:rsidRDefault="00777337" w:rsidP="00777337">
      <w:pPr>
        <w:numPr>
          <w:ilvl w:val="0"/>
          <w:numId w:val="4"/>
        </w:numPr>
      </w:pPr>
      <w:r w:rsidRPr="001C0B20">
        <w:t>Background subtraction</w:t>
      </w:r>
    </w:p>
    <w:p w:rsidR="00777337" w:rsidRPr="001C0B20" w:rsidRDefault="00777337" w:rsidP="00777337">
      <w:pPr>
        <w:numPr>
          <w:ilvl w:val="0"/>
          <w:numId w:val="4"/>
        </w:numPr>
      </w:pPr>
      <w:r w:rsidRPr="001C0B20">
        <w:t>Normalization across chip regions</w:t>
      </w:r>
    </w:p>
    <w:p w:rsidR="00777337" w:rsidRPr="001C0B20" w:rsidRDefault="00777337" w:rsidP="00777337">
      <w:pPr>
        <w:numPr>
          <w:ilvl w:val="0"/>
          <w:numId w:val="4"/>
        </w:numPr>
      </w:pPr>
      <w:r w:rsidRPr="001C0B20">
        <w:t>Base calling using flow-space algorithms</w:t>
      </w:r>
    </w:p>
    <w:p w:rsidR="00777337" w:rsidRPr="001C0B20" w:rsidRDefault="00777337" w:rsidP="00777337">
      <w:pPr>
        <w:numPr>
          <w:ilvl w:val="0"/>
          <w:numId w:val="4"/>
        </w:numPr>
      </w:pPr>
      <w:r w:rsidRPr="001C0B20">
        <w:t>Quality score assignment</w:t>
      </w:r>
    </w:p>
    <w:p w:rsidR="00777337" w:rsidRPr="001C0B20" w:rsidRDefault="00777337" w:rsidP="00777337">
      <w:r w:rsidRPr="001C0B20">
        <w:rPr>
          <w:b/>
          <w:bCs/>
        </w:rPr>
        <w:t>S3.2 Alignment and Variant Calling</w:t>
      </w:r>
      <w:r w:rsidRPr="001C0B20">
        <w:br/>
        <w:t xml:space="preserve">Base-called sequences were aligned to the human reference genome (hg19/GRCh37) using TMAP (Torrent Mapping Alignment Program) with default parameters optimized for amplicon sequencing. Variant calling and annotation were performed using Ion Reporter Software v5.20.8.0 with the </w:t>
      </w:r>
      <w:proofErr w:type="spellStart"/>
      <w:r w:rsidRPr="001C0B20">
        <w:t>Oncomine</w:t>
      </w:r>
      <w:proofErr w:type="spellEnd"/>
      <w:r w:rsidRPr="001C0B20">
        <w:t xml:space="preserve"> Comprehensive v4 workflow (</w:t>
      </w:r>
      <w:proofErr w:type="spellStart"/>
      <w:r w:rsidRPr="001C0B20">
        <w:t>tumor</w:t>
      </w:r>
      <w:proofErr w:type="spellEnd"/>
      <w:r w:rsidRPr="001C0B20">
        <w:t>-only analysis mode).</w:t>
      </w:r>
    </w:p>
    <w:p w:rsidR="00777337" w:rsidRPr="001C0B20" w:rsidRDefault="00777337" w:rsidP="00777337">
      <w:r w:rsidRPr="001C0B20">
        <w:t>Variant calling thresholds:</w:t>
      </w:r>
    </w:p>
    <w:p w:rsidR="00777337" w:rsidRPr="001C0B20" w:rsidRDefault="00777337" w:rsidP="00777337">
      <w:pPr>
        <w:numPr>
          <w:ilvl w:val="0"/>
          <w:numId w:val="5"/>
        </w:numPr>
      </w:pPr>
      <w:r w:rsidRPr="001C0B20">
        <w:t xml:space="preserve">Single nucleotide variants (SNVs): ≥5% variant allele frequency (VAF), ≥10 variant reads, </w:t>
      </w:r>
      <w:proofErr w:type="spellStart"/>
      <w:r w:rsidRPr="001C0B20">
        <w:t>Phred</w:t>
      </w:r>
      <w:proofErr w:type="spellEnd"/>
      <w:r w:rsidRPr="001C0B20">
        <w:t xml:space="preserve"> quality score ≥20</w:t>
      </w:r>
    </w:p>
    <w:p w:rsidR="00777337" w:rsidRPr="001C0B20" w:rsidRDefault="00777337" w:rsidP="00777337">
      <w:pPr>
        <w:numPr>
          <w:ilvl w:val="0"/>
          <w:numId w:val="5"/>
        </w:numPr>
      </w:pPr>
      <w:r w:rsidRPr="001C0B20">
        <w:t>Insertions/deletions (</w:t>
      </w:r>
      <w:proofErr w:type="spellStart"/>
      <w:r w:rsidRPr="001C0B20">
        <w:t>indels</w:t>
      </w:r>
      <w:proofErr w:type="spellEnd"/>
      <w:r w:rsidRPr="001C0B20">
        <w:t>): ≥5% VAF, ≥10 variant reads</w:t>
      </w:r>
    </w:p>
    <w:p w:rsidR="00777337" w:rsidRPr="001C0B20" w:rsidRDefault="00777337" w:rsidP="00777337">
      <w:pPr>
        <w:numPr>
          <w:ilvl w:val="0"/>
          <w:numId w:val="5"/>
        </w:numPr>
      </w:pPr>
      <w:r w:rsidRPr="001C0B20">
        <w:t>Copy number variations (CNVs): ≥4 copies for amplifications, &lt;1.5 copies for deletions, calculated using normalized coverage ratios</w:t>
      </w:r>
    </w:p>
    <w:p w:rsidR="00777337" w:rsidRPr="001C0B20" w:rsidRDefault="00777337" w:rsidP="00777337">
      <w:pPr>
        <w:numPr>
          <w:ilvl w:val="0"/>
          <w:numId w:val="5"/>
        </w:numPr>
      </w:pPr>
      <w:r w:rsidRPr="001C0B20">
        <w:t>Gene fusions: ≥20 fusion reads spanning predicted breakpoint, ≥2 unique start sites</w:t>
      </w:r>
    </w:p>
    <w:p w:rsidR="00777337" w:rsidRPr="001C0B20" w:rsidRDefault="00777337" w:rsidP="00777337">
      <w:r w:rsidRPr="001C0B20">
        <w:rPr>
          <w:b/>
          <w:bCs/>
        </w:rPr>
        <w:t>S3.3 Variant Filtering</w:t>
      </w:r>
      <w:r w:rsidRPr="001C0B20">
        <w:br/>
        <w:t>Variants were filtered to remove:</w:t>
      </w:r>
    </w:p>
    <w:p w:rsidR="00777337" w:rsidRPr="001C0B20" w:rsidRDefault="00777337" w:rsidP="00777337">
      <w:pPr>
        <w:numPr>
          <w:ilvl w:val="0"/>
          <w:numId w:val="6"/>
        </w:numPr>
      </w:pPr>
      <w:r w:rsidRPr="001C0B20">
        <w:t xml:space="preserve">Common germline polymorphisms (&gt;1% allele frequency in </w:t>
      </w:r>
      <w:proofErr w:type="spellStart"/>
      <w:r w:rsidRPr="001C0B20">
        <w:t>gnomAD</w:t>
      </w:r>
      <w:proofErr w:type="spellEnd"/>
      <w:r w:rsidRPr="001C0B20">
        <w:t xml:space="preserve"> population database)</w:t>
      </w:r>
    </w:p>
    <w:p w:rsidR="00777337" w:rsidRPr="001C0B20" w:rsidRDefault="00777337" w:rsidP="00777337">
      <w:pPr>
        <w:numPr>
          <w:ilvl w:val="0"/>
          <w:numId w:val="6"/>
        </w:numPr>
      </w:pPr>
      <w:r w:rsidRPr="001C0B20">
        <w:lastRenderedPageBreak/>
        <w:t xml:space="preserve">Strand-bias </w:t>
      </w:r>
      <w:proofErr w:type="spellStart"/>
      <w:r w:rsidRPr="001C0B20">
        <w:t>artifacts</w:t>
      </w:r>
      <w:proofErr w:type="spellEnd"/>
      <w:r w:rsidRPr="001C0B20">
        <w:t xml:space="preserve"> (Fisher Strand Score &gt;80)</w:t>
      </w:r>
    </w:p>
    <w:p w:rsidR="00777337" w:rsidRPr="001C0B20" w:rsidRDefault="00777337" w:rsidP="00777337">
      <w:pPr>
        <w:numPr>
          <w:ilvl w:val="0"/>
          <w:numId w:val="6"/>
        </w:numPr>
      </w:pPr>
      <w:r w:rsidRPr="001C0B20">
        <w:t>Low-quality variants (</w:t>
      </w:r>
      <w:proofErr w:type="spellStart"/>
      <w:r w:rsidRPr="001C0B20">
        <w:t>Phred</w:t>
      </w:r>
      <w:proofErr w:type="spellEnd"/>
      <w:r w:rsidRPr="001C0B20">
        <w:t xml:space="preserve"> quality &lt;20)</w:t>
      </w:r>
    </w:p>
    <w:p w:rsidR="00777337" w:rsidRPr="001C0B20" w:rsidRDefault="00777337" w:rsidP="00777337">
      <w:pPr>
        <w:numPr>
          <w:ilvl w:val="0"/>
          <w:numId w:val="6"/>
        </w:numPr>
      </w:pPr>
      <w:r w:rsidRPr="001C0B20">
        <w:t xml:space="preserve">Known sequencing </w:t>
      </w:r>
      <w:proofErr w:type="spellStart"/>
      <w:r w:rsidRPr="001C0B20">
        <w:t>artifacts</w:t>
      </w:r>
      <w:proofErr w:type="spellEnd"/>
      <w:r w:rsidRPr="001C0B20">
        <w:t xml:space="preserve"> in </w:t>
      </w:r>
      <w:proofErr w:type="spellStart"/>
      <w:r w:rsidRPr="001C0B20">
        <w:t>homopolymer</w:t>
      </w:r>
      <w:proofErr w:type="spellEnd"/>
      <w:r w:rsidRPr="001C0B20">
        <w:t xml:space="preserve"> regions</w:t>
      </w:r>
    </w:p>
    <w:p w:rsidR="00777337" w:rsidRPr="001C0B20" w:rsidRDefault="00777337" w:rsidP="00777337">
      <w:r w:rsidRPr="001C0B20">
        <w:t>Hotspot variants in oncogenes were retained at lower VAF thresholds (≥3%) if recurrently reported in COSMIC database.</w:t>
      </w:r>
    </w:p>
    <w:p w:rsidR="00777337" w:rsidRPr="001C0B20" w:rsidRDefault="00777337" w:rsidP="00777337">
      <w:r w:rsidRPr="001C0B20">
        <w:rPr>
          <w:b/>
          <w:bCs/>
        </w:rPr>
        <w:t xml:space="preserve">S4. </w:t>
      </w:r>
      <w:proofErr w:type="spellStart"/>
      <w:r w:rsidRPr="001C0B20">
        <w:rPr>
          <w:b/>
          <w:bCs/>
        </w:rPr>
        <w:t>Tumor</w:t>
      </w:r>
      <w:proofErr w:type="spellEnd"/>
      <w:r w:rsidRPr="001C0B20">
        <w:rPr>
          <w:b/>
          <w:bCs/>
        </w:rPr>
        <w:t xml:space="preserve"> Mutational Burden (TMB) Calculation</w:t>
      </w:r>
    </w:p>
    <w:p w:rsidR="00777337" w:rsidRPr="001C0B20" w:rsidRDefault="00777337" w:rsidP="00777337">
      <w:r w:rsidRPr="001C0B20">
        <w:t xml:space="preserve">TMB was calculated as the number of somatic non-synonymous mutations per </w:t>
      </w:r>
      <w:proofErr w:type="spellStart"/>
      <w:r w:rsidRPr="001C0B20">
        <w:t>megabase</w:t>
      </w:r>
      <w:proofErr w:type="spellEnd"/>
      <w:r w:rsidRPr="001C0B20">
        <w:t xml:space="preserve"> (</w:t>
      </w:r>
      <w:proofErr w:type="spellStart"/>
      <w:r w:rsidRPr="001C0B20">
        <w:t>mut</w:t>
      </w:r>
      <w:proofErr w:type="spellEnd"/>
      <w:r w:rsidRPr="001C0B20">
        <w:t>/Mb) of coding sequence examined. The calculation included:</w:t>
      </w:r>
    </w:p>
    <w:p w:rsidR="00777337" w:rsidRPr="001C0B20" w:rsidRDefault="00777337" w:rsidP="00777337">
      <w:pPr>
        <w:numPr>
          <w:ilvl w:val="0"/>
          <w:numId w:val="7"/>
        </w:numPr>
      </w:pPr>
      <w:r w:rsidRPr="001C0B20">
        <w:t>Single nucleotide variants (SNVs): missense, nonsense, splice site</w:t>
      </w:r>
    </w:p>
    <w:p w:rsidR="00777337" w:rsidRPr="001C0B20" w:rsidRDefault="00777337" w:rsidP="00777337">
      <w:pPr>
        <w:numPr>
          <w:ilvl w:val="0"/>
          <w:numId w:val="7"/>
        </w:numPr>
      </w:pPr>
      <w:r w:rsidRPr="001C0B20">
        <w:t>Small insertions and deletions (</w:t>
      </w:r>
      <w:proofErr w:type="spellStart"/>
      <w:r w:rsidRPr="001C0B20">
        <w:t>indels</w:t>
      </w:r>
      <w:proofErr w:type="spellEnd"/>
      <w:r w:rsidRPr="001C0B20">
        <w:t>) causing frameshift or in-frame changes</w:t>
      </w:r>
    </w:p>
    <w:p w:rsidR="00777337" w:rsidRPr="001C0B20" w:rsidRDefault="00777337" w:rsidP="00777337">
      <w:pPr>
        <w:numPr>
          <w:ilvl w:val="0"/>
          <w:numId w:val="7"/>
        </w:numPr>
      </w:pPr>
      <w:r w:rsidRPr="001C0B20">
        <w:t xml:space="preserve">Excluded: Synonymous variants, variants in non-coding regions, known germline variants, recurrent sequencing </w:t>
      </w:r>
      <w:proofErr w:type="spellStart"/>
      <w:r w:rsidRPr="001C0B20">
        <w:t>artifacts</w:t>
      </w:r>
      <w:proofErr w:type="spellEnd"/>
    </w:p>
    <w:p w:rsidR="00777337" w:rsidRPr="001C0B20" w:rsidRDefault="00777337" w:rsidP="00777337">
      <w:r w:rsidRPr="001C0B20">
        <w:t>TMB = (Total somatic mutations) / (Coding region size in Mb)</w:t>
      </w:r>
    </w:p>
    <w:p w:rsidR="00777337" w:rsidRPr="001C0B20" w:rsidRDefault="00777337" w:rsidP="00777337">
      <w:r w:rsidRPr="001C0B20">
        <w:t>Coding region size: 1.7 Mb (OCA v4 panel)</w:t>
      </w:r>
    </w:p>
    <w:p w:rsidR="00777337" w:rsidRPr="001C0B20" w:rsidRDefault="00777337" w:rsidP="00777337">
      <w:r w:rsidRPr="001C0B20">
        <w:t xml:space="preserve">TMB-high threshold: ≥10 </w:t>
      </w:r>
      <w:proofErr w:type="spellStart"/>
      <w:r w:rsidRPr="001C0B20">
        <w:t>mut</w:t>
      </w:r>
      <w:proofErr w:type="spellEnd"/>
      <w:r w:rsidRPr="001C0B20">
        <w:t xml:space="preserve">/Mb, based on published data correlating with immunotherapy response across </w:t>
      </w:r>
      <w:proofErr w:type="spellStart"/>
      <w:r w:rsidRPr="001C0B20">
        <w:t>tumor</w:t>
      </w:r>
      <w:proofErr w:type="spellEnd"/>
      <w:r w:rsidRPr="001C0B20">
        <w:t xml:space="preserve"> types.</w:t>
      </w:r>
    </w:p>
    <w:p w:rsidR="00777337" w:rsidRPr="001C0B20" w:rsidRDefault="00777337" w:rsidP="00777337">
      <w:r w:rsidRPr="001C0B20">
        <w:rPr>
          <w:b/>
          <w:bCs/>
        </w:rPr>
        <w:t>S5. Homologous Recombination Deficiency (HRD) Assessment</w:t>
      </w:r>
    </w:p>
    <w:p w:rsidR="00777337" w:rsidRPr="001C0B20" w:rsidRDefault="00777337" w:rsidP="00777337">
      <w:r w:rsidRPr="001C0B20">
        <w:rPr>
          <w:b/>
          <w:bCs/>
        </w:rPr>
        <w:t>S5.1 Genomic Instability Metric (GIM) Calculation</w:t>
      </w:r>
      <w:r w:rsidRPr="001C0B20">
        <w:br/>
        <w:t>HRD was assessed using a Genomic Instability Metric (GIM) derived from three components:</w:t>
      </w:r>
    </w:p>
    <w:p w:rsidR="00777337" w:rsidRPr="001C0B20" w:rsidRDefault="00777337" w:rsidP="00777337">
      <w:pPr>
        <w:numPr>
          <w:ilvl w:val="0"/>
          <w:numId w:val="8"/>
        </w:numPr>
      </w:pPr>
      <w:r w:rsidRPr="001C0B20">
        <w:t>Loss of Heterozygosity (LOH) score: Number of LOH events ≥15 Mb in size</w:t>
      </w:r>
    </w:p>
    <w:p w:rsidR="00777337" w:rsidRPr="001C0B20" w:rsidRDefault="00777337" w:rsidP="00777337">
      <w:pPr>
        <w:numPr>
          <w:ilvl w:val="0"/>
          <w:numId w:val="8"/>
        </w:numPr>
      </w:pPr>
      <w:proofErr w:type="spellStart"/>
      <w:r w:rsidRPr="001C0B20">
        <w:t>Telomeric</w:t>
      </w:r>
      <w:proofErr w:type="spellEnd"/>
      <w:r w:rsidRPr="001C0B20">
        <w:t xml:space="preserve"> Allelic Imbalance (TAI) score: Number of regions with allelic imbalance extending to telomeres</w:t>
      </w:r>
    </w:p>
    <w:p w:rsidR="00777337" w:rsidRPr="001C0B20" w:rsidRDefault="00777337" w:rsidP="00777337">
      <w:pPr>
        <w:numPr>
          <w:ilvl w:val="0"/>
          <w:numId w:val="8"/>
        </w:numPr>
      </w:pPr>
      <w:r w:rsidRPr="001C0B20">
        <w:t>Large-scale State Transitions (LST) score: Number of chromosomal breaks between adjacent regions ≥10 Mb</w:t>
      </w:r>
    </w:p>
    <w:p w:rsidR="00777337" w:rsidRPr="001C0B20" w:rsidRDefault="00777337" w:rsidP="00777337">
      <w:r w:rsidRPr="001C0B20">
        <w:t>GIM = LOH score + TAI score + LST score</w:t>
      </w:r>
    </w:p>
    <w:p w:rsidR="00777337" w:rsidRPr="001C0B20" w:rsidRDefault="00777337" w:rsidP="00777337">
      <w:r w:rsidRPr="001C0B20">
        <w:t>HRD-positive threshold: GIM ≥16</w:t>
      </w:r>
    </w:p>
    <w:p w:rsidR="00777337" w:rsidRPr="001C0B20" w:rsidRDefault="00777337" w:rsidP="00777337">
      <w:r w:rsidRPr="001C0B20">
        <w:rPr>
          <w:b/>
          <w:bCs/>
        </w:rPr>
        <w:t xml:space="preserve">S5.2 Validation Against </w:t>
      </w:r>
      <w:proofErr w:type="spellStart"/>
      <w:r w:rsidRPr="001C0B20">
        <w:rPr>
          <w:b/>
          <w:bCs/>
        </w:rPr>
        <w:t>MyChoice</w:t>
      </w:r>
      <w:proofErr w:type="spellEnd"/>
      <w:r w:rsidRPr="001C0B20">
        <w:rPr>
          <w:b/>
          <w:bCs/>
        </w:rPr>
        <w:t xml:space="preserve">® </w:t>
      </w:r>
      <w:proofErr w:type="spellStart"/>
      <w:r w:rsidRPr="001C0B20">
        <w:rPr>
          <w:b/>
          <w:bCs/>
        </w:rPr>
        <w:t>CDx</w:t>
      </w:r>
      <w:proofErr w:type="spellEnd"/>
      <w:r w:rsidRPr="001C0B20">
        <w:br/>
        <w:t xml:space="preserve">The GIM scoring algorithm was validated using published concordance data with </w:t>
      </w:r>
      <w:proofErr w:type="spellStart"/>
      <w:r w:rsidRPr="001C0B20">
        <w:t>MyChoice</w:t>
      </w:r>
      <w:proofErr w:type="spellEnd"/>
      <w:r w:rsidRPr="001C0B20">
        <w:t xml:space="preserve">® </w:t>
      </w:r>
      <w:proofErr w:type="spellStart"/>
      <w:r w:rsidRPr="001C0B20">
        <w:t>CDx</w:t>
      </w:r>
      <w:proofErr w:type="spellEnd"/>
      <w:r w:rsidRPr="001C0B20">
        <w:t xml:space="preserve"> (Myriad Genetics), the FDA-approved companion diagnostic for HRD assessment. Concordance rate: 92% (16).</w:t>
      </w:r>
    </w:p>
    <w:p w:rsidR="00777337" w:rsidRPr="001C0B20" w:rsidRDefault="00777337" w:rsidP="00777337">
      <w:r w:rsidRPr="001C0B20">
        <w:rPr>
          <w:b/>
          <w:bCs/>
        </w:rPr>
        <w:t>S6. Microsatellite Instability (MSI) Analysis</w:t>
      </w:r>
    </w:p>
    <w:p w:rsidR="00777337" w:rsidRPr="001C0B20" w:rsidRDefault="00777337" w:rsidP="00777337">
      <w:r w:rsidRPr="001C0B20">
        <w:t>MSI status was determined using 76 microsatellite markers distributed across the genome, including:</w:t>
      </w:r>
    </w:p>
    <w:p w:rsidR="00777337" w:rsidRPr="001C0B20" w:rsidRDefault="00777337" w:rsidP="00777337">
      <w:r w:rsidRPr="001C0B20">
        <w:rPr>
          <w:b/>
          <w:bCs/>
        </w:rPr>
        <w:t>Mononucleotide markers (primary panel):</w:t>
      </w:r>
    </w:p>
    <w:p w:rsidR="00777337" w:rsidRPr="001C0B20" w:rsidRDefault="00777337" w:rsidP="00777337">
      <w:pPr>
        <w:numPr>
          <w:ilvl w:val="0"/>
          <w:numId w:val="9"/>
        </w:numPr>
      </w:pPr>
      <w:r w:rsidRPr="001C0B20">
        <w:t>BAT25, BAT26, CAT25, MON27, NR21, NR22, NR24, NR27</w:t>
      </w:r>
    </w:p>
    <w:p w:rsidR="00777337" w:rsidRPr="001C0B20" w:rsidRDefault="00777337" w:rsidP="00777337">
      <w:r w:rsidRPr="001C0B20">
        <w:rPr>
          <w:b/>
          <w:bCs/>
        </w:rPr>
        <w:lastRenderedPageBreak/>
        <w:t>Dinucleotide and other repeat markers:</w:t>
      </w:r>
    </w:p>
    <w:p w:rsidR="00777337" w:rsidRPr="001C0B20" w:rsidRDefault="00777337" w:rsidP="00777337">
      <w:pPr>
        <w:numPr>
          <w:ilvl w:val="0"/>
          <w:numId w:val="10"/>
        </w:numPr>
      </w:pPr>
      <w:r w:rsidRPr="001C0B20">
        <w:t>Additional 68 markers covering chromosomes 1-22, X</w:t>
      </w:r>
    </w:p>
    <w:p w:rsidR="00777337" w:rsidRPr="001C0B20" w:rsidRDefault="00777337" w:rsidP="00777337">
      <w:r w:rsidRPr="001C0B20">
        <w:t xml:space="preserve">For each marker, the number of repeat units in </w:t>
      </w:r>
      <w:proofErr w:type="spellStart"/>
      <w:r w:rsidRPr="001C0B20">
        <w:t>tumor</w:t>
      </w:r>
      <w:proofErr w:type="spellEnd"/>
      <w:r w:rsidRPr="001C0B20">
        <w:t xml:space="preserve"> DNA was compared to expected germline lengths. Markers were scored as unstable if insertions/deletions were detected.</w:t>
      </w:r>
    </w:p>
    <w:p w:rsidR="00777337" w:rsidRPr="001C0B20" w:rsidRDefault="00777337" w:rsidP="00777337">
      <w:r w:rsidRPr="001C0B20">
        <w:rPr>
          <w:b/>
          <w:bCs/>
        </w:rPr>
        <w:t>MSI classification:</w:t>
      </w:r>
    </w:p>
    <w:p w:rsidR="00777337" w:rsidRPr="001C0B20" w:rsidRDefault="00777337" w:rsidP="00777337">
      <w:pPr>
        <w:numPr>
          <w:ilvl w:val="0"/>
          <w:numId w:val="11"/>
        </w:numPr>
      </w:pPr>
      <w:r w:rsidRPr="001C0B20">
        <w:t>MSI-High (MSI-H): ≥19 unstable markers (≥25% of markers tested)</w:t>
      </w:r>
    </w:p>
    <w:p w:rsidR="00777337" w:rsidRPr="001C0B20" w:rsidRDefault="00777337" w:rsidP="00777337">
      <w:pPr>
        <w:numPr>
          <w:ilvl w:val="0"/>
          <w:numId w:val="11"/>
        </w:numPr>
      </w:pPr>
      <w:r w:rsidRPr="001C0B20">
        <w:t>MSS (Microsatellite Stable): &lt;19 unstable markers</w:t>
      </w:r>
    </w:p>
    <w:p w:rsidR="00777337" w:rsidRPr="001C0B20" w:rsidRDefault="00777337" w:rsidP="00777337">
      <w:r w:rsidRPr="001C0B20">
        <w:rPr>
          <w:b/>
          <w:bCs/>
        </w:rPr>
        <w:t xml:space="preserve">S7. </w:t>
      </w:r>
      <w:proofErr w:type="spellStart"/>
      <w:r w:rsidRPr="001C0B20">
        <w:rPr>
          <w:b/>
          <w:bCs/>
        </w:rPr>
        <w:t>Pharmacogenomic</w:t>
      </w:r>
      <w:proofErr w:type="spellEnd"/>
      <w:r w:rsidRPr="001C0B20">
        <w:rPr>
          <w:b/>
          <w:bCs/>
        </w:rPr>
        <w:t xml:space="preserve"> Variant Interpretation</w:t>
      </w:r>
    </w:p>
    <w:p w:rsidR="00777337" w:rsidRPr="001C0B20" w:rsidRDefault="00777337" w:rsidP="00777337">
      <w:r w:rsidRPr="001C0B20">
        <w:t xml:space="preserve">Germline </w:t>
      </w:r>
      <w:proofErr w:type="spellStart"/>
      <w:r w:rsidRPr="001C0B20">
        <w:t>pharmacogenomic</w:t>
      </w:r>
      <w:proofErr w:type="spellEnd"/>
      <w:r w:rsidRPr="001C0B20">
        <w:t xml:space="preserve"> variants were identified in genes affecting drug metabolism:</w:t>
      </w:r>
    </w:p>
    <w:p w:rsidR="00777337" w:rsidRPr="001C0B20" w:rsidRDefault="00777337" w:rsidP="00777337">
      <w:r w:rsidRPr="001C0B20">
        <w:rPr>
          <w:b/>
          <w:bCs/>
        </w:rPr>
        <w:t xml:space="preserve">S7.1 Genes </w:t>
      </w:r>
      <w:proofErr w:type="spellStart"/>
      <w:r w:rsidRPr="001C0B20">
        <w:rPr>
          <w:b/>
          <w:bCs/>
        </w:rPr>
        <w:t>Analyzed</w:t>
      </w:r>
      <w:proofErr w:type="spellEnd"/>
    </w:p>
    <w:p w:rsidR="00777337" w:rsidRPr="001C0B20" w:rsidRDefault="00777337" w:rsidP="00777337">
      <w:pPr>
        <w:numPr>
          <w:ilvl w:val="0"/>
          <w:numId w:val="12"/>
        </w:numPr>
      </w:pPr>
      <w:r w:rsidRPr="001C0B20">
        <w:rPr>
          <w:i/>
          <w:iCs/>
        </w:rPr>
        <w:t>DPYD</w:t>
      </w:r>
      <w:r w:rsidRPr="001C0B20">
        <w:t> (</w:t>
      </w:r>
      <w:proofErr w:type="spellStart"/>
      <w:r w:rsidRPr="001C0B20">
        <w:t>dihydropyrimidine</w:t>
      </w:r>
      <w:proofErr w:type="spellEnd"/>
      <w:r w:rsidRPr="001C0B20">
        <w:t xml:space="preserve"> dehydrogenase): 5-fluorouracil metabolism</w:t>
      </w:r>
    </w:p>
    <w:p w:rsidR="00777337" w:rsidRPr="001C0B20" w:rsidRDefault="00777337" w:rsidP="00777337">
      <w:pPr>
        <w:numPr>
          <w:ilvl w:val="0"/>
          <w:numId w:val="12"/>
        </w:numPr>
      </w:pPr>
      <w:r w:rsidRPr="001C0B20">
        <w:rPr>
          <w:i/>
          <w:iCs/>
        </w:rPr>
        <w:t>CYP2D6</w:t>
      </w:r>
      <w:r w:rsidRPr="001C0B20">
        <w:t> (cytochrome P450 2D6): tamoxifen, opioid metabolism</w:t>
      </w:r>
    </w:p>
    <w:p w:rsidR="00777337" w:rsidRPr="001C0B20" w:rsidRDefault="00777337" w:rsidP="00777337">
      <w:pPr>
        <w:numPr>
          <w:ilvl w:val="0"/>
          <w:numId w:val="12"/>
        </w:numPr>
      </w:pPr>
      <w:r w:rsidRPr="001C0B20">
        <w:rPr>
          <w:i/>
          <w:iCs/>
        </w:rPr>
        <w:t>UGT1A1</w:t>
      </w:r>
      <w:r w:rsidRPr="001C0B20">
        <w:t xml:space="preserve"> (UDP glucuronosyltransferase 1A1): </w:t>
      </w:r>
      <w:proofErr w:type="spellStart"/>
      <w:r w:rsidRPr="001C0B20">
        <w:t>irinotecan</w:t>
      </w:r>
      <w:proofErr w:type="spellEnd"/>
      <w:r w:rsidRPr="001C0B20">
        <w:t xml:space="preserve"> metabolism</w:t>
      </w:r>
    </w:p>
    <w:p w:rsidR="00777337" w:rsidRPr="001C0B20" w:rsidRDefault="00777337" w:rsidP="00777337">
      <w:pPr>
        <w:numPr>
          <w:ilvl w:val="0"/>
          <w:numId w:val="12"/>
        </w:numPr>
      </w:pPr>
      <w:r w:rsidRPr="001C0B20">
        <w:rPr>
          <w:i/>
          <w:iCs/>
        </w:rPr>
        <w:t>TPMT</w:t>
      </w:r>
      <w:r w:rsidRPr="001C0B20">
        <w:t> (</w:t>
      </w:r>
      <w:proofErr w:type="spellStart"/>
      <w:r w:rsidRPr="001C0B20">
        <w:t>thiopurine</w:t>
      </w:r>
      <w:proofErr w:type="spellEnd"/>
      <w:r w:rsidRPr="001C0B20">
        <w:t xml:space="preserve"> S-</w:t>
      </w:r>
      <w:proofErr w:type="spellStart"/>
      <w:r w:rsidRPr="001C0B20">
        <w:t>methyltransferase</w:t>
      </w:r>
      <w:proofErr w:type="spellEnd"/>
      <w:r w:rsidRPr="001C0B20">
        <w:t>): 6-mercaptopurine, azathioprine metabolism</w:t>
      </w:r>
    </w:p>
    <w:p w:rsidR="00777337" w:rsidRPr="001C0B20" w:rsidRDefault="00777337" w:rsidP="00777337">
      <w:r w:rsidRPr="001C0B20">
        <w:rPr>
          <w:b/>
          <w:bCs/>
        </w:rPr>
        <w:t>S7.2 Germline Variant Identification</w:t>
      </w:r>
      <w:r w:rsidRPr="001C0B20">
        <w:br/>
        <w:t>Variants with VAF patterns consistent with germline origin were flagged:</w:t>
      </w:r>
    </w:p>
    <w:p w:rsidR="00777337" w:rsidRPr="001C0B20" w:rsidRDefault="00777337" w:rsidP="00777337">
      <w:pPr>
        <w:numPr>
          <w:ilvl w:val="0"/>
          <w:numId w:val="13"/>
        </w:numPr>
      </w:pPr>
      <w:r w:rsidRPr="001C0B20">
        <w:t>Heterozygous: VAF 40-60%</w:t>
      </w:r>
    </w:p>
    <w:p w:rsidR="00777337" w:rsidRPr="001C0B20" w:rsidRDefault="00777337" w:rsidP="00777337">
      <w:pPr>
        <w:numPr>
          <w:ilvl w:val="0"/>
          <w:numId w:val="13"/>
        </w:numPr>
      </w:pPr>
      <w:r w:rsidRPr="001C0B20">
        <w:t>Homozygous: VAF &gt;90%</w:t>
      </w:r>
    </w:p>
    <w:p w:rsidR="00777337" w:rsidRPr="001C0B20" w:rsidRDefault="00777337" w:rsidP="00777337">
      <w:r w:rsidRPr="001C0B20">
        <w:rPr>
          <w:b/>
          <w:bCs/>
        </w:rPr>
        <w:t>S7.3 Phenotype Prediction</w:t>
      </w:r>
      <w:r w:rsidRPr="001C0B20">
        <w:br/>
        <w:t>Predicted metabolizer phenotypes based on CPIC guidelines:</w:t>
      </w:r>
    </w:p>
    <w:p w:rsidR="00777337" w:rsidRPr="001C0B20" w:rsidRDefault="00777337" w:rsidP="00777337">
      <w:pPr>
        <w:numPr>
          <w:ilvl w:val="0"/>
          <w:numId w:val="14"/>
        </w:numPr>
      </w:pPr>
      <w:r w:rsidRPr="001C0B20">
        <w:t>Normal metabolizer (NM): Wild-type or normal function alleles</w:t>
      </w:r>
    </w:p>
    <w:p w:rsidR="00777337" w:rsidRPr="001C0B20" w:rsidRDefault="00777337" w:rsidP="00777337">
      <w:pPr>
        <w:numPr>
          <w:ilvl w:val="0"/>
          <w:numId w:val="14"/>
        </w:numPr>
      </w:pPr>
      <w:r w:rsidRPr="001C0B20">
        <w:t>Intermediate metabolizer (IM): One decreased/no function allele</w:t>
      </w:r>
    </w:p>
    <w:p w:rsidR="00777337" w:rsidRPr="001C0B20" w:rsidRDefault="00777337" w:rsidP="00777337">
      <w:pPr>
        <w:numPr>
          <w:ilvl w:val="0"/>
          <w:numId w:val="14"/>
        </w:numPr>
      </w:pPr>
      <w:r w:rsidRPr="001C0B20">
        <w:t>Poor metabolizer (PM): Two decreased/no function alleles</w:t>
      </w:r>
    </w:p>
    <w:p w:rsidR="00777337" w:rsidRPr="001C0B20" w:rsidRDefault="00777337" w:rsidP="00777337">
      <w:pPr>
        <w:numPr>
          <w:ilvl w:val="0"/>
          <w:numId w:val="14"/>
        </w:numPr>
      </w:pPr>
      <w:proofErr w:type="spellStart"/>
      <w:r w:rsidRPr="001C0B20">
        <w:t>Ultrarapid</w:t>
      </w:r>
      <w:proofErr w:type="spellEnd"/>
      <w:r w:rsidRPr="001C0B20">
        <w:t xml:space="preserve"> metabolizer (UM): Gene duplication/multiplication (CYP2D6 only)</w:t>
      </w:r>
    </w:p>
    <w:p w:rsidR="00777337" w:rsidRPr="001C0B20" w:rsidRDefault="00777337" w:rsidP="00777337">
      <w:r w:rsidRPr="001C0B20">
        <w:rPr>
          <w:b/>
          <w:bCs/>
        </w:rPr>
        <w:t>S7.4 Clinical Recommendations</w:t>
      </w:r>
      <w:r w:rsidRPr="001C0B20">
        <w:br/>
      </w:r>
      <w:proofErr w:type="gramStart"/>
      <w:r w:rsidRPr="001C0B20">
        <w:t>Dosing</w:t>
      </w:r>
      <w:proofErr w:type="gramEnd"/>
      <w:r w:rsidRPr="001C0B20">
        <w:t xml:space="preserve"> recommendations provided according to CPIC guidelines for each metabolizer phenotype.</w:t>
      </w:r>
    </w:p>
    <w:p w:rsidR="00777337" w:rsidRPr="001C0B20" w:rsidRDefault="00777337" w:rsidP="00777337">
      <w:r w:rsidRPr="001C0B20">
        <w:rPr>
          <w:b/>
          <w:bCs/>
        </w:rPr>
        <w:t>S8. Germline-Suspected Variant Identification</w:t>
      </w:r>
    </w:p>
    <w:p w:rsidR="00777337" w:rsidRPr="001C0B20" w:rsidRDefault="00777337" w:rsidP="00777337">
      <w:r w:rsidRPr="001C0B20">
        <w:t>Variants flagged for potential germline origin in hereditary cancer predisposition genes were identified using a multi-parameter algorithm:</w:t>
      </w:r>
    </w:p>
    <w:p w:rsidR="00777337" w:rsidRPr="001C0B20" w:rsidRDefault="00777337" w:rsidP="00777337">
      <w:r w:rsidRPr="001C0B20">
        <w:rPr>
          <w:b/>
          <w:bCs/>
        </w:rPr>
        <w:t>S8.1 VAF-Based Criteria</w:t>
      </w:r>
    </w:p>
    <w:p w:rsidR="00777337" w:rsidRPr="001C0B20" w:rsidRDefault="00777337" w:rsidP="00777337">
      <w:pPr>
        <w:numPr>
          <w:ilvl w:val="0"/>
          <w:numId w:val="15"/>
        </w:numPr>
      </w:pPr>
      <w:r w:rsidRPr="001C0B20">
        <w:t>Heterozygous pattern: VAF 40-60%</w:t>
      </w:r>
    </w:p>
    <w:p w:rsidR="00777337" w:rsidRPr="001C0B20" w:rsidRDefault="00777337" w:rsidP="00777337">
      <w:pPr>
        <w:numPr>
          <w:ilvl w:val="0"/>
          <w:numId w:val="15"/>
        </w:numPr>
      </w:pPr>
      <w:r w:rsidRPr="001C0B20">
        <w:t>Homozygous pattern: VAF &gt;90%</w:t>
      </w:r>
    </w:p>
    <w:p w:rsidR="00777337" w:rsidRPr="001C0B20" w:rsidRDefault="00777337" w:rsidP="00777337">
      <w:pPr>
        <w:numPr>
          <w:ilvl w:val="0"/>
          <w:numId w:val="15"/>
        </w:numPr>
      </w:pPr>
      <w:r w:rsidRPr="001C0B20">
        <w:t>Located in regions with copy-neutral LOH: VAF &gt;70%</w:t>
      </w:r>
    </w:p>
    <w:p w:rsidR="00777337" w:rsidRPr="001C0B20" w:rsidRDefault="00777337" w:rsidP="00777337">
      <w:r w:rsidRPr="001C0B20">
        <w:rPr>
          <w:b/>
          <w:bCs/>
        </w:rPr>
        <w:lastRenderedPageBreak/>
        <w:t>S8.2 Gene-Based Criteria</w:t>
      </w:r>
      <w:r w:rsidRPr="001C0B20">
        <w:br/>
        <w:t>Variants in 59 established hereditary cancer predisposition genes including:</w:t>
      </w:r>
    </w:p>
    <w:p w:rsidR="00777337" w:rsidRPr="001C0B20" w:rsidRDefault="00777337" w:rsidP="00777337">
      <w:pPr>
        <w:numPr>
          <w:ilvl w:val="0"/>
          <w:numId w:val="16"/>
        </w:numPr>
      </w:pPr>
      <w:r w:rsidRPr="001C0B20">
        <w:t>DNA repair: </w:t>
      </w:r>
      <w:r w:rsidRPr="001C0B20">
        <w:rPr>
          <w:i/>
          <w:iCs/>
        </w:rPr>
        <w:t>BRCA1</w:t>
      </w:r>
      <w:r w:rsidRPr="001C0B20">
        <w:t>, </w:t>
      </w:r>
      <w:r w:rsidRPr="001C0B20">
        <w:rPr>
          <w:i/>
          <w:iCs/>
        </w:rPr>
        <w:t>BRCA2</w:t>
      </w:r>
      <w:r w:rsidRPr="001C0B20">
        <w:t>, </w:t>
      </w:r>
      <w:r w:rsidRPr="001C0B20">
        <w:rPr>
          <w:i/>
          <w:iCs/>
        </w:rPr>
        <w:t>PALB2</w:t>
      </w:r>
      <w:r w:rsidRPr="001C0B20">
        <w:t>, </w:t>
      </w:r>
      <w:r w:rsidRPr="001C0B20">
        <w:rPr>
          <w:i/>
          <w:iCs/>
        </w:rPr>
        <w:t>ATM</w:t>
      </w:r>
      <w:r w:rsidRPr="001C0B20">
        <w:t>, </w:t>
      </w:r>
      <w:r w:rsidRPr="001C0B20">
        <w:rPr>
          <w:i/>
          <w:iCs/>
        </w:rPr>
        <w:t>CHEK2</w:t>
      </w:r>
      <w:r w:rsidRPr="001C0B20">
        <w:t>, </w:t>
      </w:r>
      <w:r w:rsidRPr="001C0B20">
        <w:rPr>
          <w:i/>
          <w:iCs/>
        </w:rPr>
        <w:t>RAD51C</w:t>
      </w:r>
      <w:r w:rsidRPr="001C0B20">
        <w:t>, </w:t>
      </w:r>
      <w:r w:rsidRPr="001C0B20">
        <w:rPr>
          <w:i/>
          <w:iCs/>
        </w:rPr>
        <w:t>RAD51D</w:t>
      </w:r>
    </w:p>
    <w:p w:rsidR="00777337" w:rsidRPr="001C0B20" w:rsidRDefault="00777337" w:rsidP="00777337">
      <w:pPr>
        <w:numPr>
          <w:ilvl w:val="0"/>
          <w:numId w:val="16"/>
        </w:numPr>
      </w:pPr>
      <w:r w:rsidRPr="001C0B20">
        <w:t>Mismatch repair: </w:t>
      </w:r>
      <w:r w:rsidRPr="001C0B20">
        <w:rPr>
          <w:i/>
          <w:iCs/>
        </w:rPr>
        <w:t>MLH1</w:t>
      </w:r>
      <w:r w:rsidRPr="001C0B20">
        <w:t>, </w:t>
      </w:r>
      <w:r w:rsidRPr="001C0B20">
        <w:rPr>
          <w:i/>
          <w:iCs/>
        </w:rPr>
        <w:t>MSH2</w:t>
      </w:r>
      <w:r w:rsidRPr="001C0B20">
        <w:t>, </w:t>
      </w:r>
      <w:r w:rsidRPr="001C0B20">
        <w:rPr>
          <w:i/>
          <w:iCs/>
        </w:rPr>
        <w:t>MSH6</w:t>
      </w:r>
      <w:r w:rsidRPr="001C0B20">
        <w:t>, </w:t>
      </w:r>
      <w:r w:rsidRPr="001C0B20">
        <w:rPr>
          <w:i/>
          <w:iCs/>
        </w:rPr>
        <w:t>PMS2</w:t>
      </w:r>
      <w:r w:rsidRPr="001C0B20">
        <w:t>, </w:t>
      </w:r>
      <w:r w:rsidRPr="001C0B20">
        <w:rPr>
          <w:i/>
          <w:iCs/>
        </w:rPr>
        <w:t>EPCAM</w:t>
      </w:r>
    </w:p>
    <w:p w:rsidR="00777337" w:rsidRPr="001C0B20" w:rsidRDefault="00777337" w:rsidP="00777337">
      <w:pPr>
        <w:numPr>
          <w:ilvl w:val="0"/>
          <w:numId w:val="16"/>
        </w:numPr>
      </w:pPr>
      <w:proofErr w:type="spellStart"/>
      <w:r w:rsidRPr="001C0B20">
        <w:t>Tumor</w:t>
      </w:r>
      <w:proofErr w:type="spellEnd"/>
      <w:r w:rsidRPr="001C0B20">
        <w:t xml:space="preserve"> suppressors: </w:t>
      </w:r>
      <w:r w:rsidRPr="001C0B20">
        <w:rPr>
          <w:i/>
          <w:iCs/>
        </w:rPr>
        <w:t>TP53</w:t>
      </w:r>
      <w:r w:rsidRPr="001C0B20">
        <w:t>, </w:t>
      </w:r>
      <w:r w:rsidRPr="001C0B20">
        <w:rPr>
          <w:i/>
          <w:iCs/>
        </w:rPr>
        <w:t>PTEN</w:t>
      </w:r>
      <w:r w:rsidRPr="001C0B20">
        <w:t>, </w:t>
      </w:r>
      <w:r w:rsidRPr="001C0B20">
        <w:rPr>
          <w:i/>
          <w:iCs/>
        </w:rPr>
        <w:t>STK11</w:t>
      </w:r>
      <w:r w:rsidRPr="001C0B20">
        <w:t>, </w:t>
      </w:r>
      <w:r w:rsidRPr="001C0B20">
        <w:rPr>
          <w:i/>
          <w:iCs/>
        </w:rPr>
        <w:t>CDH1</w:t>
      </w:r>
      <w:r w:rsidRPr="001C0B20">
        <w:t>, </w:t>
      </w:r>
      <w:r w:rsidRPr="001C0B20">
        <w:rPr>
          <w:i/>
          <w:iCs/>
        </w:rPr>
        <w:t>APC</w:t>
      </w:r>
      <w:r w:rsidRPr="001C0B20">
        <w:t>, </w:t>
      </w:r>
      <w:r w:rsidRPr="001C0B20">
        <w:rPr>
          <w:i/>
          <w:iCs/>
        </w:rPr>
        <w:t>VHL</w:t>
      </w:r>
    </w:p>
    <w:p w:rsidR="00777337" w:rsidRPr="001C0B20" w:rsidRDefault="00777337" w:rsidP="00777337">
      <w:pPr>
        <w:numPr>
          <w:ilvl w:val="0"/>
          <w:numId w:val="16"/>
        </w:numPr>
      </w:pPr>
      <w:r w:rsidRPr="001C0B20">
        <w:t>Others: </w:t>
      </w:r>
      <w:r w:rsidRPr="001C0B20">
        <w:rPr>
          <w:i/>
          <w:iCs/>
        </w:rPr>
        <w:t>CDKN2A</w:t>
      </w:r>
      <w:r w:rsidRPr="001C0B20">
        <w:t>, </w:t>
      </w:r>
      <w:r w:rsidRPr="001C0B20">
        <w:rPr>
          <w:i/>
          <w:iCs/>
        </w:rPr>
        <w:t>RET</w:t>
      </w:r>
      <w:r w:rsidRPr="001C0B20">
        <w:t>, </w:t>
      </w:r>
      <w:r w:rsidRPr="001C0B20">
        <w:rPr>
          <w:i/>
          <w:iCs/>
        </w:rPr>
        <w:t>MET</w:t>
      </w:r>
      <w:r w:rsidRPr="001C0B20">
        <w:t>, </w:t>
      </w:r>
      <w:r w:rsidRPr="001C0B20">
        <w:rPr>
          <w:i/>
          <w:iCs/>
        </w:rPr>
        <w:t>BRIP1</w:t>
      </w:r>
      <w:r w:rsidRPr="001C0B20">
        <w:t>, </w:t>
      </w:r>
      <w:r w:rsidRPr="001C0B20">
        <w:rPr>
          <w:i/>
          <w:iCs/>
        </w:rPr>
        <w:t>NBN</w:t>
      </w:r>
    </w:p>
    <w:p w:rsidR="00777337" w:rsidRPr="001C0B20" w:rsidRDefault="00777337" w:rsidP="00777337">
      <w:r w:rsidRPr="001C0B20">
        <w:rPr>
          <w:b/>
          <w:bCs/>
        </w:rPr>
        <w:t>S8.3 Pathogenicity Criteria</w:t>
      </w:r>
    </w:p>
    <w:p w:rsidR="00777337" w:rsidRPr="001C0B20" w:rsidRDefault="00777337" w:rsidP="00777337">
      <w:pPr>
        <w:numPr>
          <w:ilvl w:val="0"/>
          <w:numId w:val="17"/>
        </w:numPr>
      </w:pPr>
      <w:proofErr w:type="spellStart"/>
      <w:r w:rsidRPr="001C0B20">
        <w:t>ClinVar</w:t>
      </w:r>
      <w:proofErr w:type="spellEnd"/>
      <w:r w:rsidRPr="001C0B20">
        <w:t xml:space="preserve"> classification: Pathogenic or Likely Pathogenic</w:t>
      </w:r>
    </w:p>
    <w:p w:rsidR="00777337" w:rsidRPr="001C0B20" w:rsidRDefault="00777337" w:rsidP="00777337">
      <w:pPr>
        <w:numPr>
          <w:ilvl w:val="0"/>
          <w:numId w:val="17"/>
        </w:numPr>
      </w:pPr>
      <w:r w:rsidRPr="001C0B20">
        <w:t>ACMG/AMP criteria: Evidence codes supporting pathogenicity (PVS1, PS1-4, PM1-6, PP1-5)</w:t>
      </w:r>
    </w:p>
    <w:p w:rsidR="00777337" w:rsidRPr="001C0B20" w:rsidRDefault="00777337" w:rsidP="00777337">
      <w:r w:rsidRPr="001C0B20">
        <w:rPr>
          <w:b/>
          <w:bCs/>
        </w:rPr>
        <w:t>S8.4 Reporting and Follow-Up</w:t>
      </w:r>
      <w:r w:rsidRPr="001C0B20">
        <w:br/>
        <w:t>Patients with germline-suspected pathogenic variants were flagged for:</w:t>
      </w:r>
    </w:p>
    <w:p w:rsidR="00777337" w:rsidRPr="001C0B20" w:rsidRDefault="00777337" w:rsidP="00777337">
      <w:pPr>
        <w:numPr>
          <w:ilvl w:val="0"/>
          <w:numId w:val="18"/>
        </w:numPr>
      </w:pPr>
      <w:r w:rsidRPr="001C0B20">
        <w:t>Confirmatory germline testing from blood or saliva</w:t>
      </w:r>
    </w:p>
    <w:p w:rsidR="00777337" w:rsidRPr="001C0B20" w:rsidRDefault="00777337" w:rsidP="00777337">
      <w:pPr>
        <w:numPr>
          <w:ilvl w:val="0"/>
          <w:numId w:val="18"/>
        </w:numPr>
      </w:pPr>
      <w:r w:rsidRPr="001C0B20">
        <w:t xml:space="preserve">Genetic </w:t>
      </w:r>
      <w:proofErr w:type="spellStart"/>
      <w:r w:rsidRPr="001C0B20">
        <w:t>counseling</w:t>
      </w:r>
      <w:proofErr w:type="spellEnd"/>
      <w:r w:rsidRPr="001C0B20">
        <w:t xml:space="preserve"> referral</w:t>
      </w:r>
    </w:p>
    <w:p w:rsidR="00777337" w:rsidRPr="001C0B20" w:rsidRDefault="00777337" w:rsidP="00777337">
      <w:pPr>
        <w:numPr>
          <w:ilvl w:val="0"/>
          <w:numId w:val="18"/>
        </w:numPr>
      </w:pPr>
      <w:r w:rsidRPr="001C0B20">
        <w:t>Family cascade testing recommendation</w:t>
      </w:r>
    </w:p>
    <w:p w:rsidR="00777337" w:rsidRPr="001C0B20" w:rsidRDefault="00777337" w:rsidP="00777337">
      <w:pPr>
        <w:numPr>
          <w:ilvl w:val="0"/>
          <w:numId w:val="18"/>
        </w:numPr>
      </w:pPr>
      <w:r w:rsidRPr="001C0B20">
        <w:t>Risk-reduction and surveillance recommendations per NCCN guidelines</w:t>
      </w:r>
    </w:p>
    <w:p w:rsidR="00777337" w:rsidRPr="001C0B20" w:rsidRDefault="00777337" w:rsidP="00777337">
      <w:r w:rsidRPr="001C0B20">
        <w:rPr>
          <w:b/>
          <w:bCs/>
        </w:rPr>
        <w:t>S9. Quality Control Metrics and Troubleshooting</w:t>
      </w:r>
    </w:p>
    <w:p w:rsidR="00777337" w:rsidRPr="001C0B20" w:rsidRDefault="00777337" w:rsidP="00777337">
      <w:r w:rsidRPr="001C0B20">
        <w:rPr>
          <w:b/>
          <w:bCs/>
        </w:rPr>
        <w:t>S9.1 Sample-Level QC Thresholds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794"/>
        <w:gridCol w:w="3870"/>
      </w:tblGrid>
      <w:tr w:rsidR="00777337" w:rsidRPr="001C0B20" w:rsidTr="009D19B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pPr>
              <w:rPr>
                <w:b/>
                <w:bCs/>
              </w:rPr>
            </w:pPr>
            <w:r w:rsidRPr="001C0B20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pPr>
              <w:rPr>
                <w:b/>
                <w:bCs/>
              </w:rPr>
            </w:pPr>
            <w:r w:rsidRPr="001C0B20">
              <w:rPr>
                <w:b/>
                <w:bCs/>
              </w:rPr>
              <w:t>Pass Threshold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pPr>
              <w:rPr>
                <w:b/>
                <w:bCs/>
              </w:rPr>
            </w:pPr>
            <w:r w:rsidRPr="001C0B20">
              <w:rPr>
                <w:b/>
                <w:bCs/>
              </w:rPr>
              <w:t>Action if Failed</w:t>
            </w:r>
          </w:p>
        </w:tc>
      </w:tr>
      <w:tr w:rsidR="00777337" w:rsidRPr="001C0B20" w:rsidTr="009D19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proofErr w:type="spellStart"/>
            <w:r w:rsidRPr="001C0B20">
              <w:t>Tumor</w:t>
            </w:r>
            <w:proofErr w:type="spellEnd"/>
            <w:r w:rsidRPr="001C0B20">
              <w:t xml:space="preserve"> content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≥30%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proofErr w:type="spellStart"/>
            <w:r w:rsidRPr="001C0B20">
              <w:t>Macrodissection</w:t>
            </w:r>
            <w:proofErr w:type="spellEnd"/>
            <w:r w:rsidRPr="001C0B20">
              <w:t xml:space="preserve"> or exclusion</w:t>
            </w:r>
          </w:p>
        </w:tc>
      </w:tr>
      <w:tr w:rsidR="00777337" w:rsidRPr="001C0B20" w:rsidTr="009D19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DNA input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≥20 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Re-extraction from additional sections</w:t>
            </w:r>
          </w:p>
        </w:tc>
      </w:tr>
      <w:tr w:rsidR="00777337" w:rsidRPr="001C0B20" w:rsidTr="009D19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DV200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≥30%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Re-extraction or sample exclusion</w:t>
            </w:r>
          </w:p>
        </w:tc>
      </w:tr>
      <w:tr w:rsidR="00777337" w:rsidRPr="001C0B20" w:rsidTr="009D19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On-target reads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≥85%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Repeat library preparation</w:t>
            </w:r>
          </w:p>
        </w:tc>
      </w:tr>
      <w:tr w:rsidR="00777337" w:rsidRPr="001C0B20" w:rsidTr="009D19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Mean depth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≥1000×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Repeat sequencing</w:t>
            </w:r>
          </w:p>
        </w:tc>
      </w:tr>
      <w:tr w:rsidR="00777337" w:rsidRPr="001C0B20" w:rsidTr="009D19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Coverage uniformity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≥90%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Repeat sequencing</w:t>
            </w:r>
          </w:p>
        </w:tc>
      </w:tr>
      <w:tr w:rsidR="00777337" w:rsidRPr="001C0B20" w:rsidTr="009D19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Usable reads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≥80%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777337" w:rsidRPr="001C0B20" w:rsidRDefault="00777337" w:rsidP="009D19B5">
            <w:r w:rsidRPr="001C0B20">
              <w:t>Repeat library preparation</w:t>
            </w:r>
          </w:p>
        </w:tc>
      </w:tr>
    </w:tbl>
    <w:p w:rsidR="00777337" w:rsidRPr="001C0B20" w:rsidRDefault="00777337" w:rsidP="00777337">
      <w:r w:rsidRPr="001C0B20">
        <w:rPr>
          <w:b/>
          <w:bCs/>
        </w:rPr>
        <w:t>S9.2 Failed Sample Management</w:t>
      </w:r>
      <w:r w:rsidRPr="001C0B20">
        <w:br/>
        <w:t>Samples failing QC at any stage were:</w:t>
      </w:r>
    </w:p>
    <w:p w:rsidR="00777337" w:rsidRPr="001C0B20" w:rsidRDefault="00777337" w:rsidP="00777337">
      <w:pPr>
        <w:numPr>
          <w:ilvl w:val="0"/>
          <w:numId w:val="19"/>
        </w:numPr>
      </w:pPr>
      <w:r w:rsidRPr="001C0B20">
        <w:t>Re-tested once using additional tissue sections</w:t>
      </w:r>
    </w:p>
    <w:p w:rsidR="00777337" w:rsidRPr="001C0B20" w:rsidRDefault="00777337" w:rsidP="00777337">
      <w:pPr>
        <w:numPr>
          <w:ilvl w:val="0"/>
          <w:numId w:val="19"/>
        </w:numPr>
      </w:pPr>
      <w:r w:rsidRPr="001C0B20">
        <w:lastRenderedPageBreak/>
        <w:t>Excluded from analysis if repeat testing failed</w:t>
      </w:r>
    </w:p>
    <w:p w:rsidR="00777337" w:rsidRPr="001C0B20" w:rsidRDefault="00777337" w:rsidP="00777337">
      <w:pPr>
        <w:numPr>
          <w:ilvl w:val="0"/>
          <w:numId w:val="19"/>
        </w:numPr>
      </w:pPr>
      <w:r w:rsidRPr="001C0B20">
        <w:t>Documented with specific failure reason</w:t>
      </w:r>
    </w:p>
    <w:p w:rsidR="00777337" w:rsidRPr="001C0B20" w:rsidRDefault="00777337" w:rsidP="00777337">
      <w:r w:rsidRPr="001C0B20">
        <w:t xml:space="preserve">Of 114 enrolled patients, 3 were excluded: 2 for sequencing QC failure, 1 for insufficient </w:t>
      </w:r>
      <w:proofErr w:type="spellStart"/>
      <w:r w:rsidRPr="001C0B20">
        <w:t>tumor</w:t>
      </w:r>
      <w:proofErr w:type="spellEnd"/>
      <w:r w:rsidRPr="001C0B20">
        <w:t xml:space="preserve"> content.</w:t>
      </w:r>
    </w:p>
    <w:p w:rsidR="00777337" w:rsidRPr="001C0B20" w:rsidRDefault="00777337" w:rsidP="00777337">
      <w:r w:rsidRPr="001C0B20">
        <w:rPr>
          <w:b/>
          <w:bCs/>
        </w:rPr>
        <w:t>S10. Software and Database Versions</w:t>
      </w:r>
    </w:p>
    <w:p w:rsidR="00777337" w:rsidRPr="001C0B20" w:rsidRDefault="00777337" w:rsidP="00777337">
      <w:r w:rsidRPr="001C0B20">
        <w:rPr>
          <w:b/>
          <w:bCs/>
        </w:rPr>
        <w:t>S10.1 Analysis Software</w:t>
      </w:r>
    </w:p>
    <w:p w:rsidR="00777337" w:rsidRPr="001C0B20" w:rsidRDefault="00777337" w:rsidP="00777337">
      <w:pPr>
        <w:numPr>
          <w:ilvl w:val="0"/>
          <w:numId w:val="20"/>
        </w:numPr>
      </w:pPr>
      <w:r w:rsidRPr="001C0B20">
        <w:t>Torrent Suite Software: v5.18.1</w:t>
      </w:r>
    </w:p>
    <w:p w:rsidR="00777337" w:rsidRPr="001C0B20" w:rsidRDefault="00777337" w:rsidP="00777337">
      <w:pPr>
        <w:numPr>
          <w:ilvl w:val="0"/>
          <w:numId w:val="20"/>
        </w:numPr>
      </w:pPr>
      <w:r w:rsidRPr="001C0B20">
        <w:t>Ion Reporter Software: v5.20.8.0</w:t>
      </w:r>
    </w:p>
    <w:p w:rsidR="00777337" w:rsidRPr="001C0B20" w:rsidRDefault="00777337" w:rsidP="00777337">
      <w:pPr>
        <w:numPr>
          <w:ilvl w:val="0"/>
          <w:numId w:val="20"/>
        </w:numPr>
      </w:pPr>
      <w:r w:rsidRPr="001C0B20">
        <w:t>TMAP aligner: v5.12.3</w:t>
      </w:r>
    </w:p>
    <w:p w:rsidR="00777337" w:rsidRPr="001C0B20" w:rsidRDefault="00777337" w:rsidP="00777337">
      <w:pPr>
        <w:numPr>
          <w:ilvl w:val="0"/>
          <w:numId w:val="20"/>
        </w:numPr>
      </w:pPr>
      <w:r w:rsidRPr="001C0B20">
        <w:t>Variant Caller: v5.18</w:t>
      </w:r>
    </w:p>
    <w:p w:rsidR="00777337" w:rsidRPr="001C0B20" w:rsidRDefault="00777337" w:rsidP="00777337">
      <w:r w:rsidRPr="001C0B20">
        <w:rPr>
          <w:b/>
          <w:bCs/>
        </w:rPr>
        <w:t>S10.2 Annotation Databases (versions at time of analysis)</w:t>
      </w:r>
    </w:p>
    <w:p w:rsidR="00777337" w:rsidRPr="001C0B20" w:rsidRDefault="00777337" w:rsidP="00777337">
      <w:pPr>
        <w:numPr>
          <w:ilvl w:val="0"/>
          <w:numId w:val="21"/>
        </w:numPr>
      </w:pPr>
      <w:proofErr w:type="spellStart"/>
      <w:r w:rsidRPr="001C0B20">
        <w:t>ClinVar</w:t>
      </w:r>
      <w:proofErr w:type="spellEnd"/>
      <w:r w:rsidRPr="001C0B20">
        <w:t>: September 2024 release</w:t>
      </w:r>
    </w:p>
    <w:p w:rsidR="00777337" w:rsidRPr="001C0B20" w:rsidRDefault="00777337" w:rsidP="00777337">
      <w:pPr>
        <w:numPr>
          <w:ilvl w:val="0"/>
          <w:numId w:val="21"/>
        </w:numPr>
      </w:pPr>
      <w:r w:rsidRPr="001C0B20">
        <w:t>COSMIC: v99</w:t>
      </w:r>
    </w:p>
    <w:p w:rsidR="00777337" w:rsidRPr="001C0B20" w:rsidRDefault="00777337" w:rsidP="00777337">
      <w:pPr>
        <w:numPr>
          <w:ilvl w:val="0"/>
          <w:numId w:val="21"/>
        </w:numPr>
      </w:pPr>
      <w:proofErr w:type="spellStart"/>
      <w:r w:rsidRPr="001C0B20">
        <w:t>OncoKB</w:t>
      </w:r>
      <w:proofErr w:type="spellEnd"/>
      <w:r w:rsidRPr="001C0B20">
        <w:t>: v4.8 (October 2024)</w:t>
      </w:r>
    </w:p>
    <w:p w:rsidR="00777337" w:rsidRPr="001C0B20" w:rsidRDefault="00777337" w:rsidP="00777337">
      <w:pPr>
        <w:numPr>
          <w:ilvl w:val="0"/>
          <w:numId w:val="21"/>
        </w:numPr>
      </w:pPr>
      <w:proofErr w:type="spellStart"/>
      <w:r w:rsidRPr="001C0B20">
        <w:t>CIViC</w:t>
      </w:r>
      <w:proofErr w:type="spellEnd"/>
      <w:r w:rsidRPr="001C0B20">
        <w:t>: October 2024 release</w:t>
      </w:r>
    </w:p>
    <w:p w:rsidR="00777337" w:rsidRPr="001C0B20" w:rsidRDefault="00777337" w:rsidP="00777337">
      <w:pPr>
        <w:numPr>
          <w:ilvl w:val="0"/>
          <w:numId w:val="21"/>
        </w:numPr>
      </w:pPr>
      <w:proofErr w:type="spellStart"/>
      <w:r w:rsidRPr="001C0B20">
        <w:t>dbSNP</w:t>
      </w:r>
      <w:proofErr w:type="spellEnd"/>
      <w:r w:rsidRPr="001C0B20">
        <w:t>: build 156</w:t>
      </w:r>
    </w:p>
    <w:p w:rsidR="00777337" w:rsidRPr="001C0B20" w:rsidRDefault="00777337" w:rsidP="00777337">
      <w:pPr>
        <w:numPr>
          <w:ilvl w:val="0"/>
          <w:numId w:val="21"/>
        </w:numPr>
      </w:pPr>
      <w:proofErr w:type="spellStart"/>
      <w:r w:rsidRPr="001C0B20">
        <w:t>gnomAD</w:t>
      </w:r>
      <w:proofErr w:type="spellEnd"/>
      <w:r w:rsidRPr="001C0B20">
        <w:t>: v2.1.1</w:t>
      </w:r>
    </w:p>
    <w:p w:rsidR="00777337" w:rsidRPr="001C0B20" w:rsidRDefault="00777337" w:rsidP="00777337">
      <w:pPr>
        <w:numPr>
          <w:ilvl w:val="0"/>
          <w:numId w:val="21"/>
        </w:numPr>
      </w:pPr>
      <w:r w:rsidRPr="001C0B20">
        <w:t>CPIC: Guidelines current as of October 2024</w:t>
      </w:r>
    </w:p>
    <w:p w:rsidR="00777337" w:rsidRPr="001C0B20" w:rsidRDefault="00777337" w:rsidP="00777337">
      <w:r w:rsidRPr="001C0B20">
        <w:rPr>
          <w:b/>
          <w:bCs/>
        </w:rPr>
        <w:t>S10.3 Statistical Software</w:t>
      </w:r>
    </w:p>
    <w:p w:rsidR="00777337" w:rsidRPr="001C0B20" w:rsidRDefault="00777337" w:rsidP="00777337">
      <w:pPr>
        <w:numPr>
          <w:ilvl w:val="0"/>
          <w:numId w:val="22"/>
        </w:numPr>
      </w:pPr>
      <w:r w:rsidRPr="001C0B20">
        <w:t>R: version 4.4.2 (R Foundation for Statistical Computing, Vienna, Austria)</w:t>
      </w:r>
    </w:p>
    <w:p w:rsidR="00777337" w:rsidRPr="001C0B20" w:rsidRDefault="00777337" w:rsidP="00777337">
      <w:pPr>
        <w:numPr>
          <w:ilvl w:val="0"/>
          <w:numId w:val="22"/>
        </w:numPr>
      </w:pPr>
      <w:r w:rsidRPr="001C0B20">
        <w:t>Python: version 3.11.5</w:t>
      </w:r>
    </w:p>
    <w:p w:rsidR="00777337" w:rsidRPr="001C0B20" w:rsidRDefault="00777337" w:rsidP="00777337">
      <w:pPr>
        <w:numPr>
          <w:ilvl w:val="0"/>
          <w:numId w:val="22"/>
        </w:numPr>
      </w:pPr>
      <w:r w:rsidRPr="001C0B20">
        <w:t xml:space="preserve">R packages: </w:t>
      </w:r>
      <w:proofErr w:type="spellStart"/>
      <w:r w:rsidRPr="001C0B20">
        <w:t>tidyverse</w:t>
      </w:r>
      <w:proofErr w:type="spellEnd"/>
      <w:r w:rsidRPr="001C0B20">
        <w:t xml:space="preserve"> (v2.0.0), ggplot2 (v3.4.4), </w:t>
      </w:r>
      <w:proofErr w:type="spellStart"/>
      <w:r w:rsidRPr="001C0B20">
        <w:t>ComplexHeatmap</w:t>
      </w:r>
      <w:proofErr w:type="spellEnd"/>
      <w:r w:rsidRPr="001C0B20">
        <w:t xml:space="preserve"> (v2.16.0)</w:t>
      </w:r>
    </w:p>
    <w:p w:rsidR="00777337" w:rsidRPr="001C0B20" w:rsidRDefault="00777337" w:rsidP="00777337">
      <w:pPr>
        <w:numPr>
          <w:ilvl w:val="0"/>
          <w:numId w:val="22"/>
        </w:numPr>
      </w:pPr>
      <w:r w:rsidRPr="001C0B20">
        <w:t xml:space="preserve">Python packages: </w:t>
      </w:r>
      <w:proofErr w:type="spellStart"/>
      <w:r w:rsidRPr="001C0B20">
        <w:t>scipy</w:t>
      </w:r>
      <w:proofErr w:type="spellEnd"/>
      <w:r w:rsidRPr="001C0B20">
        <w:t xml:space="preserve"> (v1.11.3), </w:t>
      </w:r>
      <w:proofErr w:type="spellStart"/>
      <w:r w:rsidRPr="001C0B20">
        <w:t>statsmodels</w:t>
      </w:r>
      <w:proofErr w:type="spellEnd"/>
      <w:r w:rsidRPr="001C0B20">
        <w:t xml:space="preserve"> (v0.14.0), pandas (v2.1.1)</w:t>
      </w:r>
    </w:p>
    <w:p w:rsidR="00777337" w:rsidRPr="001C0B20" w:rsidRDefault="00777337" w:rsidP="00777337">
      <w:r w:rsidRPr="001C0B20">
        <w:rPr>
          <w:b/>
          <w:bCs/>
        </w:rPr>
        <w:t>S11. Data Availability</w:t>
      </w:r>
    </w:p>
    <w:p w:rsidR="00777337" w:rsidRPr="001C0B20" w:rsidRDefault="00777337" w:rsidP="00777337">
      <w:r w:rsidRPr="001C0B20">
        <w:t xml:space="preserve">Processed variant call files and clinical annotations are available upon reasonable request to the corresponding author, subject to institutional review board approval and data use agreement to protect patient confidentiality. </w:t>
      </w:r>
    </w:p>
    <w:p w:rsidR="00777337" w:rsidRDefault="00777337" w:rsidP="00777337"/>
    <w:p w:rsidR="00762E9C" w:rsidRDefault="00762E9C">
      <w:bookmarkStart w:id="0" w:name="_GoBack"/>
      <w:bookmarkEnd w:id="0"/>
    </w:p>
    <w:sectPr w:rsidR="00762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37B"/>
    <w:multiLevelType w:val="multilevel"/>
    <w:tmpl w:val="D0F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1B4E"/>
    <w:multiLevelType w:val="multilevel"/>
    <w:tmpl w:val="486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7985"/>
    <w:multiLevelType w:val="multilevel"/>
    <w:tmpl w:val="84FE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A162E"/>
    <w:multiLevelType w:val="multilevel"/>
    <w:tmpl w:val="1786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0C8F"/>
    <w:multiLevelType w:val="multilevel"/>
    <w:tmpl w:val="141A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32AB6"/>
    <w:multiLevelType w:val="multilevel"/>
    <w:tmpl w:val="719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55012"/>
    <w:multiLevelType w:val="multilevel"/>
    <w:tmpl w:val="FB44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326D9"/>
    <w:multiLevelType w:val="multilevel"/>
    <w:tmpl w:val="010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52FA3"/>
    <w:multiLevelType w:val="multilevel"/>
    <w:tmpl w:val="69DE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437BF"/>
    <w:multiLevelType w:val="multilevel"/>
    <w:tmpl w:val="CC2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74E08"/>
    <w:multiLevelType w:val="multilevel"/>
    <w:tmpl w:val="979C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A30F9"/>
    <w:multiLevelType w:val="multilevel"/>
    <w:tmpl w:val="11AAF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36F87"/>
    <w:multiLevelType w:val="multilevel"/>
    <w:tmpl w:val="D50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F0252"/>
    <w:multiLevelType w:val="multilevel"/>
    <w:tmpl w:val="5E1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B507C"/>
    <w:multiLevelType w:val="multilevel"/>
    <w:tmpl w:val="C49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A602A"/>
    <w:multiLevelType w:val="multilevel"/>
    <w:tmpl w:val="0042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AA32AA"/>
    <w:multiLevelType w:val="multilevel"/>
    <w:tmpl w:val="BD56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E4356"/>
    <w:multiLevelType w:val="multilevel"/>
    <w:tmpl w:val="FAA4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35181"/>
    <w:multiLevelType w:val="multilevel"/>
    <w:tmpl w:val="1E38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3384E"/>
    <w:multiLevelType w:val="multilevel"/>
    <w:tmpl w:val="99EA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85421"/>
    <w:multiLevelType w:val="multilevel"/>
    <w:tmpl w:val="58D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01209"/>
    <w:multiLevelType w:val="multilevel"/>
    <w:tmpl w:val="310E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2"/>
  </w:num>
  <w:num w:numId="5">
    <w:abstractNumId w:val="21"/>
  </w:num>
  <w:num w:numId="6">
    <w:abstractNumId w:val="14"/>
  </w:num>
  <w:num w:numId="7">
    <w:abstractNumId w:val="17"/>
  </w:num>
  <w:num w:numId="8">
    <w:abstractNumId w:val="11"/>
  </w:num>
  <w:num w:numId="9">
    <w:abstractNumId w:val="2"/>
  </w:num>
  <w:num w:numId="10">
    <w:abstractNumId w:val="9"/>
  </w:num>
  <w:num w:numId="11">
    <w:abstractNumId w:val="19"/>
  </w:num>
  <w:num w:numId="12">
    <w:abstractNumId w:val="16"/>
  </w:num>
  <w:num w:numId="13">
    <w:abstractNumId w:val="20"/>
  </w:num>
  <w:num w:numId="14">
    <w:abstractNumId w:val="18"/>
  </w:num>
  <w:num w:numId="15">
    <w:abstractNumId w:val="6"/>
  </w:num>
  <w:num w:numId="16">
    <w:abstractNumId w:val="10"/>
  </w:num>
  <w:num w:numId="17">
    <w:abstractNumId w:val="5"/>
  </w:num>
  <w:num w:numId="18">
    <w:abstractNumId w:val="15"/>
  </w:num>
  <w:num w:numId="19">
    <w:abstractNumId w:val="3"/>
  </w:num>
  <w:num w:numId="20">
    <w:abstractNumId w:val="8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37"/>
    <w:rsid w:val="00762E9C"/>
    <w:rsid w:val="007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E09B"/>
  <w15:chartTrackingRefBased/>
  <w15:docId w15:val="{DE5EE6FE-EBAA-4BEC-AFB3-426A729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9266</Characters>
  <Application>Microsoft Office Word</Application>
  <DocSecurity>0</DocSecurity>
  <Lines>77</Lines>
  <Paragraphs>21</Paragraphs>
  <ScaleCrop>false</ScaleCrop>
  <Company>HP Inc.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(E01083)</dc:creator>
  <cp:keywords/>
  <dc:description/>
  <cp:lastModifiedBy>Manoj Kumar (E01083)</cp:lastModifiedBy>
  <cp:revision>1</cp:revision>
  <dcterms:created xsi:type="dcterms:W3CDTF">2026-06-01T05:06:00Z</dcterms:created>
  <dcterms:modified xsi:type="dcterms:W3CDTF">2026-06-01T05:06:00Z</dcterms:modified>
</cp:coreProperties>
</file>