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D78" w14:textId="77777777" w:rsidR="0082595F" w:rsidRPr="00A610A8" w:rsidRDefault="0082595F" w:rsidP="0082595F">
      <w:pPr>
        <w:spacing w:line="480" w:lineRule="auto"/>
        <w:rPr>
          <w:rFonts w:ascii="Times New Roman" w:hAnsi="Times New Roman" w:cs="Times New Roman"/>
          <w:szCs w:val="21"/>
        </w:rPr>
      </w:pPr>
      <w:r w:rsidRPr="00A610A8">
        <w:rPr>
          <w:rFonts w:ascii="Times New Roman" w:hAnsi="Times New Roman" w:cs="Times New Roman"/>
          <w:szCs w:val="21"/>
        </w:rPr>
        <w:t>Online Resource 2</w:t>
      </w:r>
      <w:r>
        <w:rPr>
          <w:rFonts w:ascii="Times New Roman" w:hAnsi="Times New Roman" w:cs="Times New Roman" w:hint="eastAsia"/>
          <w:szCs w:val="21"/>
        </w:rPr>
        <w:t>.</w:t>
      </w:r>
      <w:r w:rsidRPr="00A610A8">
        <w:rPr>
          <w:rFonts w:ascii="Times New Roman" w:hAnsi="Times New Roman" w:cs="Times New Roman"/>
          <w:szCs w:val="21"/>
        </w:rPr>
        <w:t xml:space="preserve"> Gating strategies for flow cytometric analysis of T-cell subsets.</w:t>
      </w:r>
    </w:p>
    <w:p w14:paraId="170E0B10" w14:textId="77777777" w:rsidR="0082595F" w:rsidRPr="00A610A8" w:rsidRDefault="0082595F" w:rsidP="0082595F">
      <w:pPr>
        <w:spacing w:line="480" w:lineRule="auto"/>
        <w:rPr>
          <w:rFonts w:ascii="Times New Roman" w:hAnsi="Times New Roman" w:cs="Times New Roman"/>
          <w:szCs w:val="21"/>
        </w:rPr>
      </w:pPr>
      <w:r w:rsidRPr="00A610A8">
        <w:rPr>
          <w:rFonts w:ascii="Times New Roman" w:hAnsi="Times New Roman" w:cs="Times New Roman"/>
          <w:szCs w:val="21"/>
        </w:rPr>
        <w:t>Representative gating strategies are shown for (a) surface marker expression including immune checkpoint molecules, (b) intracellular Fox</w:t>
      </w:r>
      <w:r>
        <w:rPr>
          <w:rFonts w:ascii="Times New Roman" w:hAnsi="Times New Roman" w:cs="Times New Roman" w:hint="eastAsia"/>
          <w:szCs w:val="21"/>
        </w:rPr>
        <w:t>P</w:t>
      </w:r>
      <w:r w:rsidRPr="00A610A8">
        <w:rPr>
          <w:rFonts w:ascii="Times New Roman" w:hAnsi="Times New Roman" w:cs="Times New Roman"/>
          <w:szCs w:val="21"/>
        </w:rPr>
        <w:t>3 staining, and (c) Th1 cytokine expression.</w:t>
      </w:r>
    </w:p>
    <w:p w14:paraId="10CB2FD2" w14:textId="77777777" w:rsidR="0082595F" w:rsidRPr="00A610A8" w:rsidRDefault="0082595F" w:rsidP="0082595F">
      <w:pPr>
        <w:spacing w:line="480" w:lineRule="auto"/>
        <w:rPr>
          <w:rFonts w:ascii="Times New Roman" w:hAnsi="Times New Roman" w:cs="Times New Roman"/>
          <w:szCs w:val="21"/>
        </w:rPr>
      </w:pPr>
      <w:r w:rsidRPr="00A610A8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DB6E4B6" wp14:editId="4C7112FA">
            <wp:extent cx="4645857" cy="6571615"/>
            <wp:effectExtent l="0" t="0" r="2540" b="635"/>
            <wp:docPr id="83643107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31073" name="図 8364310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411" cy="658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94B1E" w14:textId="339FDA16" w:rsidR="00E52EA1" w:rsidRPr="0082595F" w:rsidRDefault="00E52EA1" w:rsidP="0082595F">
      <w:pPr>
        <w:spacing w:line="480" w:lineRule="auto"/>
        <w:rPr>
          <w:rFonts w:ascii="Times New Roman" w:hAnsi="Times New Roman" w:cs="Times New Roman" w:hint="eastAsia"/>
          <w:szCs w:val="21"/>
        </w:rPr>
      </w:pPr>
    </w:p>
    <w:sectPr w:rsidR="00E52EA1" w:rsidRPr="008259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5F"/>
    <w:rsid w:val="003E3EF6"/>
    <w:rsid w:val="006321A6"/>
    <w:rsid w:val="0082595F"/>
    <w:rsid w:val="00CA3FD4"/>
    <w:rsid w:val="00CB5D7B"/>
    <w:rsid w:val="00E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795085"/>
  <w15:chartTrackingRefBased/>
  <w15:docId w15:val="{79C0B749-275B-4338-A2CE-5B8E042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95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9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9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9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9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9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9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9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9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59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59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595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25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5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5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5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5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59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59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5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9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59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59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59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59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595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5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595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259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Isono</dc:creator>
  <cp:keywords/>
  <dc:description/>
  <cp:lastModifiedBy>Tomomi Isono</cp:lastModifiedBy>
  <cp:revision>1</cp:revision>
  <dcterms:created xsi:type="dcterms:W3CDTF">2026-05-29T08:24:00Z</dcterms:created>
  <dcterms:modified xsi:type="dcterms:W3CDTF">2026-05-29T08:25:00Z</dcterms:modified>
</cp:coreProperties>
</file>