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1828F" w14:textId="77777777" w:rsidR="00BB5188" w:rsidRPr="00A610A8" w:rsidRDefault="00BB5188" w:rsidP="00570D06">
      <w:pPr>
        <w:spacing w:line="480" w:lineRule="auto"/>
        <w:rPr>
          <w:rFonts w:ascii="Times New Roman" w:hAnsi="Times New Roman" w:cs="Times New Roman"/>
          <w:szCs w:val="21"/>
        </w:rPr>
      </w:pPr>
      <w:r w:rsidRPr="00A610A8">
        <w:rPr>
          <w:rFonts w:ascii="Times New Roman" w:hAnsi="Times New Roman" w:cs="Times New Roman"/>
          <w:szCs w:val="21"/>
        </w:rPr>
        <w:t>Online Resource 1. Antibodies used for flow cytometric analyses and intracellular cytokine staining</w:t>
      </w:r>
    </w:p>
    <w:p w14:paraId="0E778828" w14:textId="71A35192" w:rsidR="00E52EA1" w:rsidRDefault="00BB5188" w:rsidP="00570D06">
      <w:pPr>
        <w:spacing w:line="480" w:lineRule="auto"/>
        <w:ind w:firstLine="840"/>
      </w:pPr>
      <w:r w:rsidRPr="00A610A8">
        <w:rPr>
          <w:rFonts w:ascii="Times New Roman" w:hAnsi="Times New Roman" w:cs="Times New Roman"/>
          <w:szCs w:val="21"/>
        </w:rPr>
        <w:t xml:space="preserve">Cells were Fc-blocked (Human </w:t>
      </w:r>
      <w:proofErr w:type="spellStart"/>
      <w:r w:rsidRPr="00A610A8">
        <w:rPr>
          <w:rFonts w:ascii="Times New Roman" w:hAnsi="Times New Roman" w:cs="Times New Roman"/>
          <w:szCs w:val="21"/>
        </w:rPr>
        <w:t>TruStain</w:t>
      </w:r>
      <w:proofErr w:type="spellEnd"/>
      <w:r w:rsidRPr="00A610A8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A610A8">
        <w:rPr>
          <w:rFonts w:ascii="Times New Roman" w:hAnsi="Times New Roman" w:cs="Times New Roman"/>
          <w:szCs w:val="21"/>
        </w:rPr>
        <w:t>FcX</w:t>
      </w:r>
      <w:proofErr w:type="spellEnd"/>
      <w:r w:rsidRPr="00A610A8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A610A8">
        <w:rPr>
          <w:rFonts w:ascii="Times New Roman" w:hAnsi="Times New Roman" w:cs="Times New Roman"/>
          <w:szCs w:val="21"/>
        </w:rPr>
        <w:t>BioLegend</w:t>
      </w:r>
      <w:proofErr w:type="spellEnd"/>
      <w:r w:rsidRPr="00A610A8">
        <w:rPr>
          <w:rFonts w:ascii="Times New Roman" w:hAnsi="Times New Roman" w:cs="Times New Roman"/>
          <w:szCs w:val="21"/>
        </w:rPr>
        <w:t xml:space="preserve">) and stained with fluorescent antibodies against surface markers. Data were acquired on a BD </w:t>
      </w:r>
      <w:proofErr w:type="spellStart"/>
      <w:r w:rsidRPr="00A610A8">
        <w:rPr>
          <w:rFonts w:ascii="Times New Roman" w:hAnsi="Times New Roman" w:cs="Times New Roman"/>
          <w:szCs w:val="21"/>
        </w:rPr>
        <w:t>LSRFortessa</w:t>
      </w:r>
      <w:proofErr w:type="spellEnd"/>
      <w:r w:rsidRPr="00A610A8">
        <w:rPr>
          <w:rFonts w:ascii="Times New Roman" w:hAnsi="Times New Roman" w:cs="Times New Roman"/>
          <w:szCs w:val="21"/>
        </w:rPr>
        <w:t xml:space="preserve"> and analyzed with </w:t>
      </w:r>
      <w:proofErr w:type="spellStart"/>
      <w:r w:rsidRPr="00A610A8">
        <w:rPr>
          <w:rFonts w:ascii="Times New Roman" w:hAnsi="Times New Roman" w:cs="Times New Roman"/>
          <w:szCs w:val="21"/>
        </w:rPr>
        <w:t>FACSDiva</w:t>
      </w:r>
      <w:proofErr w:type="spellEnd"/>
      <w:r w:rsidRPr="00A610A8">
        <w:rPr>
          <w:rFonts w:ascii="Times New Roman" w:hAnsi="Times New Roman" w:cs="Times New Roman"/>
          <w:szCs w:val="21"/>
        </w:rPr>
        <w:t xml:space="preserve">. The following antibodies were used for surface marker staining: PE anti-human CD25 (BC96) (Cat no. 302606, </w:t>
      </w:r>
      <w:proofErr w:type="spellStart"/>
      <w:r w:rsidRPr="00A610A8">
        <w:rPr>
          <w:rFonts w:ascii="Times New Roman" w:hAnsi="Times New Roman" w:cs="Times New Roman"/>
          <w:szCs w:val="21"/>
        </w:rPr>
        <w:t>BioLegend</w:t>
      </w:r>
      <w:proofErr w:type="spellEnd"/>
      <w:r w:rsidRPr="00A610A8">
        <w:rPr>
          <w:rFonts w:ascii="Times New Roman" w:hAnsi="Times New Roman" w:cs="Times New Roman"/>
          <w:szCs w:val="21"/>
        </w:rPr>
        <w:t xml:space="preserve">), BV510 anti-human CD8a (RPA-T8) (Cat no. 301048, </w:t>
      </w:r>
      <w:proofErr w:type="spellStart"/>
      <w:r w:rsidRPr="00A610A8">
        <w:rPr>
          <w:rFonts w:ascii="Times New Roman" w:hAnsi="Times New Roman" w:cs="Times New Roman"/>
          <w:szCs w:val="21"/>
        </w:rPr>
        <w:t>BioLegend</w:t>
      </w:r>
      <w:proofErr w:type="spellEnd"/>
      <w:r w:rsidRPr="00A610A8">
        <w:rPr>
          <w:rFonts w:ascii="Times New Roman" w:hAnsi="Times New Roman" w:cs="Times New Roman"/>
          <w:szCs w:val="21"/>
        </w:rPr>
        <w:t xml:space="preserve">), BV711 anti-human CD4 (OKT4) (Cat no. 317440, </w:t>
      </w:r>
      <w:proofErr w:type="spellStart"/>
      <w:r w:rsidRPr="00A610A8">
        <w:rPr>
          <w:rFonts w:ascii="Times New Roman" w:hAnsi="Times New Roman" w:cs="Times New Roman"/>
          <w:szCs w:val="21"/>
        </w:rPr>
        <w:t>BioLegend</w:t>
      </w:r>
      <w:proofErr w:type="spellEnd"/>
      <w:r w:rsidRPr="00A610A8">
        <w:rPr>
          <w:rFonts w:ascii="Times New Roman" w:hAnsi="Times New Roman" w:cs="Times New Roman"/>
          <w:szCs w:val="21"/>
        </w:rPr>
        <w:t xml:space="preserve">), Alexa Fluor 700 anti-human CD3 (UCHT1) (Cat no. 300424), BV785 anti-human CD45 (HI30) (Cat no. 304048, </w:t>
      </w:r>
      <w:proofErr w:type="spellStart"/>
      <w:r w:rsidRPr="00A610A8">
        <w:rPr>
          <w:rFonts w:ascii="Times New Roman" w:hAnsi="Times New Roman" w:cs="Times New Roman"/>
          <w:szCs w:val="21"/>
        </w:rPr>
        <w:t>BioLegend</w:t>
      </w:r>
      <w:proofErr w:type="spellEnd"/>
      <w:r w:rsidRPr="00A610A8">
        <w:rPr>
          <w:rFonts w:ascii="Times New Roman" w:hAnsi="Times New Roman" w:cs="Times New Roman"/>
          <w:szCs w:val="21"/>
        </w:rPr>
        <w:t xml:space="preserve">), APC anti-Tim-3 (F38-2E2) (Cat no. 345012, </w:t>
      </w:r>
      <w:proofErr w:type="spellStart"/>
      <w:r w:rsidRPr="00A610A8">
        <w:rPr>
          <w:rFonts w:ascii="Times New Roman" w:hAnsi="Times New Roman" w:cs="Times New Roman"/>
          <w:szCs w:val="21"/>
        </w:rPr>
        <w:t>BioLegend</w:t>
      </w:r>
      <w:proofErr w:type="spellEnd"/>
      <w:r w:rsidRPr="00A610A8">
        <w:rPr>
          <w:rFonts w:ascii="Times New Roman" w:hAnsi="Times New Roman" w:cs="Times New Roman"/>
          <w:szCs w:val="21"/>
        </w:rPr>
        <w:t xml:space="preserve">), PE-CF594 anti-human OX-40 (ACT35) (Cat no. 563662, BD Bioscience),  BV421 anti-human 4-1BB (4B4-1) (Cat no. 309820, </w:t>
      </w:r>
      <w:proofErr w:type="spellStart"/>
      <w:r w:rsidRPr="00A610A8">
        <w:rPr>
          <w:rFonts w:ascii="Times New Roman" w:hAnsi="Times New Roman" w:cs="Times New Roman"/>
          <w:szCs w:val="21"/>
        </w:rPr>
        <w:t>BioLegend</w:t>
      </w:r>
      <w:proofErr w:type="spellEnd"/>
      <w:r w:rsidRPr="00A610A8">
        <w:rPr>
          <w:rFonts w:ascii="Times New Roman" w:hAnsi="Times New Roman" w:cs="Times New Roman"/>
          <w:szCs w:val="21"/>
        </w:rPr>
        <w:t>) and PE-Cy7 anti-human PD-1 (EH12.1) (Cat no. 561272, BD Bioscience). For intracellular FoxP3 staining, the following antibodies were used for initial surface staining: PE-CF594 anti-human CD4 (clone:</w:t>
      </w:r>
      <w:r w:rsidR="00182C0A">
        <w:rPr>
          <w:rFonts w:ascii="Times New Roman" w:hAnsi="Times New Roman" w:cs="Times New Roman" w:hint="eastAsia"/>
          <w:szCs w:val="21"/>
        </w:rPr>
        <w:t xml:space="preserve"> </w:t>
      </w:r>
      <w:r w:rsidRPr="00A610A8">
        <w:rPr>
          <w:rFonts w:ascii="Times New Roman" w:hAnsi="Times New Roman" w:cs="Times New Roman"/>
          <w:szCs w:val="21"/>
        </w:rPr>
        <w:t>RPA-T4) (Cat no. 562281, Becton Dickinson), Alexa Flu</w:t>
      </w:r>
      <w:r>
        <w:rPr>
          <w:rFonts w:ascii="Times New Roman" w:hAnsi="Times New Roman" w:cs="Times New Roman" w:hint="eastAsia"/>
          <w:szCs w:val="21"/>
        </w:rPr>
        <w:t>o</w:t>
      </w:r>
      <w:r w:rsidRPr="00A610A8">
        <w:rPr>
          <w:rFonts w:ascii="Times New Roman" w:hAnsi="Times New Roman" w:cs="Times New Roman"/>
          <w:szCs w:val="21"/>
        </w:rPr>
        <w:t>r 700 anti-human CD3 (clone</w:t>
      </w:r>
      <w:r w:rsidR="00182C0A">
        <w:rPr>
          <w:rFonts w:ascii="Times New Roman" w:hAnsi="Times New Roman" w:cs="Times New Roman" w:hint="eastAsia"/>
          <w:szCs w:val="21"/>
        </w:rPr>
        <w:t>:</w:t>
      </w:r>
      <w:r w:rsidRPr="00A610A8">
        <w:rPr>
          <w:rFonts w:ascii="Times New Roman" w:hAnsi="Times New Roman" w:cs="Times New Roman"/>
          <w:szCs w:val="21"/>
        </w:rPr>
        <w:t xml:space="preserve"> SK7) (Cat no. 344822, </w:t>
      </w:r>
      <w:proofErr w:type="spellStart"/>
      <w:r w:rsidRPr="00A610A8">
        <w:rPr>
          <w:rFonts w:ascii="Times New Roman" w:hAnsi="Times New Roman" w:cs="Times New Roman"/>
          <w:szCs w:val="21"/>
        </w:rPr>
        <w:t>BioLegend</w:t>
      </w:r>
      <w:proofErr w:type="spellEnd"/>
      <w:r w:rsidRPr="00A610A8">
        <w:rPr>
          <w:rFonts w:ascii="Times New Roman" w:hAnsi="Times New Roman" w:cs="Times New Roman"/>
          <w:szCs w:val="21"/>
        </w:rPr>
        <w:t>), Brilliant Violet 785 anti-human CD45 (</w:t>
      </w:r>
      <w:r w:rsidR="00182C0A">
        <w:rPr>
          <w:rFonts w:ascii="Times New Roman" w:hAnsi="Times New Roman" w:cs="Times New Roman" w:hint="eastAsia"/>
          <w:szCs w:val="21"/>
        </w:rPr>
        <w:t>cl</w:t>
      </w:r>
      <w:r w:rsidRPr="00A610A8">
        <w:rPr>
          <w:rFonts w:ascii="Times New Roman" w:hAnsi="Times New Roman" w:cs="Times New Roman"/>
          <w:szCs w:val="21"/>
        </w:rPr>
        <w:t>one:</w:t>
      </w:r>
      <w:r w:rsidR="00182C0A">
        <w:rPr>
          <w:rFonts w:ascii="Times New Roman" w:hAnsi="Times New Roman" w:cs="Times New Roman" w:hint="eastAsia"/>
          <w:szCs w:val="21"/>
        </w:rPr>
        <w:t xml:space="preserve"> </w:t>
      </w:r>
      <w:r w:rsidRPr="00A610A8">
        <w:rPr>
          <w:rFonts w:ascii="Times New Roman" w:hAnsi="Times New Roman" w:cs="Times New Roman"/>
          <w:szCs w:val="21"/>
        </w:rPr>
        <w:t xml:space="preserve">HI30) (Cat no. 304048, </w:t>
      </w:r>
      <w:proofErr w:type="spellStart"/>
      <w:r w:rsidRPr="00A610A8">
        <w:rPr>
          <w:rFonts w:ascii="Times New Roman" w:hAnsi="Times New Roman" w:cs="Times New Roman"/>
          <w:szCs w:val="21"/>
        </w:rPr>
        <w:t>BioLegend</w:t>
      </w:r>
      <w:proofErr w:type="spellEnd"/>
      <w:r w:rsidRPr="00A610A8">
        <w:rPr>
          <w:rFonts w:ascii="Times New Roman" w:hAnsi="Times New Roman" w:cs="Times New Roman"/>
          <w:szCs w:val="21"/>
        </w:rPr>
        <w:t>), Brilliant Violet 711 anti-human CD8a (</w:t>
      </w:r>
      <w:r w:rsidR="00182C0A">
        <w:rPr>
          <w:rFonts w:ascii="Times New Roman" w:hAnsi="Times New Roman" w:cs="Times New Roman" w:hint="eastAsia"/>
          <w:szCs w:val="21"/>
        </w:rPr>
        <w:t>c</w:t>
      </w:r>
      <w:r w:rsidRPr="00A610A8">
        <w:rPr>
          <w:rFonts w:ascii="Times New Roman" w:hAnsi="Times New Roman" w:cs="Times New Roman"/>
          <w:szCs w:val="21"/>
        </w:rPr>
        <w:t>lone:</w:t>
      </w:r>
      <w:r w:rsidR="00182C0A">
        <w:rPr>
          <w:rFonts w:ascii="Times New Roman" w:hAnsi="Times New Roman" w:cs="Times New Roman" w:hint="eastAsia"/>
          <w:szCs w:val="21"/>
        </w:rPr>
        <w:t xml:space="preserve"> </w:t>
      </w:r>
      <w:r w:rsidRPr="00A610A8">
        <w:rPr>
          <w:rFonts w:ascii="Times New Roman" w:hAnsi="Times New Roman" w:cs="Times New Roman"/>
          <w:szCs w:val="21"/>
        </w:rPr>
        <w:t>RPA-T8) (Cat no. 301044) and  PE/Cyanine7 anti-human CD25 (clone:</w:t>
      </w:r>
      <w:r w:rsidR="00182C0A">
        <w:rPr>
          <w:rFonts w:ascii="Times New Roman" w:hAnsi="Times New Roman" w:cs="Times New Roman" w:hint="eastAsia"/>
          <w:szCs w:val="21"/>
        </w:rPr>
        <w:t xml:space="preserve"> </w:t>
      </w:r>
      <w:r w:rsidRPr="00A610A8">
        <w:rPr>
          <w:rFonts w:ascii="Times New Roman" w:hAnsi="Times New Roman" w:cs="Times New Roman"/>
          <w:szCs w:val="21"/>
        </w:rPr>
        <w:t xml:space="preserve">BC96) (Cat no.302612, </w:t>
      </w:r>
      <w:proofErr w:type="spellStart"/>
      <w:r w:rsidRPr="00A610A8">
        <w:rPr>
          <w:rFonts w:ascii="Times New Roman" w:hAnsi="Times New Roman" w:cs="Times New Roman"/>
          <w:szCs w:val="21"/>
        </w:rPr>
        <w:t>BioLegend</w:t>
      </w:r>
      <w:proofErr w:type="spellEnd"/>
      <w:r w:rsidRPr="00A610A8">
        <w:rPr>
          <w:rFonts w:ascii="Times New Roman" w:hAnsi="Times New Roman" w:cs="Times New Roman"/>
          <w:szCs w:val="21"/>
        </w:rPr>
        <w:t xml:space="preserve">). After cell surface staining, cell fixation and </w:t>
      </w:r>
      <w:r>
        <w:rPr>
          <w:rFonts w:ascii="Times New Roman" w:hAnsi="Times New Roman" w:cs="Times New Roman" w:hint="eastAsia"/>
          <w:szCs w:val="21"/>
        </w:rPr>
        <w:t>permeabilization</w:t>
      </w:r>
      <w:r w:rsidRPr="00A610A8">
        <w:rPr>
          <w:rFonts w:ascii="Times New Roman" w:hAnsi="Times New Roman" w:cs="Times New Roman"/>
          <w:szCs w:val="21"/>
        </w:rPr>
        <w:t xml:space="preserve"> were performed with the FoxP3/Transcription Factor Staining Buffer Set (Cat no. 00-5523-00, Invitrogen) following the manufacturer’s protocol. Intracellular FoxP3 staining was conducted using APC anti-huma</w:t>
      </w:r>
      <w:r>
        <w:rPr>
          <w:rFonts w:ascii="Times New Roman" w:hAnsi="Times New Roman" w:cs="Times New Roman" w:hint="eastAsia"/>
          <w:szCs w:val="21"/>
        </w:rPr>
        <w:t>n</w:t>
      </w:r>
      <w:r w:rsidRPr="00A610A8">
        <w:rPr>
          <w:rFonts w:ascii="Times New Roman" w:hAnsi="Times New Roman" w:cs="Times New Roman"/>
          <w:szCs w:val="21"/>
        </w:rPr>
        <w:t xml:space="preserve"> FoxP3 (</w:t>
      </w:r>
      <w:r w:rsidR="00182C0A">
        <w:rPr>
          <w:rFonts w:ascii="Times New Roman" w:hAnsi="Times New Roman" w:cs="Times New Roman" w:hint="eastAsia"/>
          <w:szCs w:val="21"/>
        </w:rPr>
        <w:t>c</w:t>
      </w:r>
      <w:r w:rsidRPr="00A610A8">
        <w:rPr>
          <w:rFonts w:ascii="Times New Roman" w:hAnsi="Times New Roman" w:cs="Times New Roman"/>
          <w:szCs w:val="21"/>
        </w:rPr>
        <w:t xml:space="preserve">lone: PCH101) (Cat no. </w:t>
      </w:r>
      <w:r w:rsidRPr="00A610A8">
        <w:rPr>
          <w:rFonts w:ascii="Times New Roman" w:hAnsi="Times New Roman" w:cs="Times New Roman"/>
          <w:szCs w:val="21"/>
        </w:rPr>
        <w:lastRenderedPageBreak/>
        <w:t>17-4776-42, Invitrogen). In the intracellular cytokine staining analysis, Alexa Flu</w:t>
      </w:r>
      <w:r>
        <w:rPr>
          <w:rFonts w:ascii="Times New Roman" w:hAnsi="Times New Roman" w:cs="Times New Roman" w:hint="eastAsia"/>
          <w:szCs w:val="21"/>
        </w:rPr>
        <w:t>o</w:t>
      </w:r>
      <w:r w:rsidRPr="00A610A8">
        <w:rPr>
          <w:rFonts w:ascii="Times New Roman" w:hAnsi="Times New Roman" w:cs="Times New Roman"/>
          <w:szCs w:val="21"/>
        </w:rPr>
        <w:t>r 700 anti-human CD3 (clone</w:t>
      </w:r>
      <w:r w:rsidR="00182C0A">
        <w:rPr>
          <w:rFonts w:ascii="Times New Roman" w:hAnsi="Times New Roman" w:cs="Times New Roman" w:hint="eastAsia"/>
          <w:szCs w:val="21"/>
        </w:rPr>
        <w:t>:</w:t>
      </w:r>
      <w:r w:rsidRPr="00A610A8">
        <w:rPr>
          <w:rFonts w:ascii="Times New Roman" w:hAnsi="Times New Roman" w:cs="Times New Roman"/>
          <w:szCs w:val="21"/>
        </w:rPr>
        <w:t xml:space="preserve"> UCHT1) (Cat no. 300424, </w:t>
      </w:r>
      <w:proofErr w:type="spellStart"/>
      <w:r w:rsidRPr="00A610A8">
        <w:rPr>
          <w:rFonts w:ascii="Times New Roman" w:hAnsi="Times New Roman" w:cs="Times New Roman"/>
          <w:szCs w:val="21"/>
        </w:rPr>
        <w:t>BioLegend</w:t>
      </w:r>
      <w:proofErr w:type="spellEnd"/>
      <w:r w:rsidRPr="00A610A8">
        <w:rPr>
          <w:rFonts w:ascii="Times New Roman" w:hAnsi="Times New Roman" w:cs="Times New Roman"/>
          <w:szCs w:val="21"/>
        </w:rPr>
        <w:t>), PE anti-human CD4 (clone</w:t>
      </w:r>
      <w:r w:rsidR="00182C0A">
        <w:rPr>
          <w:rFonts w:ascii="Times New Roman" w:hAnsi="Times New Roman" w:cs="Times New Roman" w:hint="eastAsia"/>
          <w:szCs w:val="21"/>
        </w:rPr>
        <w:t>:</w:t>
      </w:r>
      <w:r w:rsidRPr="00A610A8">
        <w:rPr>
          <w:rFonts w:ascii="Times New Roman" w:hAnsi="Times New Roman" w:cs="Times New Roman"/>
          <w:szCs w:val="21"/>
        </w:rPr>
        <w:t xml:space="preserve"> SK3) (Cat no. 344606, </w:t>
      </w:r>
      <w:proofErr w:type="spellStart"/>
      <w:r w:rsidRPr="00A610A8">
        <w:rPr>
          <w:rFonts w:ascii="Times New Roman" w:hAnsi="Times New Roman" w:cs="Times New Roman"/>
          <w:szCs w:val="21"/>
        </w:rPr>
        <w:t>BioLegend</w:t>
      </w:r>
      <w:proofErr w:type="spellEnd"/>
      <w:r w:rsidRPr="00A610A8">
        <w:rPr>
          <w:rFonts w:ascii="Times New Roman" w:hAnsi="Times New Roman" w:cs="Times New Roman"/>
          <w:szCs w:val="21"/>
        </w:rPr>
        <w:t>), and APC anti-human CD8a (clone</w:t>
      </w:r>
      <w:r w:rsidR="00182C0A">
        <w:rPr>
          <w:rFonts w:ascii="Times New Roman" w:hAnsi="Times New Roman" w:cs="Times New Roman" w:hint="eastAsia"/>
          <w:szCs w:val="21"/>
        </w:rPr>
        <w:t>:</w:t>
      </w:r>
      <w:r w:rsidRPr="00A610A8">
        <w:rPr>
          <w:rFonts w:ascii="Times New Roman" w:hAnsi="Times New Roman" w:cs="Times New Roman"/>
          <w:szCs w:val="21"/>
        </w:rPr>
        <w:t xml:space="preserve"> RPA-T8) (Cat no. 301014, </w:t>
      </w:r>
      <w:proofErr w:type="spellStart"/>
      <w:r w:rsidRPr="00A610A8">
        <w:rPr>
          <w:rFonts w:ascii="Times New Roman" w:hAnsi="Times New Roman" w:cs="Times New Roman"/>
          <w:szCs w:val="21"/>
        </w:rPr>
        <w:t>BioLegend</w:t>
      </w:r>
      <w:proofErr w:type="spellEnd"/>
      <w:r w:rsidRPr="00A610A8">
        <w:rPr>
          <w:rFonts w:ascii="Times New Roman" w:hAnsi="Times New Roman" w:cs="Times New Roman"/>
          <w:szCs w:val="21"/>
        </w:rPr>
        <w:t xml:space="preserve">) antibodies were used for cell surface staining. </w:t>
      </w:r>
      <w:r>
        <w:rPr>
          <w:rFonts w:ascii="Times New Roman" w:hAnsi="Times New Roman" w:cs="Times New Roman" w:hint="eastAsia"/>
          <w:szCs w:val="21"/>
        </w:rPr>
        <w:t>Ce</w:t>
      </w:r>
      <w:r w:rsidRPr="000D05D5">
        <w:rPr>
          <w:rFonts w:ascii="Times New Roman" w:hAnsi="Times New Roman" w:cs="Times New Roman"/>
          <w:szCs w:val="21"/>
        </w:rPr>
        <w:t>ll fixation and permeabilization</w:t>
      </w:r>
      <w:r w:rsidRPr="00A610A8">
        <w:rPr>
          <w:rFonts w:ascii="Times New Roman" w:hAnsi="Times New Roman" w:cs="Times New Roman"/>
          <w:szCs w:val="21"/>
        </w:rPr>
        <w:t xml:space="preserve"> were then performed with the Transcription Factor Buffer Set (Cat no. 562574, Becton Dickinson) according to the manufacturer’s protocol. Intracellular staining was conducted using the following antibodies: Brilliant Violet 421 anti-human </w:t>
      </w:r>
      <w:proofErr w:type="spellStart"/>
      <w:r w:rsidRPr="00A610A8">
        <w:rPr>
          <w:rFonts w:ascii="Times New Roman" w:hAnsi="Times New Roman" w:cs="Times New Roman"/>
          <w:szCs w:val="21"/>
        </w:rPr>
        <w:t>IFNγ</w:t>
      </w:r>
      <w:proofErr w:type="spellEnd"/>
      <w:r w:rsidRPr="00A610A8">
        <w:rPr>
          <w:rFonts w:ascii="Times New Roman" w:hAnsi="Times New Roman" w:cs="Times New Roman"/>
          <w:szCs w:val="21"/>
        </w:rPr>
        <w:t xml:space="preserve"> (clone:</w:t>
      </w:r>
      <w:r w:rsidR="00182C0A">
        <w:rPr>
          <w:rFonts w:ascii="Times New Roman" w:hAnsi="Times New Roman" w:cs="Times New Roman" w:hint="eastAsia"/>
          <w:szCs w:val="21"/>
        </w:rPr>
        <w:t xml:space="preserve"> </w:t>
      </w:r>
      <w:r w:rsidRPr="00A610A8">
        <w:rPr>
          <w:rFonts w:ascii="Times New Roman" w:hAnsi="Times New Roman" w:cs="Times New Roman"/>
          <w:szCs w:val="21"/>
        </w:rPr>
        <w:t xml:space="preserve">4S.B3) (Cat no. 502532, </w:t>
      </w:r>
      <w:proofErr w:type="spellStart"/>
      <w:r w:rsidRPr="00A610A8">
        <w:rPr>
          <w:rFonts w:ascii="Times New Roman" w:hAnsi="Times New Roman" w:cs="Times New Roman"/>
          <w:szCs w:val="21"/>
        </w:rPr>
        <w:t>BioLegend</w:t>
      </w:r>
      <w:proofErr w:type="spellEnd"/>
      <w:r w:rsidRPr="00A610A8">
        <w:rPr>
          <w:rFonts w:ascii="Times New Roman" w:hAnsi="Times New Roman" w:cs="Times New Roman"/>
          <w:szCs w:val="21"/>
        </w:rPr>
        <w:t>), anti-human TNF-α PE-Cyanine7 (</w:t>
      </w:r>
      <w:r w:rsidR="00182C0A">
        <w:rPr>
          <w:rFonts w:ascii="Times New Roman" w:hAnsi="Times New Roman" w:cs="Times New Roman" w:hint="eastAsia"/>
          <w:szCs w:val="21"/>
        </w:rPr>
        <w:t>c</w:t>
      </w:r>
      <w:r w:rsidRPr="00A610A8">
        <w:rPr>
          <w:rFonts w:ascii="Times New Roman" w:hAnsi="Times New Roman" w:cs="Times New Roman"/>
          <w:szCs w:val="21"/>
        </w:rPr>
        <w:t xml:space="preserve">lone: MAb11) (Cat no. 25-7349-82, </w:t>
      </w:r>
      <w:proofErr w:type="spellStart"/>
      <w:r w:rsidRPr="00A610A8">
        <w:rPr>
          <w:rFonts w:ascii="Times New Roman" w:hAnsi="Times New Roman" w:cs="Times New Roman"/>
          <w:szCs w:val="21"/>
        </w:rPr>
        <w:t>eBioScience</w:t>
      </w:r>
      <w:proofErr w:type="spellEnd"/>
      <w:r w:rsidRPr="00A610A8">
        <w:rPr>
          <w:rFonts w:ascii="Times New Roman" w:hAnsi="Times New Roman" w:cs="Times New Roman"/>
          <w:szCs w:val="21"/>
        </w:rPr>
        <w:t xml:space="preserve">), and anti-human IL-2 </w:t>
      </w:r>
      <w:proofErr w:type="spellStart"/>
      <w:r w:rsidRPr="00A610A8">
        <w:rPr>
          <w:rFonts w:ascii="Times New Roman" w:hAnsi="Times New Roman" w:cs="Times New Roman"/>
          <w:szCs w:val="21"/>
        </w:rPr>
        <w:t>PerCP-eFluor</w:t>
      </w:r>
      <w:proofErr w:type="spellEnd"/>
      <w:r w:rsidRPr="00A610A8">
        <w:rPr>
          <w:rFonts w:ascii="Times New Roman" w:hAnsi="Times New Roman" w:cs="Times New Roman"/>
          <w:szCs w:val="21"/>
        </w:rPr>
        <w:t xml:space="preserve"> 710 (clone:</w:t>
      </w:r>
      <w:r w:rsidR="00182C0A">
        <w:rPr>
          <w:rFonts w:ascii="Times New Roman" w:hAnsi="Times New Roman" w:cs="Times New Roman" w:hint="eastAsia"/>
          <w:szCs w:val="21"/>
        </w:rPr>
        <w:t xml:space="preserve"> </w:t>
      </w:r>
      <w:r w:rsidRPr="00A610A8">
        <w:rPr>
          <w:rFonts w:ascii="Times New Roman" w:hAnsi="Times New Roman" w:cs="Times New Roman"/>
          <w:szCs w:val="21"/>
        </w:rPr>
        <w:t xml:space="preserve">MQ1-17H12) (Cat no. 46-7029-42, Invitrogen). Brilliant Violet 421 mouse IgG1κ isotype control (MOPC-21) (Cat no. 400158, </w:t>
      </w:r>
      <w:proofErr w:type="spellStart"/>
      <w:r w:rsidRPr="00A610A8">
        <w:rPr>
          <w:rFonts w:ascii="Times New Roman" w:hAnsi="Times New Roman" w:cs="Times New Roman"/>
          <w:szCs w:val="21"/>
        </w:rPr>
        <w:t>BioLegend</w:t>
      </w:r>
      <w:proofErr w:type="spellEnd"/>
      <w:r w:rsidRPr="00A610A8">
        <w:rPr>
          <w:rFonts w:ascii="Times New Roman" w:hAnsi="Times New Roman" w:cs="Times New Roman"/>
          <w:szCs w:val="21"/>
        </w:rPr>
        <w:t xml:space="preserve">), PE/Cyanine7 mouse IgG1κ isotype control (MOPC-21) (Cat no. 400126, </w:t>
      </w:r>
      <w:proofErr w:type="spellStart"/>
      <w:r w:rsidRPr="00A610A8">
        <w:rPr>
          <w:rFonts w:ascii="Times New Roman" w:hAnsi="Times New Roman" w:cs="Times New Roman"/>
          <w:szCs w:val="21"/>
        </w:rPr>
        <w:t>BioLegend</w:t>
      </w:r>
      <w:proofErr w:type="spellEnd"/>
      <w:r w:rsidRPr="00A610A8">
        <w:rPr>
          <w:rFonts w:ascii="Times New Roman" w:hAnsi="Times New Roman" w:cs="Times New Roman"/>
          <w:szCs w:val="21"/>
        </w:rPr>
        <w:t xml:space="preserve">), and </w:t>
      </w:r>
      <w:proofErr w:type="spellStart"/>
      <w:r w:rsidRPr="00A610A8">
        <w:rPr>
          <w:rFonts w:ascii="Times New Roman" w:hAnsi="Times New Roman" w:cs="Times New Roman"/>
          <w:szCs w:val="21"/>
        </w:rPr>
        <w:t>PerCP</w:t>
      </w:r>
      <w:proofErr w:type="spellEnd"/>
      <w:r w:rsidRPr="00A610A8">
        <w:rPr>
          <w:rFonts w:ascii="Times New Roman" w:hAnsi="Times New Roman" w:cs="Times New Roman"/>
          <w:szCs w:val="21"/>
        </w:rPr>
        <w:t xml:space="preserve">/Cyanine 5.5 mouse IgG1κ isotype control (MOPC-21) (Cat no. 400150, </w:t>
      </w:r>
      <w:proofErr w:type="spellStart"/>
      <w:r w:rsidRPr="00A610A8">
        <w:rPr>
          <w:rFonts w:ascii="Times New Roman" w:hAnsi="Times New Roman" w:cs="Times New Roman"/>
          <w:szCs w:val="21"/>
        </w:rPr>
        <w:t>BioLegend</w:t>
      </w:r>
      <w:proofErr w:type="spellEnd"/>
      <w:r w:rsidRPr="00A610A8">
        <w:rPr>
          <w:rFonts w:ascii="Times New Roman" w:hAnsi="Times New Roman" w:cs="Times New Roman"/>
          <w:szCs w:val="21"/>
        </w:rPr>
        <w:t>) were used as isotype controls.</w:t>
      </w:r>
    </w:p>
    <w:sectPr w:rsidR="00E52E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0F030" w14:textId="77777777" w:rsidR="00D35994" w:rsidRDefault="00D35994" w:rsidP="00182C0A">
      <w:r>
        <w:separator/>
      </w:r>
    </w:p>
  </w:endnote>
  <w:endnote w:type="continuationSeparator" w:id="0">
    <w:p w14:paraId="4F0B80F9" w14:textId="77777777" w:rsidR="00D35994" w:rsidRDefault="00D35994" w:rsidP="00182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993C6" w14:textId="77777777" w:rsidR="00D35994" w:rsidRDefault="00D35994" w:rsidP="00182C0A">
      <w:r>
        <w:separator/>
      </w:r>
    </w:p>
  </w:footnote>
  <w:footnote w:type="continuationSeparator" w:id="0">
    <w:p w14:paraId="79EB6100" w14:textId="77777777" w:rsidR="00D35994" w:rsidRDefault="00D35994" w:rsidP="00182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188"/>
    <w:rsid w:val="00182C0A"/>
    <w:rsid w:val="003E3EF6"/>
    <w:rsid w:val="00570D06"/>
    <w:rsid w:val="005B35BD"/>
    <w:rsid w:val="006321A6"/>
    <w:rsid w:val="00800607"/>
    <w:rsid w:val="00883817"/>
    <w:rsid w:val="008A6518"/>
    <w:rsid w:val="00B51AFE"/>
    <w:rsid w:val="00B6389E"/>
    <w:rsid w:val="00BB5188"/>
    <w:rsid w:val="00CA3FD4"/>
    <w:rsid w:val="00CB5D7B"/>
    <w:rsid w:val="00D35994"/>
    <w:rsid w:val="00E5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BFFF18"/>
  <w15:chartTrackingRefBased/>
  <w15:docId w15:val="{29F66FB2-8B91-49DC-8A66-9FB61D78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18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518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51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518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518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518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518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518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518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B518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B518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B518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B51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B51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B51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B51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B51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B518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B518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B5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518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B51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51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B51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518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B518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B51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B518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B5188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82C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82C0A"/>
  </w:style>
  <w:style w:type="paragraph" w:styleId="ac">
    <w:name w:val="footer"/>
    <w:basedOn w:val="a"/>
    <w:link w:val="ad"/>
    <w:uiPriority w:val="99"/>
    <w:unhideWhenUsed/>
    <w:rsid w:val="00182C0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82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Tomomi Isono</dc:creator>
  <cp:keywords/>
  <dc:description/>
  <cp:lastModifiedBy>Tomomi Isono</cp:lastModifiedBy>
  <cp:revision>4</cp:revision>
  <dcterms:created xsi:type="dcterms:W3CDTF">2026-05-29T08:25:00Z</dcterms:created>
  <dcterms:modified xsi:type="dcterms:W3CDTF">2026-05-30T05:10:00Z</dcterms:modified>
</cp:coreProperties>
</file>