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</w:pPr>
      <w:r>
        <w:rPr>
          <w:b/>
        </w:rPr>
        <w:t>Supplementary Information</w:t>
      </w:r>
    </w:p>
    <w:p>
      <w:pPr>
        <w:jc w:val="center"/>
      </w:pPr>
      <w:r>
        <w:t>Developing Pre-service Primary Teachers’ Creative Pedagogical Behaviours through STEAM Design-Based Learning in Viet Nam</w:t>
      </w:r>
    </w:p>
    <w:p>
      <w:r>
        <w:t>This supplementary file contains the appendices removed from the main manuscript in response to the Discover Education quality check.</w:t>
      </w:r>
    </w:p>
    <w:p w:rsidR="000C52F3" w:rsidRDefault="00000000">
      <w:pPr>
        <w:pStyle w:val="Heading1"/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Appendix A. Creative pedagogical behaviour dimensions used in the study</w:t>
      </w:r>
    </w:p>
    <w:p w:rsidR="000C52F3" w:rsidRDefault="00000000">
      <w:pPr>
        <w:pStyle w:val="References"/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Appendix Table A1. CPB dimensions and operational meanings</w:t>
      </w:r>
    </w:p>
    <w:tbl>
      <w:tblPr>
        <w:tblW w:w="0" w:type="auto"/>
        <w:jc w:val="center"/>
        <w:tblBorders>
          <w:top w:val="single" w:sz="8" w:space="0" w:color="000000"/>
          <w:left w:val="nil"/>
          <w:bottom w:val="single" w:sz="8" w:space="0" w:color="000000"/>
          <w:right w:val="nil"/>
          <w:insideH w:val="single" w:sz="8" w:space="0" w:color="000000"/>
          <w:insideV w:val="nil"/>
        </w:tblBorders>
        <w:tblLook w:val="04A0" w:firstRow="1" w:lastRow="0" w:firstColumn="1" w:lastColumn="0" w:noHBand="0" w:noVBand="1"/>
      </w:tblPr>
      <w:tblGrid>
        <w:gridCol w:w="3009"/>
        <w:gridCol w:w="3006"/>
        <w:gridCol w:w="3011"/>
      </w:tblGrid>
      <w:tr w:rsidR="000C52F3">
        <w:trPr>
          <w:tblHeader/>
          <w:jc w:val="center"/>
        </w:trPr>
        <w:tc>
          <w:tcPr>
            <w:tcW w:w="3024" w:type="dxa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Dimension</w:t>
            </w:r>
          </w:p>
        </w:tc>
        <w:tc>
          <w:tcPr>
            <w:tcW w:w="3024" w:type="dxa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Items</w:t>
            </w:r>
          </w:p>
        </w:tc>
        <w:tc>
          <w:tcPr>
            <w:tcW w:w="3024" w:type="dxa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Operational meaning</w:t>
            </w:r>
          </w:p>
        </w:tc>
      </w:tr>
      <w:tr w:rsidR="000C52F3">
        <w:trPr>
          <w:jc w:val="center"/>
        </w:trPr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Generating pedagogical ideas</w:t>
            </w:r>
          </w:p>
        </w:tc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CPB1–CPB5</w:t>
            </w:r>
          </w:p>
        </w:tc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Generating multiple STEAM lesson ideas, real-world contexts and new ways to combine materials, technology and arts.</w:t>
            </w:r>
          </w:p>
        </w:tc>
      </w:tr>
      <w:tr w:rsidR="000C52F3">
        <w:trPr>
          <w:jc w:val="center"/>
        </w:trPr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Deepening and refining ideas</w:t>
            </w:r>
          </w:p>
        </w:tc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CPB6–CPB10</w:t>
            </w:r>
          </w:p>
        </w:tc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Analysing strengths and weaknesses, aligning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objectives-activities-assessment, improving products and designing assessment criteria.</w:t>
            </w:r>
          </w:p>
        </w:tc>
      </w:tr>
      <w:tr w:rsidR="000C52F3">
        <w:trPr>
          <w:jc w:val="center"/>
        </w:trPr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Openness and courage to explore</w:t>
            </w:r>
          </w:p>
        </w:tc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CPB11–CPB15</w:t>
            </w:r>
          </w:p>
        </w:tc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Trying uncertain ideas, learning from failure, seeking new materials and accepting critique.</w:t>
            </w:r>
          </w:p>
        </w:tc>
      </w:tr>
      <w:tr w:rsidR="000C52F3">
        <w:trPr>
          <w:jc w:val="center"/>
        </w:trPr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Reflective pedagogical agency</w:t>
            </w:r>
          </w:p>
        </w:tc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CPB16–CPB20</w:t>
            </w:r>
          </w:p>
        </w:tc>
        <w:tc>
          <w:tcPr>
            <w:tcW w:w="302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Setting design goals, persisting, explaining creativity, developing a teaching style and using microteaching evidence for self-evaluation.</w:t>
            </w:r>
          </w:p>
        </w:tc>
      </w:tr>
    </w:tbl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p w:rsidR="000C52F3" w:rsidRDefault="00000000">
      <w:pPr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br/>
      </w:r>
    </w:p>
    <w:p w:rsidR="000C52F3" w:rsidRDefault="00000000">
      <w:pPr>
        <w:pStyle w:val="Heading1"/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Appendix B. Course structure and product-oriented evidence</w:t>
      </w:r>
    </w:p>
    <w:p w:rsidR="000C52F3" w:rsidRDefault="00000000">
      <w:pPr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Appendix B summarises the official course structure and the way it was enacted in this study as a product-oriented STEAM design cycle. The table is included to support transparency about the learning environment in which survey, artefact and interview data were generated.</w:t>
      </w:r>
    </w:p>
    <w:p w:rsidR="000C52F3" w:rsidRDefault="00000000">
      <w:pPr>
        <w:pStyle w:val="Tabletitle"/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Appendix Table B1. Product-oriented course structure used in the study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7"/>
        <w:gridCol w:w="2322"/>
        <w:gridCol w:w="3173"/>
        <w:gridCol w:w="2514"/>
      </w:tblGrid>
      <w:tr w:rsidR="000C52F3">
        <w:trPr>
          <w:tblHeader/>
          <w:jc w:val="center"/>
        </w:trPr>
        <w:tc>
          <w:tcPr>
            <w:tcW w:w="1100" w:type="dxa"/>
            <w:shd w:val="clear" w:color="auto" w:fill="D9D9D9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>Weeks</w:t>
            </w:r>
          </w:p>
        </w:tc>
        <w:tc>
          <w:tcPr>
            <w:tcW w:w="2800" w:type="dxa"/>
            <w:shd w:val="clear" w:color="auto" w:fill="D9D9D9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Course focus</w:t>
            </w:r>
          </w:p>
        </w:tc>
        <w:tc>
          <w:tcPr>
            <w:tcW w:w="4100" w:type="dxa"/>
            <w:shd w:val="clear" w:color="auto" w:fill="D9D9D9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Product-oriented learning activity</w:t>
            </w:r>
          </w:p>
        </w:tc>
        <w:tc>
          <w:tcPr>
            <w:tcW w:w="3100" w:type="dxa"/>
            <w:shd w:val="clear" w:color="auto" w:fill="D9D9D9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Evidence generated</w:t>
            </w:r>
          </w:p>
        </w:tc>
      </w:tr>
      <w:tr w:rsidR="000C52F3">
        <w:trPr>
          <w:jc w:val="center"/>
        </w:trPr>
        <w:tc>
          <w:tcPr>
            <w:tcW w:w="1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1-2</w:t>
            </w:r>
          </w:p>
        </w:tc>
        <w:tc>
          <w:tcPr>
            <w:tcW w:w="28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Learning projects and project-based learning</w:t>
            </w:r>
          </w:p>
        </w:tc>
        <w:tc>
          <w:tcPr>
            <w:tcW w:w="4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Reflection on prior project experience; analysis of video cases and sample projects</w:t>
            </w:r>
          </w:p>
        </w:tc>
        <w:tc>
          <w:tcPr>
            <w:tcW w:w="3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Initial reflections and participation evidence</w:t>
            </w:r>
          </w:p>
        </w:tc>
      </w:tr>
      <w:tr w:rsidR="000C52F3">
        <w:trPr>
          <w:jc w:val="center"/>
        </w:trPr>
        <w:tc>
          <w:tcPr>
            <w:tcW w:w="1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3-4</w:t>
            </w:r>
          </w:p>
        </w:tc>
        <w:tc>
          <w:tcPr>
            <w:tcW w:w="28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Roles and principles of project-based learning</w:t>
            </w:r>
          </w:p>
        </w:tc>
        <w:tc>
          <w:tcPr>
            <w:tcW w:w="4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Mini-project design; discussion of learner-centred, experiential and competency-based principles</w:t>
            </w:r>
          </w:p>
        </w:tc>
        <w:tc>
          <w:tcPr>
            <w:tcW w:w="3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Mini-project plan and group discussion notes</w:t>
            </w:r>
          </w:p>
        </w:tc>
      </w:tr>
      <w:tr w:rsidR="000C52F3">
        <w:trPr>
          <w:jc w:val="center"/>
        </w:trPr>
        <w:tc>
          <w:tcPr>
            <w:tcW w:w="1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5-6</w:t>
            </w:r>
          </w:p>
        </w:tc>
        <w:tc>
          <w:tcPr>
            <w:tcW w:w="28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STEAM concepts and the role of STEAM in primary education</w:t>
            </w:r>
          </w:p>
        </w:tc>
        <w:tc>
          <w:tcPr>
            <w:tcW w:w="4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Mind mapping of STEAM components; debate on STEAM for primary pupils</w:t>
            </w:r>
          </w:p>
        </w:tc>
        <w:tc>
          <w:tcPr>
            <w:tcW w:w="3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Initial STEAM topic ideas</w:t>
            </w:r>
          </w:p>
        </w:tc>
      </w:tr>
      <w:tr w:rsidR="000C52F3">
        <w:trPr>
          <w:jc w:val="center"/>
        </w:trPr>
        <w:tc>
          <w:tcPr>
            <w:tcW w:w="1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7-8</w:t>
            </w:r>
          </w:p>
        </w:tc>
        <w:tc>
          <w:tcPr>
            <w:tcW w:w="28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International STEAM examples and primary pupil characteristics</w:t>
            </w:r>
          </w:p>
        </w:tc>
        <w:tc>
          <w:tcPr>
            <w:tcW w:w="4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Analysis of STEAM examples by grade level; matching design challenges to pupils aged 6-11</w:t>
            </w:r>
          </w:p>
        </w:tc>
        <w:tc>
          <w:tcPr>
            <w:tcW w:w="3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Grade-level design principles</w:t>
            </w:r>
          </w:p>
        </w:tc>
      </w:tr>
      <w:tr w:rsidR="000C52F3">
        <w:trPr>
          <w:jc w:val="center"/>
        </w:trPr>
        <w:tc>
          <w:tcPr>
            <w:tcW w:w="1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9-11</w:t>
            </w:r>
          </w:p>
        </w:tc>
        <w:tc>
          <w:tcPr>
            <w:tcW w:w="28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Principles and process of designing STEAM projects for primary pupils</w:t>
            </w:r>
          </w:p>
        </w:tc>
        <w:tc>
          <w:tcPr>
            <w:tcW w:w="4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Problem identification, learner analysis, activity design, resource planning, assessment planning and pilot testing</w:t>
            </w:r>
          </w:p>
        </w:tc>
        <w:tc>
          <w:tcPr>
            <w:tcW w:w="3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Draft lesson plan and design challenge</w:t>
            </w:r>
          </w:p>
        </w:tc>
      </w:tr>
      <w:tr w:rsidR="000C52F3">
        <w:trPr>
          <w:jc w:val="center"/>
        </w:trPr>
        <w:tc>
          <w:tcPr>
            <w:tcW w:w="1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12-13</w:t>
            </w:r>
          </w:p>
        </w:tc>
        <w:tc>
          <w:tcPr>
            <w:tcW w:w="28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Workshop and consultation for project design</w:t>
            </w:r>
          </w:p>
        </w:tc>
        <w:tc>
          <w:tcPr>
            <w:tcW w:w="4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Peer review, lecturer consultation, prototype development and revision</w:t>
            </w:r>
          </w:p>
        </w:tc>
        <w:tc>
          <w:tcPr>
            <w:tcW w:w="3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Mid-course project submission, prototype and peer feedback</w:t>
            </w:r>
          </w:p>
        </w:tc>
      </w:tr>
      <w:tr w:rsidR="000C52F3">
        <w:trPr>
          <w:jc w:val="center"/>
        </w:trPr>
        <w:tc>
          <w:tcPr>
            <w:tcW w:w="1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14-15</w:t>
            </w:r>
          </w:p>
        </w:tc>
        <w:tc>
          <w:tcPr>
            <w:tcW w:w="28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Project exhibition, microteaching and redesign</w:t>
            </w:r>
          </w:p>
        </w:tc>
        <w:tc>
          <w:tcPr>
            <w:tcW w:w="4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Final presentation, portfolio exhibition, microteaching, reflection and redesign</w:t>
            </w:r>
          </w:p>
        </w:tc>
        <w:tc>
          <w:tcPr>
            <w:tcW w:w="3100" w:type="dxa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Final lesson plan, artefact, microteaching evidence and reflection</w:t>
            </w:r>
          </w:p>
        </w:tc>
      </w:tr>
    </w:tbl>
    <w:p w:rsidR="000C52F3" w:rsidRDefault="00000000">
      <w:pPr>
        <w:pStyle w:val="Heading1"/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Supplementary Appendix C. Measures and supplementary statistics</w:t>
      </w:r>
    </w:p>
    <w:p w:rsidR="000C52F3" w:rsidRDefault="00000000">
      <w:pPr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The following supplementary tables were moved from the main text to keep the manuscript focused on the central analytic story while preserving transparency about measures and descriptive results.</w:t>
      </w:r>
    </w:p>
    <w:p w:rsidR="000C52F3" w:rsidRDefault="00000000">
      <w:pPr>
        <w:pStyle w:val="Tabletitle"/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Supplementary Table C1. Measures and data sources</w:t>
      </w:r>
    </w:p>
    <w:tbl>
      <w:tblPr>
        <w:tblW w:w="0" w:type="auto"/>
        <w:jc w:val="center"/>
        <w:tblBorders>
          <w:top w:val="single" w:sz="8" w:space="0" w:color="000000"/>
          <w:left w:val="nil"/>
          <w:bottom w:val="single" w:sz="8" w:space="0" w:color="000000"/>
          <w:right w:val="nil"/>
          <w:insideH w:val="single" w:sz="8" w:space="0" w:color="000000"/>
          <w:insideV w:val="nil"/>
        </w:tblBorders>
        <w:tblLook w:val="04A0" w:firstRow="1" w:lastRow="0" w:firstColumn="1" w:lastColumn="0" w:noHBand="0" w:noVBand="1"/>
      </w:tblPr>
      <w:tblGrid>
        <w:gridCol w:w="2267"/>
        <w:gridCol w:w="2256"/>
        <w:gridCol w:w="2250"/>
        <w:gridCol w:w="2253"/>
      </w:tblGrid>
      <w:tr w:rsidR="000C52F3">
        <w:trPr>
          <w:tblHeader/>
          <w:jc w:val="center"/>
        </w:trPr>
        <w:tc>
          <w:tcPr>
            <w:tcW w:w="2268" w:type="dxa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Construct/source</w:t>
            </w:r>
          </w:p>
        </w:tc>
        <w:tc>
          <w:tcPr>
            <w:tcW w:w="2268" w:type="dxa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Items/records</w:t>
            </w:r>
          </w:p>
        </w:tc>
        <w:tc>
          <w:tcPr>
            <w:tcW w:w="2268" w:type="dxa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Scale</w:t>
            </w:r>
          </w:p>
        </w:tc>
        <w:tc>
          <w:tcPr>
            <w:tcW w:w="2268" w:type="dxa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Purpose</w:t>
            </w:r>
          </w:p>
        </w:tc>
      </w:tr>
      <w:tr w:rsidR="000C52F3">
        <w:trPr>
          <w:jc w:val="center"/>
        </w:trPr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STEAM design-based learning experience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 Likert items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1–5 agreement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Course experience</w:t>
            </w:r>
          </w:p>
        </w:tc>
      </w:tr>
      <w:tr w:rsidR="000C52F3">
        <w:trPr>
          <w:jc w:val="center"/>
        </w:trPr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Creative pedagogical behaviours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 retrospective pre items + 20 retrospective post items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1–5 agreement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Outcome construct</w:t>
            </w:r>
          </w:p>
        </w:tc>
      </w:tr>
      <w:tr w:rsidR="000C52F3">
        <w:trPr>
          <w:jc w:val="center"/>
        </w:trPr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GenAI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-supported design practice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 Likert items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1–5 agreement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AI design support</w:t>
            </w:r>
          </w:p>
        </w:tc>
      </w:tr>
      <w:tr w:rsidR="000C52F3">
        <w:trPr>
          <w:jc w:val="center"/>
        </w:trPr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GenAI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frequency by phase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 frequency items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1–5 frequency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AI design-phase profile</w:t>
            </w:r>
          </w:p>
        </w:tc>
      </w:tr>
      <w:tr w:rsidR="000C52F3">
        <w:trPr>
          <w:jc w:val="center"/>
        </w:trPr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Product/microteaching evidence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 Likert items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1–5 agreement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Self-reported evidence</w:t>
            </w:r>
          </w:p>
        </w:tc>
      </w:tr>
      <w:tr w:rsidR="000C52F3">
        <w:trPr>
          <w:jc w:val="center"/>
        </w:trPr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Artefact rubric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 project artefacts; 7 criteria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1–4 rubric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External artefact evidence</w:t>
            </w:r>
          </w:p>
        </w:tc>
      </w:tr>
      <w:tr w:rsidR="000C52F3">
        <w:trPr>
          <w:jc w:val="center"/>
        </w:trPr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Qualitative follow-up cases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 selected cases; F1–F8 structured responses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Thematic coding</w:t>
            </w:r>
          </w:p>
        </w:tc>
        <w:tc>
          <w:tcPr>
            <w:tcW w:w="2268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Explanatory qualitative evidence</w:t>
            </w:r>
          </w:p>
        </w:tc>
      </w:tr>
    </w:tbl>
    <w:p w:rsidR="000C52F3" w:rsidRDefault="00000000">
      <w:pPr>
        <w:pStyle w:val="Tabletitle"/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Supplementary Table C2. Internal consistency of survey scales</w:t>
      </w:r>
    </w:p>
    <w:p w:rsidR="000C52F3" w:rsidRDefault="00000000">
      <w:pPr>
        <w:pStyle w:val="Tabletitle"/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Supplementary Table C3. Descriptive statistics for course experience, </w:t>
      </w:r>
      <w:proofErr w:type="spellStart"/>
      <w:r>
        <w:rPr>
          <w:color w:val="000000" w:themeColor="text1"/>
          <w:sz w:val="22"/>
          <w:szCs w:val="22"/>
        </w:rPr>
        <w:t>GenAI</w:t>
      </w:r>
      <w:proofErr w:type="spellEnd"/>
      <w:r>
        <w:rPr>
          <w:color w:val="000000" w:themeColor="text1"/>
          <w:sz w:val="22"/>
          <w:szCs w:val="22"/>
        </w:rPr>
        <w:t xml:space="preserve"> and artefact/microteaching evidence</w:t>
      </w:r>
    </w:p>
    <w:p w:rsidR="000C52F3" w:rsidRDefault="00000000">
      <w:pPr>
        <w:pStyle w:val="Tabletitle"/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Supplementary Table C4. Selected correlations among course experience, </w:t>
      </w:r>
      <w:proofErr w:type="spellStart"/>
      <w:r>
        <w:rPr>
          <w:color w:val="000000" w:themeColor="text1"/>
          <w:sz w:val="22"/>
          <w:szCs w:val="22"/>
        </w:rPr>
        <w:t>GenAI</w:t>
      </w:r>
      <w:proofErr w:type="spellEnd"/>
      <w:r>
        <w:rPr>
          <w:color w:val="000000" w:themeColor="text1"/>
          <w:sz w:val="22"/>
          <w:szCs w:val="22"/>
        </w:rPr>
        <w:t xml:space="preserve"> and creative pedagogical outcomes</w:t>
      </w:r>
    </w:p>
    <w:p w:rsidR="000C52F3" w:rsidRDefault="00000000">
      <w:pPr>
        <w:pStyle w:val="Tabletitle"/>
        <w:spacing w:before="60" w:after="60"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Supplementary Table C5. Frequency of </w:t>
      </w:r>
      <w:proofErr w:type="spellStart"/>
      <w:r>
        <w:rPr>
          <w:color w:val="000000" w:themeColor="text1"/>
          <w:sz w:val="22"/>
          <w:szCs w:val="22"/>
        </w:rPr>
        <w:t>GenAI</w:t>
      </w:r>
      <w:proofErr w:type="spellEnd"/>
      <w:r>
        <w:rPr>
          <w:color w:val="000000" w:themeColor="text1"/>
          <w:sz w:val="22"/>
          <w:szCs w:val="22"/>
        </w:rPr>
        <w:t xml:space="preserve"> use during the course</w:t>
      </w:r>
    </w:p>
    <w:tbl>
      <w:tblPr>
        <w:tblW w:w="0" w:type="auto"/>
        <w:jc w:val="center"/>
        <w:tblBorders>
          <w:top w:val="single" w:sz="8" w:space="0" w:color="000000"/>
          <w:left w:val="nil"/>
          <w:bottom w:val="single" w:sz="8" w:space="0" w:color="000000"/>
          <w:right w:val="nil"/>
          <w:insideH w:val="single" w:sz="8" w:space="0" w:color="000000"/>
          <w:insideV w:val="nil"/>
        </w:tblBorders>
        <w:tblLook w:val="04A0" w:firstRow="1" w:lastRow="0" w:firstColumn="1" w:lastColumn="0" w:noHBand="0" w:noVBand="1"/>
      </w:tblPr>
      <w:tblGrid>
        <w:gridCol w:w="2220"/>
        <w:gridCol w:w="1150"/>
        <w:gridCol w:w="574"/>
        <w:gridCol w:w="1692"/>
        <w:gridCol w:w="554"/>
        <w:gridCol w:w="1131"/>
        <w:gridCol w:w="1705"/>
      </w:tblGrid>
      <w:tr w:rsidR="000C52F3">
        <w:trPr>
          <w:tblHeader/>
          <w:jc w:val="center"/>
        </w:trPr>
        <w:tc>
          <w:tcPr>
            <w:tcW w:w="3024" w:type="dxa"/>
            <w:gridSpan w:val="2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Scale</w:t>
            </w:r>
          </w:p>
        </w:tc>
        <w:tc>
          <w:tcPr>
            <w:tcW w:w="3024" w:type="dxa"/>
            <w:gridSpan w:val="3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Number of items</w:t>
            </w:r>
          </w:p>
        </w:tc>
        <w:tc>
          <w:tcPr>
            <w:tcW w:w="3024" w:type="dxa"/>
            <w:gridSpan w:val="2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Cronbach’s alpha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 before course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0.971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 after course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0.966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STEAM design-based learning experience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0.972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GenAI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-supported design practice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0.927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Product/microteaching evidence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0.946</w:t>
            </w:r>
          </w:p>
        </w:tc>
      </w:tr>
      <w:tr w:rsidR="000C52F3">
        <w:trPr>
          <w:tblHeader/>
          <w:jc w:val="center"/>
        </w:trPr>
        <w:tc>
          <w:tcPr>
            <w:tcW w:w="3024" w:type="dxa"/>
            <w:gridSpan w:val="2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Scale</w:t>
            </w:r>
          </w:p>
        </w:tc>
        <w:tc>
          <w:tcPr>
            <w:tcW w:w="3024" w:type="dxa"/>
            <w:gridSpan w:val="3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3024" w:type="dxa"/>
            <w:gridSpan w:val="2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SD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STEAM design-based learning experience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4.06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0.81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Product/microteaching evidence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3.99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0.51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GenAI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-supported design practice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3.87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0.53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GenAI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frequency by design phase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3.58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0.62</w:t>
            </w:r>
          </w:p>
        </w:tc>
      </w:tr>
      <w:tr w:rsidR="000C52F3">
        <w:trPr>
          <w:tblHeader/>
          <w:jc w:val="center"/>
        </w:trPr>
        <w:tc>
          <w:tcPr>
            <w:tcW w:w="1814" w:type="dxa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Variable 1</w:t>
            </w:r>
          </w:p>
        </w:tc>
        <w:tc>
          <w:tcPr>
            <w:tcW w:w="1814" w:type="dxa"/>
            <w:gridSpan w:val="2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Variable 2</w:t>
            </w:r>
          </w:p>
        </w:tc>
        <w:tc>
          <w:tcPr>
            <w:tcW w:w="1814" w:type="dxa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1814" w:type="dxa"/>
            <w:gridSpan w:val="2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14" w:type="dxa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n</w:t>
            </w:r>
          </w:p>
        </w:tc>
      </w:tr>
      <w:tr w:rsidR="000C52F3">
        <w:trPr>
          <w:jc w:val="center"/>
        </w:trPr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STEAM learning experience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 after course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0.51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&lt; .001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</w:t>
            </w:r>
          </w:p>
        </w:tc>
      </w:tr>
      <w:tr w:rsidR="000C52F3">
        <w:trPr>
          <w:jc w:val="center"/>
        </w:trPr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Product/microteaching evidence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 after course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0.74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&lt; .001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</w:t>
            </w:r>
          </w:p>
        </w:tc>
      </w:tr>
      <w:tr w:rsidR="000C52F3">
        <w:trPr>
          <w:jc w:val="center"/>
        </w:trPr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GenAI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frequency by phase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 gain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-0.35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0.005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</w:t>
            </w:r>
          </w:p>
        </w:tc>
      </w:tr>
      <w:tr w:rsidR="000C52F3">
        <w:trPr>
          <w:jc w:val="center"/>
        </w:trPr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GenAI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-supported design practice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 gain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-0.08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0.528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</w:t>
            </w:r>
          </w:p>
        </w:tc>
      </w:tr>
      <w:tr w:rsidR="000C52F3">
        <w:trPr>
          <w:jc w:val="center"/>
        </w:trPr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STEAM learning experience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 gain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0.725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</w:t>
            </w:r>
          </w:p>
        </w:tc>
      </w:tr>
      <w:tr w:rsidR="000C52F3">
        <w:trPr>
          <w:jc w:val="center"/>
        </w:trPr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GenAI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-supported design practice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CPB after course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0.76</w:t>
            </w:r>
          </w:p>
        </w:tc>
        <w:tc>
          <w:tcPr>
            <w:tcW w:w="181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&lt; .001</w:t>
            </w:r>
          </w:p>
        </w:tc>
        <w:tc>
          <w:tcPr>
            <w:tcW w:w="1814" w:type="dxa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</w:t>
            </w:r>
          </w:p>
        </w:tc>
      </w:tr>
      <w:tr w:rsidR="000C52F3">
        <w:trPr>
          <w:tblHeader/>
          <w:jc w:val="center"/>
        </w:trPr>
        <w:tc>
          <w:tcPr>
            <w:tcW w:w="3024" w:type="dxa"/>
            <w:gridSpan w:val="2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Frequency of </w:t>
            </w:r>
            <w:proofErr w:type="spellStart"/>
            <w:r>
              <w:rPr>
                <w:b/>
                <w:color w:val="000000" w:themeColor="text1"/>
                <w:sz w:val="22"/>
                <w:szCs w:val="22"/>
              </w:rPr>
              <w:t>GenAI</w:t>
            </w:r>
            <w:proofErr w:type="spellEnd"/>
            <w:r>
              <w:rPr>
                <w:b/>
                <w:color w:val="000000" w:themeColor="text1"/>
                <w:sz w:val="22"/>
                <w:szCs w:val="22"/>
              </w:rPr>
              <w:t xml:space="preserve"> use</w:t>
            </w:r>
          </w:p>
        </w:tc>
        <w:tc>
          <w:tcPr>
            <w:tcW w:w="3024" w:type="dxa"/>
            <w:gridSpan w:val="3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3024" w:type="dxa"/>
            <w:gridSpan w:val="2"/>
            <w:shd w:val="clear" w:color="auto" w:fill="D9EAF7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%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Often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49.2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Sometimes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38.1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Rarely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6.3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Very often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4.8</w:t>
            </w:r>
          </w:p>
        </w:tc>
      </w:tr>
      <w:tr w:rsidR="000C52F3">
        <w:trPr>
          <w:jc w:val="center"/>
        </w:trPr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Did not use</w:t>
            </w:r>
          </w:p>
        </w:tc>
        <w:tc>
          <w:tcPr>
            <w:tcW w:w="3024" w:type="dxa"/>
            <w:gridSpan w:val="3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024" w:type="dxa"/>
            <w:gridSpan w:val="2"/>
            <w:vAlign w:val="center"/>
          </w:tcPr>
          <w:p w:rsidR="000C52F3" w:rsidRDefault="00000000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1.6</w:t>
            </w:r>
          </w:p>
        </w:tc>
      </w:tr>
    </w:tbl>
    <w:p w:rsidR="000C52F3" w:rsidRDefault="000C52F3">
      <w:pPr>
        <w:spacing w:before="60" w:after="60" w:line="276" w:lineRule="auto"/>
        <w:rPr>
          <w:color w:val="000000" w:themeColor="text1"/>
          <w:sz w:val="22"/>
          <w:szCs w:val="22"/>
        </w:rPr>
      </w:pPr>
    </w:p>
    <w:sectPr w:rsidR="000C52F3">
      <w:headerReference w:type="default" r:id="rId13"/>
      <w:headerReference w:type="first" r:id="rId14"/>
      <w:pgSz w:w="11906" w:h="16838"/>
      <w:pgMar w:top="1440" w:right="1440" w:bottom="1440" w:left="1440" w:header="648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18FD" w:rsidRDefault="004418FD">
      <w:pPr>
        <w:spacing w:line="240" w:lineRule="auto"/>
      </w:pPr>
      <w:r>
        <w:separator/>
      </w:r>
    </w:p>
  </w:endnote>
  <w:endnote w:type="continuationSeparator" w:id="0">
    <w:p w:rsidR="004418FD" w:rsidRDefault="004418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18FD" w:rsidRDefault="004418FD">
      <w:pPr>
        <w:spacing w:line="240" w:lineRule="auto"/>
      </w:pPr>
      <w:r>
        <w:separator/>
      </w:r>
    </w:p>
  </w:footnote>
  <w:footnote w:type="continuationSeparator" w:id="0">
    <w:p w:rsidR="004418FD" w:rsidRDefault="004418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6167" w:rsidRDefault="00000000">
    <w:pPr>
      <w:pStyle w:val="Header"/>
      <w:spacing w:after="0"/>
    </w:pPr>
    <w:r>
      <w:rPr>
        <w:sz w:val="20"/>
      </w:rPr>
      <w:t>Running head: CREATIVE PEDAGOGICAL BEHAVIOURS IN STEAM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6167" w:rsidRDefault="007761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254218">
    <w:abstractNumId w:val="15"/>
  </w:num>
  <w:num w:numId="2" w16cid:durableId="1023284329">
    <w:abstractNumId w:val="19"/>
  </w:num>
  <w:num w:numId="3" w16cid:durableId="37095417">
    <w:abstractNumId w:val="1"/>
  </w:num>
  <w:num w:numId="4" w16cid:durableId="1572427639">
    <w:abstractNumId w:val="2"/>
  </w:num>
  <w:num w:numId="5" w16cid:durableId="545794521">
    <w:abstractNumId w:val="3"/>
  </w:num>
  <w:num w:numId="6" w16cid:durableId="1378628998">
    <w:abstractNumId w:val="4"/>
  </w:num>
  <w:num w:numId="7" w16cid:durableId="991445746">
    <w:abstractNumId w:val="9"/>
  </w:num>
  <w:num w:numId="8" w16cid:durableId="906384157">
    <w:abstractNumId w:val="5"/>
  </w:num>
  <w:num w:numId="9" w16cid:durableId="966163782">
    <w:abstractNumId w:val="7"/>
  </w:num>
  <w:num w:numId="10" w16cid:durableId="1948073784">
    <w:abstractNumId w:val="6"/>
  </w:num>
  <w:num w:numId="11" w16cid:durableId="554195067">
    <w:abstractNumId w:val="10"/>
  </w:num>
  <w:num w:numId="12" w16cid:durableId="1393504491">
    <w:abstractNumId w:val="8"/>
  </w:num>
  <w:num w:numId="13" w16cid:durableId="1450273455">
    <w:abstractNumId w:val="17"/>
  </w:num>
  <w:num w:numId="14" w16cid:durableId="1340085461">
    <w:abstractNumId w:val="20"/>
  </w:num>
  <w:num w:numId="15" w16cid:durableId="2097900785">
    <w:abstractNumId w:val="14"/>
  </w:num>
  <w:num w:numId="16" w16cid:durableId="1761291952">
    <w:abstractNumId w:val="16"/>
  </w:num>
  <w:num w:numId="17" w16cid:durableId="1138105356">
    <w:abstractNumId w:val="11"/>
  </w:num>
  <w:num w:numId="18" w16cid:durableId="427845856">
    <w:abstractNumId w:val="0"/>
  </w:num>
  <w:num w:numId="19" w16cid:durableId="374165008">
    <w:abstractNumId w:val="12"/>
  </w:num>
  <w:num w:numId="20" w16cid:durableId="1508597910">
    <w:abstractNumId w:val="20"/>
  </w:num>
  <w:num w:numId="21" w16cid:durableId="841043524">
    <w:abstractNumId w:val="20"/>
  </w:num>
  <w:num w:numId="22" w16cid:durableId="585191147">
    <w:abstractNumId w:val="20"/>
  </w:num>
  <w:num w:numId="23" w16cid:durableId="1701272469">
    <w:abstractNumId w:val="20"/>
  </w:num>
  <w:num w:numId="24" w16cid:durableId="111246743">
    <w:abstractNumId w:val="17"/>
  </w:num>
  <w:num w:numId="25" w16cid:durableId="233128304">
    <w:abstractNumId w:val="18"/>
  </w:num>
  <w:num w:numId="26" w16cid:durableId="931278184">
    <w:abstractNumId w:val="21"/>
  </w:num>
  <w:num w:numId="27" w16cid:durableId="1935092285">
    <w:abstractNumId w:val="22"/>
  </w:num>
  <w:num w:numId="28" w16cid:durableId="211236681">
    <w:abstractNumId w:val="20"/>
  </w:num>
  <w:num w:numId="29" w16cid:durableId="1955093840">
    <w:abstractNumId w:val="13"/>
  </w:num>
  <w:num w:numId="30" w16cid:durableId="3038961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52F3"/>
    <w:rsid w:val="0015074B"/>
    <w:rsid w:val="001A6703"/>
    <w:rsid w:val="0029639D"/>
    <w:rsid w:val="00326F90"/>
    <w:rsid w:val="004418FD"/>
    <w:rsid w:val="004D09BF"/>
    <w:rsid w:val="00776167"/>
    <w:rsid w:val="008C2B6F"/>
    <w:rsid w:val="00A078BA"/>
    <w:rsid w:val="00AA1D8D"/>
    <w:rsid w:val="00B47730"/>
    <w:rsid w:val="00BD1BB1"/>
    <w:rsid w:val="00C6071A"/>
    <w:rsid w:val="00C94B8B"/>
    <w:rsid w:val="00CB0664"/>
    <w:rsid w:val="00CB66F5"/>
    <w:rsid w:val="00F21AF7"/>
    <w:rsid w:val="00FC693F"/>
    <w:rsid w:val="00FE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07444C"/>
  <w14:defaultImageDpi w14:val="300"/>
  <w15:docId w15:val="{60C52853-8834-EF46-B3A2-AC870666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36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120"/>
      <w:ind w:right="567"/>
      <w:contextualSpacing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240" w:after="120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160" w:after="80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120" w:after="120" w:line="240" w:lineRule="auto"/>
      <w:jc w:val="center"/>
    </w:pPr>
    <w:rPr>
      <w:b/>
      <w:sz w:val="20"/>
    </w:rPr>
  </w:style>
  <w:style w:type="paragraph" w:customStyle="1" w:styleId="Figurecaption">
    <w:name w:val="Figure caption"/>
    <w:basedOn w:val="Normal"/>
    <w:next w:val="Normal"/>
    <w:qFormat/>
    <w:rsid w:val="0031686C"/>
    <w:pPr>
      <w:spacing w:before="120" w:after="120" w:line="240" w:lineRule="auto"/>
      <w:jc w:val="center"/>
    </w:pPr>
    <w:rPr>
      <w:sz w:val="20"/>
    </w:rPr>
  </w:style>
  <w:style w:type="paragraph" w:customStyle="1" w:styleId="Footnotes">
    <w:name w:val="Footnotes"/>
    <w:basedOn w:val="Normal"/>
    <w:qFormat/>
    <w:rsid w:val="006C6936"/>
    <w:pPr>
      <w:spacing w:before="120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line="240" w:lineRule="auto"/>
      <w:ind w:left="360" w:hanging="360"/>
      <w:contextualSpacing/>
    </w:pPr>
    <w:rPr>
      <w:sz w:val="20"/>
    </w:r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Hyperlink">
    <w:name w:val="Hyperlink"/>
    <w:basedOn w:val="DefaultParagraphFont"/>
    <w:unhideWhenUsed/>
    <w:rsid w:val="00FE0A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AE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C2B6F"/>
    <w:pPr>
      <w:spacing w:before="100" w:beforeAutospacing="1" w:after="100" w:afterAutospacing="1" w:line="240" w:lineRule="auto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12036</Words>
  <Characters>68608</Characters>
  <Application>Microsoft Office Word</Application>
  <DocSecurity>0</DocSecurity>
  <Lines>571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machd</dc:creator>
  <cp:keywords/>
  <dc:description/>
  <cp:lastModifiedBy>machd</cp:lastModifiedBy>
  <cp:revision>2</cp:revision>
  <dcterms:created xsi:type="dcterms:W3CDTF">2026-06-01T19:18:00Z</dcterms:created>
  <dcterms:modified xsi:type="dcterms:W3CDTF">2026-06-01T19:18:00Z</dcterms:modified>
  <cp:category/>
</cp:coreProperties>
</file>