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A0112C" w14:textId="77777777" w:rsidR="00334388" w:rsidRPr="004218B6" w:rsidRDefault="00334388" w:rsidP="00334388">
      <w:pPr>
        <w:pBdr>
          <w:top w:val="nil"/>
          <w:left w:val="nil"/>
          <w:bottom w:val="nil"/>
          <w:right w:val="nil"/>
          <w:between w:val="nil"/>
        </w:pBdr>
        <w:ind w:left="720" w:hanging="720"/>
        <w:jc w:val="both"/>
        <w:rPr>
          <w:b/>
          <w:sz w:val="32"/>
          <w:szCs w:val="32"/>
        </w:rPr>
      </w:pPr>
      <w:r w:rsidRPr="004218B6">
        <w:rPr>
          <w:b/>
          <w:sz w:val="32"/>
          <w:szCs w:val="32"/>
        </w:rPr>
        <w:t>Supplementary Information</w:t>
      </w:r>
    </w:p>
    <w:p w14:paraId="63BFAACF" w14:textId="77777777" w:rsidR="00334388" w:rsidRPr="004218B6" w:rsidRDefault="00334388" w:rsidP="00334388">
      <w:pPr>
        <w:pBdr>
          <w:top w:val="nil"/>
          <w:left w:val="nil"/>
          <w:bottom w:val="nil"/>
          <w:right w:val="nil"/>
          <w:between w:val="nil"/>
        </w:pBdr>
        <w:ind w:left="720" w:hanging="720"/>
        <w:jc w:val="both"/>
      </w:pPr>
    </w:p>
    <w:p w14:paraId="4B08C1A2" w14:textId="77777777" w:rsidR="00334388" w:rsidRPr="004218B6" w:rsidRDefault="00334388" w:rsidP="00334388">
      <w:pPr>
        <w:pBdr>
          <w:top w:val="nil"/>
          <w:left w:val="nil"/>
          <w:bottom w:val="nil"/>
          <w:right w:val="nil"/>
          <w:between w:val="nil"/>
        </w:pBdr>
        <w:spacing w:line="480" w:lineRule="auto"/>
        <w:jc w:val="both"/>
        <w:rPr>
          <w:b/>
          <w:sz w:val="28"/>
          <w:szCs w:val="28"/>
        </w:rPr>
      </w:pPr>
      <w:r w:rsidRPr="004218B6">
        <w:rPr>
          <w:b/>
          <w:sz w:val="28"/>
          <w:szCs w:val="28"/>
        </w:rPr>
        <w:t>A. Random Forest model training and error rates</w:t>
      </w:r>
    </w:p>
    <w:p w14:paraId="29F9360D" w14:textId="77777777" w:rsidR="00334388" w:rsidRPr="004218B6" w:rsidRDefault="00334388" w:rsidP="00334388">
      <w:pPr>
        <w:spacing w:line="360" w:lineRule="auto"/>
        <w:jc w:val="both"/>
      </w:pPr>
      <w:r w:rsidRPr="004218B6">
        <w:t xml:space="preserve">For each of the eight cities with available training data, we provide paired figures summarising the spatial distribution of labelled training polygons used in model calibration, and the performance of the Random Forest classifier as measured by the out-of-bag (OOB) error rate (Supplementary Figures 1–8). Training polygons includes formal settlements and informal settlements. Know Your City community-mapped areas are also illustrated for comparison. These polygons illustrate the spatial diversity of Know Your City data within each urban extent. </w:t>
      </w:r>
    </w:p>
    <w:p w14:paraId="589B4E2A" w14:textId="77777777" w:rsidR="00334388" w:rsidRPr="004218B6" w:rsidRDefault="00334388" w:rsidP="00334388">
      <w:pPr>
        <w:spacing w:line="360" w:lineRule="auto"/>
        <w:ind w:firstLine="720"/>
        <w:jc w:val="both"/>
      </w:pPr>
      <w:r w:rsidRPr="004218B6">
        <w:t>The corresponding OOB error plots display error rates across the number of decision trees included in the ensemble. Curves are reported separately for formal settlements, informal settlements, and overall model performance. Across all cities, OOB error rates declined sharply as the number of trees increased and stabilized after ~100–150 trees, indicating robust model convergence. Informal settlements consistently exhibited higher error rates than formal settlements, reflecting greater morphological and spectral variability within slum areas. Nevertheless, overall model errors remained low (&lt;0.07), providing confidence in the predictive capacity of the models. These training diagnostics validate the reliability of the city-specific classifiers used to generate informal settlement probability maps across Africa.</w:t>
      </w:r>
    </w:p>
    <w:p w14:paraId="591278FF" w14:textId="77777777" w:rsidR="00334388" w:rsidRPr="004218B6" w:rsidRDefault="00334388" w:rsidP="00334388">
      <w:pPr>
        <w:spacing w:line="360" w:lineRule="auto"/>
        <w:jc w:val="both"/>
      </w:pPr>
    </w:p>
    <w:p w14:paraId="34B8C360" w14:textId="77777777" w:rsidR="00334388" w:rsidRPr="004218B6" w:rsidRDefault="00334388" w:rsidP="00334388">
      <w:pPr>
        <w:jc w:val="both"/>
      </w:pPr>
      <w:r w:rsidRPr="004218B6">
        <w:rPr>
          <w:noProof/>
        </w:rPr>
        <w:drawing>
          <wp:inline distT="114300" distB="114300" distL="114300" distR="114300" wp14:anchorId="1926CCC8" wp14:editId="008AE595">
            <wp:extent cx="5731200" cy="2057400"/>
            <wp:effectExtent l="0" t="0" r="0" b="0"/>
            <wp:docPr id="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
                    <a:srcRect/>
                    <a:stretch>
                      <a:fillRect/>
                    </a:stretch>
                  </pic:blipFill>
                  <pic:spPr>
                    <a:xfrm>
                      <a:off x="0" y="0"/>
                      <a:ext cx="5731200" cy="2057400"/>
                    </a:xfrm>
                    <a:prstGeom prst="rect">
                      <a:avLst/>
                    </a:prstGeom>
                    <a:ln/>
                  </pic:spPr>
                </pic:pic>
              </a:graphicData>
            </a:graphic>
          </wp:inline>
        </w:drawing>
      </w:r>
    </w:p>
    <w:p w14:paraId="2F2C1391" w14:textId="77777777" w:rsidR="00334388" w:rsidRPr="004218B6" w:rsidRDefault="00334388" w:rsidP="00334388">
      <w:pPr>
        <w:spacing w:after="200"/>
        <w:jc w:val="both"/>
        <w:rPr>
          <w:b/>
        </w:rPr>
      </w:pPr>
      <w:r w:rsidRPr="004218B6">
        <w:rPr>
          <w:b/>
        </w:rPr>
        <w:t>Supplementary Figure 1 Training data and model performance for Dar es-Salaam, Tanzania</w:t>
      </w:r>
    </w:p>
    <w:p w14:paraId="48F76569" w14:textId="77777777" w:rsidR="00334388" w:rsidRPr="004218B6" w:rsidRDefault="00334388" w:rsidP="00334388">
      <w:pPr>
        <w:jc w:val="both"/>
      </w:pPr>
      <w:r w:rsidRPr="004218B6">
        <w:rPr>
          <w:noProof/>
        </w:rPr>
        <w:lastRenderedPageBreak/>
        <w:drawing>
          <wp:inline distT="114300" distB="114300" distL="114300" distR="114300" wp14:anchorId="6B963F32" wp14:editId="7E035899">
            <wp:extent cx="5731200" cy="2057400"/>
            <wp:effectExtent l="0" t="0" r="0" b="0"/>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
                    <a:srcRect/>
                    <a:stretch>
                      <a:fillRect/>
                    </a:stretch>
                  </pic:blipFill>
                  <pic:spPr>
                    <a:xfrm>
                      <a:off x="0" y="0"/>
                      <a:ext cx="5731200" cy="2057400"/>
                    </a:xfrm>
                    <a:prstGeom prst="rect">
                      <a:avLst/>
                    </a:prstGeom>
                    <a:ln/>
                  </pic:spPr>
                </pic:pic>
              </a:graphicData>
            </a:graphic>
          </wp:inline>
        </w:drawing>
      </w:r>
    </w:p>
    <w:p w14:paraId="55FA4EC6" w14:textId="77777777" w:rsidR="00334388" w:rsidRPr="004218B6" w:rsidRDefault="00334388" w:rsidP="00334388">
      <w:pPr>
        <w:pBdr>
          <w:top w:val="nil"/>
          <w:left w:val="nil"/>
          <w:bottom w:val="nil"/>
          <w:right w:val="nil"/>
          <w:between w:val="nil"/>
        </w:pBdr>
        <w:spacing w:after="200"/>
        <w:jc w:val="both"/>
        <w:rPr>
          <w:b/>
        </w:rPr>
      </w:pPr>
      <w:r w:rsidRPr="004218B6">
        <w:rPr>
          <w:b/>
        </w:rPr>
        <w:t>Supplementary Figure 2 Training data and model performance for Port Harcourt, Nigeria</w:t>
      </w:r>
    </w:p>
    <w:p w14:paraId="7EACF5C4" w14:textId="77777777" w:rsidR="00334388" w:rsidRPr="004218B6" w:rsidRDefault="00334388" w:rsidP="00334388">
      <w:pPr>
        <w:pBdr>
          <w:top w:val="nil"/>
          <w:left w:val="nil"/>
          <w:bottom w:val="nil"/>
          <w:right w:val="nil"/>
          <w:between w:val="nil"/>
        </w:pBdr>
        <w:spacing w:after="200"/>
        <w:jc w:val="both"/>
      </w:pPr>
    </w:p>
    <w:p w14:paraId="4C5D595D" w14:textId="77777777" w:rsidR="00334388" w:rsidRPr="004218B6" w:rsidRDefault="00334388" w:rsidP="00334388">
      <w:pPr>
        <w:jc w:val="both"/>
      </w:pPr>
      <w:r w:rsidRPr="004218B6">
        <w:rPr>
          <w:noProof/>
        </w:rPr>
        <w:drawing>
          <wp:inline distT="114300" distB="114300" distL="114300" distR="114300" wp14:anchorId="616ADF7D" wp14:editId="5C0CACA1">
            <wp:extent cx="5731200" cy="2057400"/>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a:stretch>
                      <a:fillRect/>
                    </a:stretch>
                  </pic:blipFill>
                  <pic:spPr>
                    <a:xfrm>
                      <a:off x="0" y="0"/>
                      <a:ext cx="5731200" cy="2057400"/>
                    </a:xfrm>
                    <a:prstGeom prst="rect">
                      <a:avLst/>
                    </a:prstGeom>
                    <a:ln/>
                  </pic:spPr>
                </pic:pic>
              </a:graphicData>
            </a:graphic>
          </wp:inline>
        </w:drawing>
      </w:r>
    </w:p>
    <w:p w14:paraId="343A13B0" w14:textId="77777777" w:rsidR="00334388" w:rsidRPr="004218B6" w:rsidRDefault="00334388" w:rsidP="00334388">
      <w:pPr>
        <w:pBdr>
          <w:top w:val="nil"/>
          <w:left w:val="nil"/>
          <w:bottom w:val="nil"/>
          <w:right w:val="nil"/>
          <w:between w:val="nil"/>
        </w:pBdr>
        <w:spacing w:after="200"/>
        <w:jc w:val="both"/>
        <w:rPr>
          <w:b/>
        </w:rPr>
      </w:pPr>
      <w:r w:rsidRPr="004218B6">
        <w:rPr>
          <w:b/>
        </w:rPr>
        <w:t>Supplementary Figure 3 Training data and model performance for Lagos, Nigeria</w:t>
      </w:r>
    </w:p>
    <w:p w14:paraId="331204AE" w14:textId="77777777" w:rsidR="00334388" w:rsidRPr="004218B6" w:rsidRDefault="00334388" w:rsidP="00334388">
      <w:pPr>
        <w:pBdr>
          <w:top w:val="nil"/>
          <w:left w:val="nil"/>
          <w:bottom w:val="nil"/>
          <w:right w:val="nil"/>
          <w:between w:val="nil"/>
        </w:pBdr>
        <w:spacing w:after="200"/>
        <w:jc w:val="both"/>
      </w:pPr>
    </w:p>
    <w:p w14:paraId="554A5476" w14:textId="77777777" w:rsidR="00334388" w:rsidRPr="004218B6" w:rsidRDefault="00334388" w:rsidP="00334388">
      <w:pPr>
        <w:jc w:val="both"/>
      </w:pPr>
      <w:r w:rsidRPr="004218B6">
        <w:rPr>
          <w:noProof/>
        </w:rPr>
        <w:drawing>
          <wp:inline distT="114300" distB="114300" distL="114300" distR="114300" wp14:anchorId="6D477DBE" wp14:editId="6AAFD962">
            <wp:extent cx="5731200" cy="2057400"/>
            <wp:effectExtent l="0" t="0" r="0" b="0"/>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5731200" cy="2057400"/>
                    </a:xfrm>
                    <a:prstGeom prst="rect">
                      <a:avLst/>
                    </a:prstGeom>
                    <a:ln/>
                  </pic:spPr>
                </pic:pic>
              </a:graphicData>
            </a:graphic>
          </wp:inline>
        </w:drawing>
      </w:r>
    </w:p>
    <w:p w14:paraId="1F971720" w14:textId="77777777" w:rsidR="00334388" w:rsidRPr="004218B6" w:rsidRDefault="00334388" w:rsidP="00334388">
      <w:pPr>
        <w:pBdr>
          <w:top w:val="nil"/>
          <w:left w:val="nil"/>
          <w:bottom w:val="nil"/>
          <w:right w:val="nil"/>
          <w:between w:val="nil"/>
        </w:pBdr>
        <w:spacing w:after="200"/>
        <w:jc w:val="both"/>
        <w:rPr>
          <w:b/>
        </w:rPr>
      </w:pPr>
      <w:r w:rsidRPr="004218B6">
        <w:rPr>
          <w:b/>
        </w:rPr>
        <w:t>Supplementary Figure 4 Training data and model performance for Nairobi, Kenya</w:t>
      </w:r>
    </w:p>
    <w:p w14:paraId="025EDB74" w14:textId="77777777" w:rsidR="00334388" w:rsidRPr="004218B6" w:rsidRDefault="00334388" w:rsidP="00334388">
      <w:pPr>
        <w:jc w:val="both"/>
      </w:pPr>
      <w:r w:rsidRPr="004218B6">
        <w:rPr>
          <w:noProof/>
        </w:rPr>
        <w:lastRenderedPageBreak/>
        <w:drawing>
          <wp:inline distT="114300" distB="114300" distL="114300" distR="114300" wp14:anchorId="77336C13" wp14:editId="0AC60F30">
            <wp:extent cx="5731200" cy="2057400"/>
            <wp:effectExtent l="0" t="0" r="0" b="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731200" cy="2057400"/>
                    </a:xfrm>
                    <a:prstGeom prst="rect">
                      <a:avLst/>
                    </a:prstGeom>
                    <a:ln/>
                  </pic:spPr>
                </pic:pic>
              </a:graphicData>
            </a:graphic>
          </wp:inline>
        </w:drawing>
      </w:r>
    </w:p>
    <w:p w14:paraId="0C15A6CB" w14:textId="77777777" w:rsidR="00334388" w:rsidRPr="004218B6" w:rsidRDefault="00334388" w:rsidP="00334388">
      <w:pPr>
        <w:pBdr>
          <w:top w:val="nil"/>
          <w:left w:val="nil"/>
          <w:bottom w:val="nil"/>
          <w:right w:val="nil"/>
          <w:between w:val="nil"/>
        </w:pBdr>
        <w:spacing w:after="200"/>
        <w:jc w:val="both"/>
        <w:rPr>
          <w:b/>
        </w:rPr>
      </w:pPr>
      <w:r w:rsidRPr="004218B6">
        <w:rPr>
          <w:b/>
        </w:rPr>
        <w:t>Supplementary Figure 5 Training data and model performance for Accra, Ghana</w:t>
      </w:r>
    </w:p>
    <w:p w14:paraId="35AC6F53" w14:textId="77777777" w:rsidR="00334388" w:rsidRPr="004218B6" w:rsidRDefault="00334388" w:rsidP="00334388">
      <w:pPr>
        <w:pBdr>
          <w:top w:val="nil"/>
          <w:left w:val="nil"/>
          <w:bottom w:val="nil"/>
          <w:right w:val="nil"/>
          <w:between w:val="nil"/>
        </w:pBdr>
        <w:spacing w:after="200"/>
        <w:jc w:val="both"/>
      </w:pPr>
    </w:p>
    <w:p w14:paraId="333788C1" w14:textId="77777777" w:rsidR="00334388" w:rsidRPr="004218B6" w:rsidRDefault="00334388" w:rsidP="00334388">
      <w:pPr>
        <w:jc w:val="both"/>
      </w:pPr>
      <w:r w:rsidRPr="004218B6">
        <w:rPr>
          <w:noProof/>
        </w:rPr>
        <w:drawing>
          <wp:inline distT="114300" distB="114300" distL="114300" distR="114300" wp14:anchorId="6B4168B2" wp14:editId="475A60B6">
            <wp:extent cx="5731200" cy="2057400"/>
            <wp:effectExtent l="0" t="0" r="0" b="0"/>
            <wp:docPr id="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a:stretch>
                      <a:fillRect/>
                    </a:stretch>
                  </pic:blipFill>
                  <pic:spPr>
                    <a:xfrm>
                      <a:off x="0" y="0"/>
                      <a:ext cx="5731200" cy="2057400"/>
                    </a:xfrm>
                    <a:prstGeom prst="rect">
                      <a:avLst/>
                    </a:prstGeom>
                    <a:ln/>
                  </pic:spPr>
                </pic:pic>
              </a:graphicData>
            </a:graphic>
          </wp:inline>
        </w:drawing>
      </w:r>
    </w:p>
    <w:p w14:paraId="748614D9" w14:textId="77777777" w:rsidR="00334388" w:rsidRPr="004218B6" w:rsidRDefault="00334388" w:rsidP="00334388">
      <w:pPr>
        <w:pBdr>
          <w:top w:val="nil"/>
          <w:left w:val="nil"/>
          <w:bottom w:val="nil"/>
          <w:right w:val="nil"/>
          <w:between w:val="nil"/>
        </w:pBdr>
        <w:spacing w:after="200"/>
        <w:jc w:val="both"/>
        <w:rPr>
          <w:b/>
        </w:rPr>
      </w:pPr>
      <w:r w:rsidRPr="004218B6">
        <w:rPr>
          <w:b/>
        </w:rPr>
        <w:t>Supplementary Figure 6 Training data and model performance for Freetown, Sierra Leone</w:t>
      </w:r>
    </w:p>
    <w:p w14:paraId="56DAC6A3" w14:textId="77777777" w:rsidR="00334388" w:rsidRPr="004218B6" w:rsidRDefault="00334388" w:rsidP="00334388">
      <w:pPr>
        <w:pBdr>
          <w:top w:val="nil"/>
          <w:left w:val="nil"/>
          <w:bottom w:val="nil"/>
          <w:right w:val="nil"/>
          <w:between w:val="nil"/>
        </w:pBdr>
        <w:spacing w:after="200"/>
        <w:jc w:val="both"/>
      </w:pPr>
    </w:p>
    <w:p w14:paraId="22033428" w14:textId="77777777" w:rsidR="00334388" w:rsidRPr="004218B6" w:rsidRDefault="00334388" w:rsidP="00334388">
      <w:pPr>
        <w:jc w:val="both"/>
      </w:pPr>
      <w:r w:rsidRPr="004218B6">
        <w:rPr>
          <w:noProof/>
        </w:rPr>
        <w:drawing>
          <wp:inline distT="114300" distB="114300" distL="114300" distR="114300" wp14:anchorId="713CFD42" wp14:editId="4BCCB055">
            <wp:extent cx="5731200" cy="2057400"/>
            <wp:effectExtent l="0" t="0" r="0" b="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5731200" cy="2057400"/>
                    </a:xfrm>
                    <a:prstGeom prst="rect">
                      <a:avLst/>
                    </a:prstGeom>
                    <a:ln/>
                  </pic:spPr>
                </pic:pic>
              </a:graphicData>
            </a:graphic>
          </wp:inline>
        </w:drawing>
      </w:r>
    </w:p>
    <w:p w14:paraId="6FF4AD4F" w14:textId="77777777" w:rsidR="00334388" w:rsidRPr="004218B6" w:rsidRDefault="00334388" w:rsidP="00334388">
      <w:pPr>
        <w:pBdr>
          <w:top w:val="nil"/>
          <w:left w:val="nil"/>
          <w:bottom w:val="nil"/>
          <w:right w:val="nil"/>
          <w:between w:val="nil"/>
        </w:pBdr>
        <w:spacing w:after="200"/>
        <w:jc w:val="both"/>
        <w:rPr>
          <w:b/>
        </w:rPr>
      </w:pPr>
      <w:r w:rsidRPr="004218B6">
        <w:rPr>
          <w:b/>
        </w:rPr>
        <w:t>Supplementary Figure 7 Training data and model performance for Kampala, Uganda</w:t>
      </w:r>
    </w:p>
    <w:p w14:paraId="18A9942E" w14:textId="77777777" w:rsidR="00334388" w:rsidRPr="004218B6" w:rsidRDefault="00334388" w:rsidP="00334388">
      <w:pPr>
        <w:jc w:val="both"/>
      </w:pPr>
      <w:r w:rsidRPr="004218B6">
        <w:rPr>
          <w:noProof/>
        </w:rPr>
        <w:lastRenderedPageBreak/>
        <w:drawing>
          <wp:inline distT="114300" distB="114300" distL="114300" distR="114300" wp14:anchorId="06958154" wp14:editId="308F1BD4">
            <wp:extent cx="5731200" cy="2057400"/>
            <wp:effectExtent l="0" t="0" r="0" b="0"/>
            <wp:docPr id="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a:stretch>
                      <a:fillRect/>
                    </a:stretch>
                  </pic:blipFill>
                  <pic:spPr>
                    <a:xfrm>
                      <a:off x="0" y="0"/>
                      <a:ext cx="5731200" cy="2057400"/>
                    </a:xfrm>
                    <a:prstGeom prst="rect">
                      <a:avLst/>
                    </a:prstGeom>
                    <a:ln/>
                  </pic:spPr>
                </pic:pic>
              </a:graphicData>
            </a:graphic>
          </wp:inline>
        </w:drawing>
      </w:r>
    </w:p>
    <w:p w14:paraId="3CA67284" w14:textId="77777777" w:rsidR="00334388" w:rsidRPr="004218B6" w:rsidRDefault="00334388" w:rsidP="00334388">
      <w:pPr>
        <w:pBdr>
          <w:top w:val="nil"/>
          <w:left w:val="nil"/>
          <w:bottom w:val="nil"/>
          <w:right w:val="nil"/>
          <w:between w:val="nil"/>
        </w:pBdr>
        <w:spacing w:after="200"/>
        <w:jc w:val="both"/>
        <w:rPr>
          <w:b/>
        </w:rPr>
      </w:pPr>
      <w:r w:rsidRPr="004218B6">
        <w:rPr>
          <w:b/>
        </w:rPr>
        <w:t>Supplementary Figure 8 Training data and model performance for Cape Town, South Africa</w:t>
      </w:r>
    </w:p>
    <w:p w14:paraId="58840892" w14:textId="77777777" w:rsidR="00334388" w:rsidRPr="004218B6" w:rsidRDefault="00334388" w:rsidP="00334388">
      <w:pPr>
        <w:pBdr>
          <w:top w:val="nil"/>
          <w:left w:val="nil"/>
          <w:bottom w:val="nil"/>
          <w:right w:val="nil"/>
          <w:between w:val="nil"/>
        </w:pBdr>
        <w:spacing w:after="200"/>
        <w:jc w:val="both"/>
        <w:rPr>
          <w:b/>
        </w:rPr>
      </w:pPr>
    </w:p>
    <w:p w14:paraId="5C49A1FA" w14:textId="77777777" w:rsidR="00334388" w:rsidRPr="004218B6" w:rsidRDefault="00334388" w:rsidP="00334388">
      <w:pPr>
        <w:spacing w:line="480" w:lineRule="auto"/>
        <w:jc w:val="both"/>
        <w:rPr>
          <w:b/>
          <w:sz w:val="28"/>
          <w:szCs w:val="28"/>
        </w:rPr>
      </w:pPr>
      <w:r w:rsidRPr="004218B6">
        <w:rPr>
          <w:b/>
          <w:sz w:val="28"/>
          <w:szCs w:val="28"/>
        </w:rPr>
        <w:t>B. Similarity of cities</w:t>
      </w:r>
    </w:p>
    <w:p w14:paraId="0FD7E4F7" w14:textId="77777777" w:rsidR="00334388" w:rsidRPr="004218B6" w:rsidRDefault="00334388" w:rsidP="00334388">
      <w:pPr>
        <w:pBdr>
          <w:top w:val="nil"/>
          <w:left w:val="nil"/>
          <w:bottom w:val="nil"/>
          <w:right w:val="nil"/>
          <w:between w:val="nil"/>
        </w:pBdr>
        <w:spacing w:line="360" w:lineRule="auto"/>
        <w:jc w:val="both"/>
      </w:pPr>
      <w:r w:rsidRPr="004218B6">
        <w:t>To assess cross-city transferability of informal settlement detection models, we constructed a feature space combining multiple indicators of urban form, growth, and service access. These included:</w:t>
      </w:r>
    </w:p>
    <w:p w14:paraId="687795D8" w14:textId="77777777" w:rsidR="00334388" w:rsidRPr="004218B6" w:rsidRDefault="00334388" w:rsidP="00334388">
      <w:pPr>
        <w:numPr>
          <w:ilvl w:val="0"/>
          <w:numId w:val="1"/>
        </w:numPr>
        <w:pBdr>
          <w:top w:val="nil"/>
          <w:left w:val="nil"/>
          <w:bottom w:val="nil"/>
          <w:right w:val="nil"/>
          <w:between w:val="nil"/>
        </w:pBdr>
        <w:spacing w:line="360" w:lineRule="auto"/>
        <w:jc w:val="both"/>
      </w:pPr>
      <w:r w:rsidRPr="004218B6">
        <w:t>Population density (2025, people per km²): calculated as projected total population divided by urban extent area.</w:t>
      </w:r>
    </w:p>
    <w:p w14:paraId="4EBC6F90" w14:textId="77777777" w:rsidR="00334388" w:rsidRPr="004218B6" w:rsidRDefault="00334388" w:rsidP="00334388">
      <w:pPr>
        <w:numPr>
          <w:ilvl w:val="0"/>
          <w:numId w:val="1"/>
        </w:numPr>
        <w:pBdr>
          <w:top w:val="nil"/>
          <w:left w:val="nil"/>
          <w:bottom w:val="nil"/>
          <w:right w:val="nil"/>
          <w:between w:val="nil"/>
        </w:pBdr>
        <w:spacing w:line="360" w:lineRule="auto"/>
        <w:jc w:val="both"/>
      </w:pPr>
      <w:r w:rsidRPr="004218B6">
        <w:t>Building morphology: average, maximum, and standard deviation of building heights (2020).</w:t>
      </w:r>
    </w:p>
    <w:p w14:paraId="2E10B6F6" w14:textId="77777777" w:rsidR="00334388" w:rsidRPr="004218B6" w:rsidRDefault="00334388" w:rsidP="00334388">
      <w:pPr>
        <w:numPr>
          <w:ilvl w:val="0"/>
          <w:numId w:val="1"/>
        </w:numPr>
        <w:pBdr>
          <w:top w:val="nil"/>
          <w:left w:val="nil"/>
          <w:bottom w:val="nil"/>
          <w:right w:val="nil"/>
          <w:between w:val="nil"/>
        </w:pBdr>
        <w:spacing w:line="360" w:lineRule="auto"/>
        <w:jc w:val="both"/>
      </w:pPr>
      <w:r w:rsidRPr="004218B6">
        <w:t>Residential share (2020): proportion of residential pixels relative to total built-up pixels.</w:t>
      </w:r>
    </w:p>
    <w:p w14:paraId="5247D86D" w14:textId="77777777" w:rsidR="00334388" w:rsidRPr="004218B6" w:rsidRDefault="00334388" w:rsidP="00334388">
      <w:pPr>
        <w:numPr>
          <w:ilvl w:val="0"/>
          <w:numId w:val="1"/>
        </w:numPr>
        <w:pBdr>
          <w:top w:val="nil"/>
          <w:left w:val="nil"/>
          <w:bottom w:val="nil"/>
          <w:right w:val="nil"/>
          <w:between w:val="nil"/>
        </w:pBdr>
        <w:spacing w:line="360" w:lineRule="auto"/>
        <w:jc w:val="both"/>
      </w:pPr>
      <w:r w:rsidRPr="004218B6">
        <w:t>Population growth rate: compound annual growth rate (2000–2020).</w:t>
      </w:r>
    </w:p>
    <w:p w14:paraId="2946BE5E" w14:textId="77777777" w:rsidR="00334388" w:rsidRPr="004218B6" w:rsidRDefault="00334388" w:rsidP="00334388">
      <w:pPr>
        <w:numPr>
          <w:ilvl w:val="0"/>
          <w:numId w:val="1"/>
        </w:numPr>
        <w:pBdr>
          <w:top w:val="nil"/>
          <w:left w:val="nil"/>
          <w:bottom w:val="nil"/>
          <w:right w:val="nil"/>
          <w:between w:val="nil"/>
        </w:pBdr>
        <w:spacing w:line="360" w:lineRule="auto"/>
        <w:jc w:val="both"/>
      </w:pPr>
      <w:r w:rsidRPr="004218B6">
        <w:t>Building stock growth: change in total building stock over 2000–2020.</w:t>
      </w:r>
    </w:p>
    <w:p w14:paraId="1A01DDCA" w14:textId="77777777" w:rsidR="00334388" w:rsidRPr="004218B6" w:rsidRDefault="00334388" w:rsidP="00334388">
      <w:pPr>
        <w:numPr>
          <w:ilvl w:val="0"/>
          <w:numId w:val="1"/>
        </w:numPr>
        <w:pBdr>
          <w:top w:val="nil"/>
          <w:left w:val="nil"/>
          <w:bottom w:val="nil"/>
          <w:right w:val="nil"/>
          <w:between w:val="nil"/>
        </w:pBdr>
        <w:spacing w:line="360" w:lineRule="auto"/>
        <w:jc w:val="both"/>
      </w:pPr>
      <w:r w:rsidRPr="004218B6">
        <w:t>Urban service readiness (2025): categorical indices for water/infrastructure (WIG) and utility/service readiness (USR).</w:t>
      </w:r>
    </w:p>
    <w:p w14:paraId="54A6465A" w14:textId="77777777" w:rsidR="00334388" w:rsidRPr="004218B6" w:rsidRDefault="00334388" w:rsidP="00334388">
      <w:pPr>
        <w:pBdr>
          <w:top w:val="nil"/>
          <w:left w:val="nil"/>
          <w:bottom w:val="nil"/>
          <w:right w:val="nil"/>
          <w:between w:val="nil"/>
        </w:pBdr>
        <w:spacing w:line="360" w:lineRule="auto"/>
        <w:jc w:val="both"/>
      </w:pPr>
      <w:r w:rsidRPr="004218B6">
        <w:t xml:space="preserve">These indicators were harmonised into a feature matrix across all 84 cities. All the data used to calculate these indicators are listed in Supplementary Table 1 and are available from GHS Urban Centre Database - Stats in the City (R2024A) (https://human-settlement.emergency.copernicus.eu/download.php?ds=ucdb). We calculated Gower dissimilarity to handle both continuous and categorical inputs. In Supplementary Figure 9, we illustrate city-to-city dissimilarities, highlighting contrasts between the eight training cities and all other cities in the dataset. The resulting dissimilarity matrix was then inverted to a </w:t>
      </w:r>
      <w:r w:rsidRPr="004218B6">
        <w:lastRenderedPageBreak/>
        <w:t>similarity matrix (1/distance), which served as a weighting scheme when combining model predictions across cities.</w:t>
      </w:r>
    </w:p>
    <w:p w14:paraId="09E5DED6" w14:textId="77777777" w:rsidR="00334388" w:rsidRPr="004218B6" w:rsidRDefault="00334388" w:rsidP="00334388">
      <w:pPr>
        <w:pBdr>
          <w:top w:val="nil"/>
          <w:left w:val="nil"/>
          <w:bottom w:val="nil"/>
          <w:right w:val="nil"/>
          <w:between w:val="nil"/>
        </w:pBdr>
        <w:spacing w:line="360" w:lineRule="auto"/>
        <w:jc w:val="both"/>
        <w:rPr>
          <w:b/>
          <w:bCs/>
        </w:rPr>
      </w:pPr>
      <w:r w:rsidRPr="004218B6">
        <w:rPr>
          <w:b/>
          <w:bCs/>
        </w:rPr>
        <w:t>Supplementary Table 1. City descriptor variables used for ensemble similarity weighting</w:t>
      </w:r>
    </w:p>
    <w:tbl>
      <w:tblPr>
        <w:tblStyle w:val="TableGrid"/>
        <w:tblW w:w="5000" w:type="pct"/>
        <w:tblLook w:val="04A0" w:firstRow="1" w:lastRow="0" w:firstColumn="1" w:lastColumn="0" w:noHBand="0" w:noVBand="1"/>
      </w:tblPr>
      <w:tblGrid>
        <w:gridCol w:w="2532"/>
        <w:gridCol w:w="4292"/>
        <w:gridCol w:w="1455"/>
        <w:gridCol w:w="963"/>
      </w:tblGrid>
      <w:tr w:rsidR="00334388" w:rsidRPr="004218B6" w14:paraId="65BB4025" w14:textId="77777777" w:rsidTr="00B93D74">
        <w:tc>
          <w:tcPr>
            <w:tcW w:w="1370" w:type="pct"/>
            <w:vAlign w:val="center"/>
            <w:hideMark/>
          </w:tcPr>
          <w:p w14:paraId="52A2800C" w14:textId="77777777" w:rsidR="00334388" w:rsidRPr="004218B6" w:rsidRDefault="00334388" w:rsidP="00B93D74">
            <w:pPr>
              <w:pBdr>
                <w:top w:val="nil"/>
                <w:left w:val="nil"/>
                <w:bottom w:val="nil"/>
                <w:right w:val="nil"/>
                <w:between w:val="nil"/>
              </w:pBdr>
              <w:spacing w:line="360" w:lineRule="auto"/>
              <w:jc w:val="center"/>
              <w:rPr>
                <w:b/>
                <w:bCs/>
              </w:rPr>
            </w:pPr>
            <w:r w:rsidRPr="004218B6">
              <w:rPr>
                <w:b/>
                <w:bCs/>
              </w:rPr>
              <w:t>Variable Name</w:t>
            </w:r>
          </w:p>
        </w:tc>
        <w:tc>
          <w:tcPr>
            <w:tcW w:w="2322" w:type="pct"/>
            <w:vAlign w:val="center"/>
            <w:hideMark/>
          </w:tcPr>
          <w:p w14:paraId="3F173110" w14:textId="77777777" w:rsidR="00334388" w:rsidRPr="004218B6" w:rsidRDefault="00334388" w:rsidP="00B93D74">
            <w:pPr>
              <w:pBdr>
                <w:top w:val="nil"/>
                <w:left w:val="nil"/>
                <w:bottom w:val="nil"/>
                <w:right w:val="nil"/>
                <w:between w:val="nil"/>
              </w:pBdr>
              <w:spacing w:line="360" w:lineRule="auto"/>
              <w:jc w:val="center"/>
              <w:rPr>
                <w:b/>
                <w:bCs/>
              </w:rPr>
            </w:pPr>
            <w:r w:rsidRPr="004218B6">
              <w:rPr>
                <w:b/>
                <w:bCs/>
              </w:rPr>
              <w:t>Description</w:t>
            </w:r>
          </w:p>
        </w:tc>
        <w:tc>
          <w:tcPr>
            <w:tcW w:w="787" w:type="pct"/>
            <w:vAlign w:val="center"/>
            <w:hideMark/>
          </w:tcPr>
          <w:p w14:paraId="77C21172" w14:textId="77777777" w:rsidR="00334388" w:rsidRPr="004218B6" w:rsidRDefault="00334388" w:rsidP="00B93D74">
            <w:pPr>
              <w:pBdr>
                <w:top w:val="nil"/>
                <w:left w:val="nil"/>
                <w:bottom w:val="nil"/>
                <w:right w:val="nil"/>
                <w:between w:val="nil"/>
              </w:pBdr>
              <w:spacing w:line="360" w:lineRule="auto"/>
              <w:jc w:val="center"/>
              <w:rPr>
                <w:b/>
                <w:bCs/>
              </w:rPr>
            </w:pPr>
            <w:r w:rsidRPr="004218B6">
              <w:rPr>
                <w:b/>
                <w:bCs/>
              </w:rPr>
              <w:t>Units</w:t>
            </w:r>
          </w:p>
        </w:tc>
        <w:tc>
          <w:tcPr>
            <w:tcW w:w="521" w:type="pct"/>
            <w:vAlign w:val="center"/>
            <w:hideMark/>
          </w:tcPr>
          <w:p w14:paraId="6B242C10" w14:textId="77777777" w:rsidR="00334388" w:rsidRPr="004218B6" w:rsidRDefault="00334388" w:rsidP="00B93D74">
            <w:pPr>
              <w:pBdr>
                <w:top w:val="nil"/>
                <w:left w:val="nil"/>
                <w:bottom w:val="nil"/>
                <w:right w:val="nil"/>
                <w:between w:val="nil"/>
              </w:pBdr>
              <w:spacing w:line="360" w:lineRule="auto"/>
              <w:jc w:val="center"/>
              <w:rPr>
                <w:b/>
                <w:bCs/>
              </w:rPr>
            </w:pPr>
            <w:r w:rsidRPr="004218B6">
              <w:rPr>
                <w:b/>
                <w:bCs/>
              </w:rPr>
              <w:t>Year</w:t>
            </w:r>
          </w:p>
        </w:tc>
      </w:tr>
      <w:tr w:rsidR="00334388" w:rsidRPr="004218B6" w14:paraId="7C9B585D" w14:textId="77777777" w:rsidTr="00B93D74">
        <w:tc>
          <w:tcPr>
            <w:tcW w:w="1370" w:type="pct"/>
            <w:vAlign w:val="center"/>
            <w:hideMark/>
          </w:tcPr>
          <w:p w14:paraId="5B98BFA7" w14:textId="77777777" w:rsidR="00334388" w:rsidRPr="004218B6" w:rsidRDefault="00334388" w:rsidP="00B93D74">
            <w:pPr>
              <w:pBdr>
                <w:top w:val="nil"/>
                <w:left w:val="nil"/>
                <w:bottom w:val="nil"/>
                <w:right w:val="nil"/>
                <w:between w:val="nil"/>
              </w:pBdr>
              <w:spacing w:line="360" w:lineRule="auto"/>
              <w:jc w:val="center"/>
            </w:pPr>
            <w:r w:rsidRPr="004218B6">
              <w:t>GC_POP_TOT_2025</w:t>
            </w:r>
          </w:p>
        </w:tc>
        <w:tc>
          <w:tcPr>
            <w:tcW w:w="2322" w:type="pct"/>
            <w:vAlign w:val="center"/>
            <w:hideMark/>
          </w:tcPr>
          <w:p w14:paraId="0DFD5F4F" w14:textId="77777777" w:rsidR="00334388" w:rsidRPr="004218B6" w:rsidRDefault="00334388" w:rsidP="00B93D74">
            <w:pPr>
              <w:pBdr>
                <w:top w:val="nil"/>
                <w:left w:val="nil"/>
                <w:bottom w:val="nil"/>
                <w:right w:val="nil"/>
                <w:between w:val="nil"/>
              </w:pBdr>
              <w:spacing w:line="360" w:lineRule="auto"/>
              <w:jc w:val="center"/>
            </w:pPr>
            <w:r w:rsidRPr="004218B6">
              <w:t>Projected total population within urban boundary</w:t>
            </w:r>
          </w:p>
        </w:tc>
        <w:tc>
          <w:tcPr>
            <w:tcW w:w="787" w:type="pct"/>
            <w:vAlign w:val="center"/>
            <w:hideMark/>
          </w:tcPr>
          <w:p w14:paraId="4C3E13EB" w14:textId="77777777" w:rsidR="00334388" w:rsidRPr="004218B6" w:rsidRDefault="00334388" w:rsidP="00B93D74">
            <w:pPr>
              <w:pBdr>
                <w:top w:val="nil"/>
                <w:left w:val="nil"/>
                <w:bottom w:val="nil"/>
                <w:right w:val="nil"/>
                <w:between w:val="nil"/>
              </w:pBdr>
              <w:spacing w:line="360" w:lineRule="auto"/>
              <w:jc w:val="center"/>
            </w:pPr>
            <w:r w:rsidRPr="004218B6">
              <w:t>persons</w:t>
            </w:r>
          </w:p>
        </w:tc>
        <w:tc>
          <w:tcPr>
            <w:tcW w:w="521" w:type="pct"/>
            <w:vAlign w:val="center"/>
            <w:hideMark/>
          </w:tcPr>
          <w:p w14:paraId="048EFD62" w14:textId="77777777" w:rsidR="00334388" w:rsidRPr="004218B6" w:rsidRDefault="00334388" w:rsidP="00B93D74">
            <w:pPr>
              <w:pBdr>
                <w:top w:val="nil"/>
                <w:left w:val="nil"/>
                <w:bottom w:val="nil"/>
                <w:right w:val="nil"/>
                <w:between w:val="nil"/>
              </w:pBdr>
              <w:spacing w:line="360" w:lineRule="auto"/>
              <w:jc w:val="center"/>
            </w:pPr>
            <w:r w:rsidRPr="004218B6">
              <w:t>2025</w:t>
            </w:r>
          </w:p>
        </w:tc>
      </w:tr>
      <w:tr w:rsidR="00334388" w:rsidRPr="004218B6" w14:paraId="64F9FA79" w14:textId="77777777" w:rsidTr="00B93D74">
        <w:tc>
          <w:tcPr>
            <w:tcW w:w="1370" w:type="pct"/>
            <w:vAlign w:val="center"/>
            <w:hideMark/>
          </w:tcPr>
          <w:p w14:paraId="6E99D7BA" w14:textId="77777777" w:rsidR="00334388" w:rsidRPr="004218B6" w:rsidRDefault="00334388" w:rsidP="00B93D74">
            <w:pPr>
              <w:pBdr>
                <w:top w:val="nil"/>
                <w:left w:val="nil"/>
                <w:bottom w:val="nil"/>
                <w:right w:val="nil"/>
                <w:between w:val="nil"/>
              </w:pBdr>
              <w:spacing w:line="360" w:lineRule="auto"/>
              <w:jc w:val="center"/>
            </w:pPr>
            <w:r w:rsidRPr="004218B6">
              <w:t>GC_UCA_KM2_2025</w:t>
            </w:r>
          </w:p>
        </w:tc>
        <w:tc>
          <w:tcPr>
            <w:tcW w:w="2322" w:type="pct"/>
            <w:vAlign w:val="center"/>
            <w:hideMark/>
          </w:tcPr>
          <w:p w14:paraId="1EF5E2CC" w14:textId="77777777" w:rsidR="00334388" w:rsidRPr="004218B6" w:rsidRDefault="00334388" w:rsidP="00B93D74">
            <w:pPr>
              <w:pBdr>
                <w:top w:val="nil"/>
                <w:left w:val="nil"/>
                <w:bottom w:val="nil"/>
                <w:right w:val="nil"/>
                <w:between w:val="nil"/>
              </w:pBdr>
              <w:spacing w:line="360" w:lineRule="auto"/>
              <w:jc w:val="center"/>
            </w:pPr>
            <w:r w:rsidRPr="004218B6">
              <w:t>Urban extent (area of city polygon)</w:t>
            </w:r>
          </w:p>
        </w:tc>
        <w:tc>
          <w:tcPr>
            <w:tcW w:w="787" w:type="pct"/>
            <w:vAlign w:val="center"/>
            <w:hideMark/>
          </w:tcPr>
          <w:p w14:paraId="5A0A790F" w14:textId="77777777" w:rsidR="00334388" w:rsidRPr="004218B6" w:rsidRDefault="00334388" w:rsidP="00B93D74">
            <w:pPr>
              <w:pBdr>
                <w:top w:val="nil"/>
                <w:left w:val="nil"/>
                <w:bottom w:val="nil"/>
                <w:right w:val="nil"/>
                <w:between w:val="nil"/>
              </w:pBdr>
              <w:spacing w:line="360" w:lineRule="auto"/>
              <w:jc w:val="center"/>
            </w:pPr>
            <w:r w:rsidRPr="004218B6">
              <w:t>km²</w:t>
            </w:r>
          </w:p>
        </w:tc>
        <w:tc>
          <w:tcPr>
            <w:tcW w:w="521" w:type="pct"/>
            <w:vAlign w:val="center"/>
            <w:hideMark/>
          </w:tcPr>
          <w:p w14:paraId="5ED32331" w14:textId="77777777" w:rsidR="00334388" w:rsidRPr="004218B6" w:rsidRDefault="00334388" w:rsidP="00B93D74">
            <w:pPr>
              <w:pBdr>
                <w:top w:val="nil"/>
                <w:left w:val="nil"/>
                <w:bottom w:val="nil"/>
                <w:right w:val="nil"/>
                <w:between w:val="nil"/>
              </w:pBdr>
              <w:spacing w:line="360" w:lineRule="auto"/>
              <w:jc w:val="center"/>
            </w:pPr>
            <w:r w:rsidRPr="004218B6">
              <w:t>2025</w:t>
            </w:r>
          </w:p>
        </w:tc>
      </w:tr>
      <w:tr w:rsidR="00334388" w:rsidRPr="004218B6" w14:paraId="721AF890" w14:textId="77777777" w:rsidTr="00B93D74">
        <w:tc>
          <w:tcPr>
            <w:tcW w:w="1370" w:type="pct"/>
            <w:vAlign w:val="center"/>
            <w:hideMark/>
          </w:tcPr>
          <w:p w14:paraId="650ACE78" w14:textId="77777777" w:rsidR="00334388" w:rsidRPr="004218B6" w:rsidRDefault="00334388" w:rsidP="00B93D74">
            <w:pPr>
              <w:pBdr>
                <w:top w:val="nil"/>
                <w:left w:val="nil"/>
                <w:bottom w:val="nil"/>
                <w:right w:val="nil"/>
                <w:between w:val="nil"/>
              </w:pBdr>
              <w:spacing w:line="360" w:lineRule="auto"/>
              <w:jc w:val="center"/>
            </w:pPr>
            <w:r w:rsidRPr="004218B6">
              <w:t>GH_BUH_AVG_2020</w:t>
            </w:r>
          </w:p>
        </w:tc>
        <w:tc>
          <w:tcPr>
            <w:tcW w:w="2322" w:type="pct"/>
            <w:vAlign w:val="center"/>
            <w:hideMark/>
          </w:tcPr>
          <w:p w14:paraId="6A9FBB9D" w14:textId="77777777" w:rsidR="00334388" w:rsidRPr="004218B6" w:rsidRDefault="00334388" w:rsidP="00B93D74">
            <w:pPr>
              <w:pBdr>
                <w:top w:val="nil"/>
                <w:left w:val="nil"/>
                <w:bottom w:val="nil"/>
                <w:right w:val="nil"/>
                <w:between w:val="nil"/>
              </w:pBdr>
              <w:spacing w:line="360" w:lineRule="auto"/>
              <w:jc w:val="center"/>
            </w:pPr>
            <w:r w:rsidRPr="004218B6">
              <w:t>Average building height</w:t>
            </w:r>
          </w:p>
        </w:tc>
        <w:tc>
          <w:tcPr>
            <w:tcW w:w="787" w:type="pct"/>
            <w:vAlign w:val="center"/>
            <w:hideMark/>
          </w:tcPr>
          <w:p w14:paraId="0CED7711" w14:textId="77777777" w:rsidR="00334388" w:rsidRPr="004218B6" w:rsidRDefault="00334388" w:rsidP="00B93D74">
            <w:pPr>
              <w:pBdr>
                <w:top w:val="nil"/>
                <w:left w:val="nil"/>
                <w:bottom w:val="nil"/>
                <w:right w:val="nil"/>
                <w:between w:val="nil"/>
              </w:pBdr>
              <w:spacing w:line="360" w:lineRule="auto"/>
              <w:jc w:val="center"/>
            </w:pPr>
            <w:r w:rsidRPr="004218B6">
              <w:t>m</w:t>
            </w:r>
          </w:p>
        </w:tc>
        <w:tc>
          <w:tcPr>
            <w:tcW w:w="521" w:type="pct"/>
            <w:vAlign w:val="center"/>
            <w:hideMark/>
          </w:tcPr>
          <w:p w14:paraId="0CFD726A" w14:textId="77777777" w:rsidR="00334388" w:rsidRPr="004218B6" w:rsidRDefault="00334388" w:rsidP="00B93D74">
            <w:pPr>
              <w:pBdr>
                <w:top w:val="nil"/>
                <w:left w:val="nil"/>
                <w:bottom w:val="nil"/>
                <w:right w:val="nil"/>
                <w:between w:val="nil"/>
              </w:pBdr>
              <w:spacing w:line="360" w:lineRule="auto"/>
              <w:jc w:val="center"/>
            </w:pPr>
            <w:r w:rsidRPr="004218B6">
              <w:t>2020</w:t>
            </w:r>
          </w:p>
        </w:tc>
      </w:tr>
      <w:tr w:rsidR="00334388" w:rsidRPr="004218B6" w14:paraId="516071C4" w14:textId="77777777" w:rsidTr="00B93D74">
        <w:tc>
          <w:tcPr>
            <w:tcW w:w="1370" w:type="pct"/>
            <w:vAlign w:val="center"/>
            <w:hideMark/>
          </w:tcPr>
          <w:p w14:paraId="0FBEA506" w14:textId="77777777" w:rsidR="00334388" w:rsidRPr="004218B6" w:rsidRDefault="00334388" w:rsidP="00B93D74">
            <w:pPr>
              <w:pBdr>
                <w:top w:val="nil"/>
                <w:left w:val="nil"/>
                <w:bottom w:val="nil"/>
                <w:right w:val="nil"/>
                <w:between w:val="nil"/>
              </w:pBdr>
              <w:spacing w:line="360" w:lineRule="auto"/>
              <w:jc w:val="center"/>
            </w:pPr>
            <w:r w:rsidRPr="004218B6">
              <w:t>GH_BUH_STD_2020</w:t>
            </w:r>
          </w:p>
        </w:tc>
        <w:tc>
          <w:tcPr>
            <w:tcW w:w="2322" w:type="pct"/>
            <w:vAlign w:val="center"/>
            <w:hideMark/>
          </w:tcPr>
          <w:p w14:paraId="1FCDA2A3" w14:textId="77777777" w:rsidR="00334388" w:rsidRPr="004218B6" w:rsidRDefault="00334388" w:rsidP="00B93D74">
            <w:pPr>
              <w:pBdr>
                <w:top w:val="nil"/>
                <w:left w:val="nil"/>
                <w:bottom w:val="nil"/>
                <w:right w:val="nil"/>
                <w:between w:val="nil"/>
              </w:pBdr>
              <w:spacing w:line="360" w:lineRule="auto"/>
              <w:jc w:val="center"/>
            </w:pPr>
            <w:r w:rsidRPr="004218B6">
              <w:t>Standard deviation of building height</w:t>
            </w:r>
          </w:p>
        </w:tc>
        <w:tc>
          <w:tcPr>
            <w:tcW w:w="787" w:type="pct"/>
            <w:vAlign w:val="center"/>
            <w:hideMark/>
          </w:tcPr>
          <w:p w14:paraId="2EE4F752" w14:textId="77777777" w:rsidR="00334388" w:rsidRPr="004218B6" w:rsidRDefault="00334388" w:rsidP="00B93D74">
            <w:pPr>
              <w:pBdr>
                <w:top w:val="nil"/>
                <w:left w:val="nil"/>
                <w:bottom w:val="nil"/>
                <w:right w:val="nil"/>
                <w:between w:val="nil"/>
              </w:pBdr>
              <w:spacing w:line="360" w:lineRule="auto"/>
              <w:jc w:val="center"/>
            </w:pPr>
            <w:r w:rsidRPr="004218B6">
              <w:t>m</w:t>
            </w:r>
          </w:p>
        </w:tc>
        <w:tc>
          <w:tcPr>
            <w:tcW w:w="521" w:type="pct"/>
            <w:vAlign w:val="center"/>
            <w:hideMark/>
          </w:tcPr>
          <w:p w14:paraId="20F0CFCB" w14:textId="77777777" w:rsidR="00334388" w:rsidRPr="004218B6" w:rsidRDefault="00334388" w:rsidP="00B93D74">
            <w:pPr>
              <w:pBdr>
                <w:top w:val="nil"/>
                <w:left w:val="nil"/>
                <w:bottom w:val="nil"/>
                <w:right w:val="nil"/>
                <w:between w:val="nil"/>
              </w:pBdr>
              <w:spacing w:line="360" w:lineRule="auto"/>
              <w:jc w:val="center"/>
            </w:pPr>
            <w:r w:rsidRPr="004218B6">
              <w:t>2020</w:t>
            </w:r>
          </w:p>
        </w:tc>
      </w:tr>
      <w:tr w:rsidR="00334388" w:rsidRPr="004218B6" w14:paraId="3860CB2B" w14:textId="77777777" w:rsidTr="00B93D74">
        <w:tc>
          <w:tcPr>
            <w:tcW w:w="1370" w:type="pct"/>
            <w:vAlign w:val="center"/>
            <w:hideMark/>
          </w:tcPr>
          <w:p w14:paraId="7BF94FEE" w14:textId="77777777" w:rsidR="00334388" w:rsidRPr="004218B6" w:rsidRDefault="00334388" w:rsidP="00B93D74">
            <w:pPr>
              <w:pBdr>
                <w:top w:val="nil"/>
                <w:left w:val="nil"/>
                <w:bottom w:val="nil"/>
                <w:right w:val="nil"/>
                <w:between w:val="nil"/>
              </w:pBdr>
              <w:spacing w:line="360" w:lineRule="auto"/>
              <w:jc w:val="center"/>
            </w:pPr>
            <w:r w:rsidRPr="004218B6">
              <w:t>GH_BUH_MAX_2020</w:t>
            </w:r>
          </w:p>
        </w:tc>
        <w:tc>
          <w:tcPr>
            <w:tcW w:w="2322" w:type="pct"/>
            <w:vAlign w:val="center"/>
            <w:hideMark/>
          </w:tcPr>
          <w:p w14:paraId="267C5499" w14:textId="77777777" w:rsidR="00334388" w:rsidRPr="004218B6" w:rsidRDefault="00334388" w:rsidP="00B93D74">
            <w:pPr>
              <w:pBdr>
                <w:top w:val="nil"/>
                <w:left w:val="nil"/>
                <w:bottom w:val="nil"/>
                <w:right w:val="nil"/>
                <w:between w:val="nil"/>
              </w:pBdr>
              <w:spacing w:line="360" w:lineRule="auto"/>
              <w:jc w:val="center"/>
            </w:pPr>
            <w:r w:rsidRPr="004218B6">
              <w:t>Maximum building height</w:t>
            </w:r>
          </w:p>
        </w:tc>
        <w:tc>
          <w:tcPr>
            <w:tcW w:w="787" w:type="pct"/>
            <w:vAlign w:val="center"/>
            <w:hideMark/>
          </w:tcPr>
          <w:p w14:paraId="0AC6443B" w14:textId="77777777" w:rsidR="00334388" w:rsidRPr="004218B6" w:rsidRDefault="00334388" w:rsidP="00B93D74">
            <w:pPr>
              <w:pBdr>
                <w:top w:val="nil"/>
                <w:left w:val="nil"/>
                <w:bottom w:val="nil"/>
                <w:right w:val="nil"/>
                <w:between w:val="nil"/>
              </w:pBdr>
              <w:spacing w:line="360" w:lineRule="auto"/>
              <w:jc w:val="center"/>
            </w:pPr>
            <w:r w:rsidRPr="004218B6">
              <w:t>m</w:t>
            </w:r>
          </w:p>
        </w:tc>
        <w:tc>
          <w:tcPr>
            <w:tcW w:w="521" w:type="pct"/>
            <w:vAlign w:val="center"/>
            <w:hideMark/>
          </w:tcPr>
          <w:p w14:paraId="73344C52" w14:textId="77777777" w:rsidR="00334388" w:rsidRPr="004218B6" w:rsidRDefault="00334388" w:rsidP="00B93D74">
            <w:pPr>
              <w:pBdr>
                <w:top w:val="nil"/>
                <w:left w:val="nil"/>
                <w:bottom w:val="nil"/>
                <w:right w:val="nil"/>
                <w:between w:val="nil"/>
              </w:pBdr>
              <w:spacing w:line="360" w:lineRule="auto"/>
              <w:jc w:val="center"/>
            </w:pPr>
            <w:r w:rsidRPr="004218B6">
              <w:t>2020</w:t>
            </w:r>
          </w:p>
        </w:tc>
      </w:tr>
      <w:tr w:rsidR="00334388" w:rsidRPr="004218B6" w14:paraId="503D8FF6" w14:textId="77777777" w:rsidTr="00B93D74">
        <w:tc>
          <w:tcPr>
            <w:tcW w:w="1370" w:type="pct"/>
            <w:vAlign w:val="center"/>
            <w:hideMark/>
          </w:tcPr>
          <w:p w14:paraId="745F0151" w14:textId="77777777" w:rsidR="00334388" w:rsidRPr="004218B6" w:rsidRDefault="00334388" w:rsidP="00B93D74">
            <w:pPr>
              <w:pBdr>
                <w:top w:val="nil"/>
                <w:left w:val="nil"/>
                <w:bottom w:val="nil"/>
                <w:right w:val="nil"/>
                <w:between w:val="nil"/>
              </w:pBdr>
              <w:spacing w:line="360" w:lineRule="auto"/>
              <w:jc w:val="center"/>
            </w:pPr>
            <w:r w:rsidRPr="004218B6">
              <w:t>GH_BPC_RES_2020</w:t>
            </w:r>
          </w:p>
        </w:tc>
        <w:tc>
          <w:tcPr>
            <w:tcW w:w="2322" w:type="pct"/>
            <w:vAlign w:val="center"/>
            <w:hideMark/>
          </w:tcPr>
          <w:p w14:paraId="7BC27250" w14:textId="77777777" w:rsidR="00334388" w:rsidRPr="004218B6" w:rsidRDefault="00334388" w:rsidP="00B93D74">
            <w:pPr>
              <w:pBdr>
                <w:top w:val="nil"/>
                <w:left w:val="nil"/>
                <w:bottom w:val="nil"/>
                <w:right w:val="nil"/>
                <w:between w:val="nil"/>
              </w:pBdr>
              <w:spacing w:line="360" w:lineRule="auto"/>
              <w:jc w:val="center"/>
            </w:pPr>
            <w:r w:rsidRPr="004218B6">
              <w:t>Residential built-up area</w:t>
            </w:r>
          </w:p>
        </w:tc>
        <w:tc>
          <w:tcPr>
            <w:tcW w:w="787" w:type="pct"/>
            <w:vAlign w:val="center"/>
            <w:hideMark/>
          </w:tcPr>
          <w:p w14:paraId="6DA86ADC" w14:textId="77777777" w:rsidR="00334388" w:rsidRPr="004218B6" w:rsidRDefault="00334388" w:rsidP="00B93D74">
            <w:pPr>
              <w:pBdr>
                <w:top w:val="nil"/>
                <w:left w:val="nil"/>
                <w:bottom w:val="nil"/>
                <w:right w:val="nil"/>
                <w:between w:val="nil"/>
              </w:pBdr>
              <w:spacing w:line="360" w:lineRule="auto"/>
              <w:jc w:val="center"/>
            </w:pPr>
            <w:r w:rsidRPr="004218B6">
              <w:t>km²</w:t>
            </w:r>
          </w:p>
        </w:tc>
        <w:tc>
          <w:tcPr>
            <w:tcW w:w="521" w:type="pct"/>
            <w:vAlign w:val="center"/>
            <w:hideMark/>
          </w:tcPr>
          <w:p w14:paraId="7118673D" w14:textId="77777777" w:rsidR="00334388" w:rsidRPr="004218B6" w:rsidRDefault="00334388" w:rsidP="00B93D74">
            <w:pPr>
              <w:pBdr>
                <w:top w:val="nil"/>
                <w:left w:val="nil"/>
                <w:bottom w:val="nil"/>
                <w:right w:val="nil"/>
                <w:between w:val="nil"/>
              </w:pBdr>
              <w:spacing w:line="360" w:lineRule="auto"/>
              <w:jc w:val="center"/>
            </w:pPr>
            <w:r w:rsidRPr="004218B6">
              <w:t>2020</w:t>
            </w:r>
          </w:p>
        </w:tc>
      </w:tr>
      <w:tr w:rsidR="00334388" w:rsidRPr="004218B6" w14:paraId="33AAFFBA" w14:textId="77777777" w:rsidTr="00B93D74">
        <w:tc>
          <w:tcPr>
            <w:tcW w:w="1370" w:type="pct"/>
            <w:vAlign w:val="center"/>
            <w:hideMark/>
          </w:tcPr>
          <w:p w14:paraId="64C8B37F" w14:textId="77777777" w:rsidR="00334388" w:rsidRPr="004218B6" w:rsidRDefault="00334388" w:rsidP="00B93D74">
            <w:pPr>
              <w:pBdr>
                <w:top w:val="nil"/>
                <w:left w:val="nil"/>
                <w:bottom w:val="nil"/>
                <w:right w:val="nil"/>
                <w:between w:val="nil"/>
              </w:pBdr>
              <w:spacing w:line="360" w:lineRule="auto"/>
              <w:jc w:val="center"/>
            </w:pPr>
            <w:r w:rsidRPr="004218B6">
              <w:t>GH_BPC_TOT_2020</w:t>
            </w:r>
          </w:p>
        </w:tc>
        <w:tc>
          <w:tcPr>
            <w:tcW w:w="2322" w:type="pct"/>
            <w:vAlign w:val="center"/>
            <w:hideMark/>
          </w:tcPr>
          <w:p w14:paraId="029AF4E5" w14:textId="77777777" w:rsidR="00334388" w:rsidRPr="004218B6" w:rsidRDefault="00334388" w:rsidP="00B93D74">
            <w:pPr>
              <w:pBdr>
                <w:top w:val="nil"/>
                <w:left w:val="nil"/>
                <w:bottom w:val="nil"/>
                <w:right w:val="nil"/>
                <w:between w:val="nil"/>
              </w:pBdr>
              <w:spacing w:line="360" w:lineRule="auto"/>
              <w:jc w:val="center"/>
            </w:pPr>
            <w:r w:rsidRPr="004218B6">
              <w:t>Total built-up area</w:t>
            </w:r>
          </w:p>
        </w:tc>
        <w:tc>
          <w:tcPr>
            <w:tcW w:w="787" w:type="pct"/>
            <w:vAlign w:val="center"/>
            <w:hideMark/>
          </w:tcPr>
          <w:p w14:paraId="0DB19BEF" w14:textId="77777777" w:rsidR="00334388" w:rsidRPr="004218B6" w:rsidRDefault="00334388" w:rsidP="00B93D74">
            <w:pPr>
              <w:pBdr>
                <w:top w:val="nil"/>
                <w:left w:val="nil"/>
                <w:bottom w:val="nil"/>
                <w:right w:val="nil"/>
                <w:between w:val="nil"/>
              </w:pBdr>
              <w:spacing w:line="360" w:lineRule="auto"/>
              <w:jc w:val="center"/>
            </w:pPr>
            <w:r w:rsidRPr="004218B6">
              <w:t>km²</w:t>
            </w:r>
          </w:p>
        </w:tc>
        <w:tc>
          <w:tcPr>
            <w:tcW w:w="521" w:type="pct"/>
            <w:vAlign w:val="center"/>
            <w:hideMark/>
          </w:tcPr>
          <w:p w14:paraId="71B7CFC7" w14:textId="77777777" w:rsidR="00334388" w:rsidRPr="004218B6" w:rsidRDefault="00334388" w:rsidP="00B93D74">
            <w:pPr>
              <w:pBdr>
                <w:top w:val="nil"/>
                <w:left w:val="nil"/>
                <w:bottom w:val="nil"/>
                <w:right w:val="nil"/>
                <w:between w:val="nil"/>
              </w:pBdr>
              <w:spacing w:line="360" w:lineRule="auto"/>
              <w:jc w:val="center"/>
            </w:pPr>
            <w:r w:rsidRPr="004218B6">
              <w:t>2020</w:t>
            </w:r>
          </w:p>
        </w:tc>
      </w:tr>
      <w:tr w:rsidR="00334388" w:rsidRPr="004218B6" w14:paraId="0C8ADE86" w14:textId="77777777" w:rsidTr="00B93D74">
        <w:tc>
          <w:tcPr>
            <w:tcW w:w="1370" w:type="pct"/>
            <w:vAlign w:val="center"/>
            <w:hideMark/>
          </w:tcPr>
          <w:p w14:paraId="422154EB" w14:textId="77777777" w:rsidR="00334388" w:rsidRPr="004218B6" w:rsidRDefault="00334388" w:rsidP="00B93D74">
            <w:pPr>
              <w:pBdr>
                <w:top w:val="nil"/>
                <w:left w:val="nil"/>
                <w:bottom w:val="nil"/>
                <w:right w:val="nil"/>
                <w:between w:val="nil"/>
              </w:pBdr>
              <w:spacing w:line="360" w:lineRule="auto"/>
              <w:jc w:val="center"/>
            </w:pPr>
            <w:r w:rsidRPr="004218B6">
              <w:t>GH_POP_CAG_2020</w:t>
            </w:r>
          </w:p>
        </w:tc>
        <w:tc>
          <w:tcPr>
            <w:tcW w:w="2322" w:type="pct"/>
            <w:vAlign w:val="center"/>
            <w:hideMark/>
          </w:tcPr>
          <w:p w14:paraId="13C386C1" w14:textId="77777777" w:rsidR="00334388" w:rsidRPr="004218B6" w:rsidRDefault="00334388" w:rsidP="00B93D74">
            <w:pPr>
              <w:pBdr>
                <w:top w:val="nil"/>
                <w:left w:val="nil"/>
                <w:bottom w:val="nil"/>
                <w:right w:val="nil"/>
                <w:between w:val="nil"/>
              </w:pBdr>
              <w:spacing w:line="360" w:lineRule="auto"/>
              <w:jc w:val="center"/>
            </w:pPr>
            <w:r w:rsidRPr="004218B6">
              <w:t>Compound annual growth rate of population</w:t>
            </w:r>
          </w:p>
        </w:tc>
        <w:tc>
          <w:tcPr>
            <w:tcW w:w="787" w:type="pct"/>
            <w:vAlign w:val="center"/>
            <w:hideMark/>
          </w:tcPr>
          <w:p w14:paraId="4F154340" w14:textId="77777777" w:rsidR="00334388" w:rsidRPr="004218B6" w:rsidRDefault="00334388" w:rsidP="00B93D74">
            <w:pPr>
              <w:pBdr>
                <w:top w:val="nil"/>
                <w:left w:val="nil"/>
                <w:bottom w:val="nil"/>
                <w:right w:val="nil"/>
                <w:between w:val="nil"/>
              </w:pBdr>
              <w:spacing w:line="360" w:lineRule="auto"/>
              <w:jc w:val="center"/>
            </w:pPr>
            <w:r w:rsidRPr="004218B6">
              <w:t>% per year</w:t>
            </w:r>
          </w:p>
        </w:tc>
        <w:tc>
          <w:tcPr>
            <w:tcW w:w="521" w:type="pct"/>
            <w:vAlign w:val="center"/>
            <w:hideMark/>
          </w:tcPr>
          <w:p w14:paraId="7DC1BD5F" w14:textId="77777777" w:rsidR="00334388" w:rsidRPr="004218B6" w:rsidRDefault="00334388" w:rsidP="00B93D74">
            <w:pPr>
              <w:pBdr>
                <w:top w:val="nil"/>
                <w:left w:val="nil"/>
                <w:bottom w:val="nil"/>
                <w:right w:val="nil"/>
                <w:between w:val="nil"/>
              </w:pBdr>
              <w:spacing w:line="360" w:lineRule="auto"/>
              <w:jc w:val="center"/>
            </w:pPr>
            <w:r w:rsidRPr="004218B6">
              <w:t>2020</w:t>
            </w:r>
          </w:p>
        </w:tc>
      </w:tr>
      <w:tr w:rsidR="00334388" w:rsidRPr="004218B6" w14:paraId="744EC3C5" w14:textId="77777777" w:rsidTr="00B93D74">
        <w:tc>
          <w:tcPr>
            <w:tcW w:w="1370" w:type="pct"/>
            <w:vAlign w:val="center"/>
            <w:hideMark/>
          </w:tcPr>
          <w:p w14:paraId="46877BA4" w14:textId="77777777" w:rsidR="00334388" w:rsidRPr="004218B6" w:rsidRDefault="00334388" w:rsidP="00B93D74">
            <w:pPr>
              <w:pBdr>
                <w:top w:val="nil"/>
                <w:left w:val="nil"/>
                <w:bottom w:val="nil"/>
                <w:right w:val="nil"/>
                <w:between w:val="nil"/>
              </w:pBdr>
              <w:spacing w:line="360" w:lineRule="auto"/>
              <w:jc w:val="center"/>
            </w:pPr>
            <w:r w:rsidRPr="004218B6">
              <w:t>GH_BUS_TOT_2000</w:t>
            </w:r>
          </w:p>
        </w:tc>
        <w:tc>
          <w:tcPr>
            <w:tcW w:w="2322" w:type="pct"/>
            <w:vAlign w:val="center"/>
            <w:hideMark/>
          </w:tcPr>
          <w:p w14:paraId="569F2EEC" w14:textId="77777777" w:rsidR="00334388" w:rsidRPr="004218B6" w:rsidRDefault="00334388" w:rsidP="00B93D74">
            <w:pPr>
              <w:pBdr>
                <w:top w:val="nil"/>
                <w:left w:val="nil"/>
                <w:bottom w:val="nil"/>
                <w:right w:val="nil"/>
                <w:between w:val="nil"/>
              </w:pBdr>
              <w:spacing w:line="360" w:lineRule="auto"/>
              <w:jc w:val="center"/>
            </w:pPr>
            <w:r w:rsidRPr="004218B6">
              <w:t>Total building-stock volume (year 2000)</w:t>
            </w:r>
          </w:p>
        </w:tc>
        <w:tc>
          <w:tcPr>
            <w:tcW w:w="787" w:type="pct"/>
            <w:vAlign w:val="center"/>
            <w:hideMark/>
          </w:tcPr>
          <w:p w14:paraId="33D8069A" w14:textId="77777777" w:rsidR="00334388" w:rsidRPr="004218B6" w:rsidRDefault="00334388" w:rsidP="00B93D74">
            <w:pPr>
              <w:pBdr>
                <w:top w:val="nil"/>
                <w:left w:val="nil"/>
                <w:bottom w:val="nil"/>
                <w:right w:val="nil"/>
                <w:between w:val="nil"/>
              </w:pBdr>
              <w:spacing w:line="360" w:lineRule="auto"/>
              <w:jc w:val="center"/>
            </w:pPr>
            <w:r w:rsidRPr="004218B6">
              <w:t>m³</w:t>
            </w:r>
          </w:p>
        </w:tc>
        <w:tc>
          <w:tcPr>
            <w:tcW w:w="521" w:type="pct"/>
            <w:vAlign w:val="center"/>
            <w:hideMark/>
          </w:tcPr>
          <w:p w14:paraId="018206E2" w14:textId="77777777" w:rsidR="00334388" w:rsidRPr="004218B6" w:rsidRDefault="00334388" w:rsidP="00B93D74">
            <w:pPr>
              <w:pBdr>
                <w:top w:val="nil"/>
                <w:left w:val="nil"/>
                <w:bottom w:val="nil"/>
                <w:right w:val="nil"/>
                <w:between w:val="nil"/>
              </w:pBdr>
              <w:spacing w:line="360" w:lineRule="auto"/>
              <w:jc w:val="center"/>
            </w:pPr>
            <w:r w:rsidRPr="004218B6">
              <w:t>2000</w:t>
            </w:r>
          </w:p>
        </w:tc>
      </w:tr>
      <w:tr w:rsidR="00334388" w:rsidRPr="004218B6" w14:paraId="7BD2E301" w14:textId="77777777" w:rsidTr="00B93D74">
        <w:tc>
          <w:tcPr>
            <w:tcW w:w="1370" w:type="pct"/>
            <w:vAlign w:val="center"/>
            <w:hideMark/>
          </w:tcPr>
          <w:p w14:paraId="0CB95B33" w14:textId="77777777" w:rsidR="00334388" w:rsidRPr="004218B6" w:rsidRDefault="00334388" w:rsidP="00B93D74">
            <w:pPr>
              <w:pBdr>
                <w:top w:val="nil"/>
                <w:left w:val="nil"/>
                <w:bottom w:val="nil"/>
                <w:right w:val="nil"/>
                <w:between w:val="nil"/>
              </w:pBdr>
              <w:spacing w:line="360" w:lineRule="auto"/>
              <w:jc w:val="center"/>
            </w:pPr>
            <w:r w:rsidRPr="004218B6">
              <w:t>GH_BUS_TOT_2020</w:t>
            </w:r>
          </w:p>
        </w:tc>
        <w:tc>
          <w:tcPr>
            <w:tcW w:w="2322" w:type="pct"/>
            <w:vAlign w:val="center"/>
            <w:hideMark/>
          </w:tcPr>
          <w:p w14:paraId="3DEC717E" w14:textId="77777777" w:rsidR="00334388" w:rsidRPr="004218B6" w:rsidRDefault="00334388" w:rsidP="00B93D74">
            <w:pPr>
              <w:pBdr>
                <w:top w:val="nil"/>
                <w:left w:val="nil"/>
                <w:bottom w:val="nil"/>
                <w:right w:val="nil"/>
                <w:between w:val="nil"/>
              </w:pBdr>
              <w:spacing w:line="360" w:lineRule="auto"/>
              <w:jc w:val="center"/>
            </w:pPr>
            <w:r w:rsidRPr="004218B6">
              <w:t>Total building-stock volume (year 2020)</w:t>
            </w:r>
          </w:p>
        </w:tc>
        <w:tc>
          <w:tcPr>
            <w:tcW w:w="787" w:type="pct"/>
            <w:vAlign w:val="center"/>
            <w:hideMark/>
          </w:tcPr>
          <w:p w14:paraId="32CAD0EE" w14:textId="77777777" w:rsidR="00334388" w:rsidRPr="004218B6" w:rsidRDefault="00334388" w:rsidP="00B93D74">
            <w:pPr>
              <w:pBdr>
                <w:top w:val="nil"/>
                <w:left w:val="nil"/>
                <w:bottom w:val="nil"/>
                <w:right w:val="nil"/>
                <w:between w:val="nil"/>
              </w:pBdr>
              <w:spacing w:line="360" w:lineRule="auto"/>
              <w:jc w:val="center"/>
            </w:pPr>
            <w:r w:rsidRPr="004218B6">
              <w:t>m³</w:t>
            </w:r>
          </w:p>
        </w:tc>
        <w:tc>
          <w:tcPr>
            <w:tcW w:w="521" w:type="pct"/>
            <w:vAlign w:val="center"/>
            <w:hideMark/>
          </w:tcPr>
          <w:p w14:paraId="29BE125A" w14:textId="77777777" w:rsidR="00334388" w:rsidRPr="004218B6" w:rsidRDefault="00334388" w:rsidP="00B93D74">
            <w:pPr>
              <w:pBdr>
                <w:top w:val="nil"/>
                <w:left w:val="nil"/>
                <w:bottom w:val="nil"/>
                <w:right w:val="nil"/>
                <w:between w:val="nil"/>
              </w:pBdr>
              <w:spacing w:line="360" w:lineRule="auto"/>
              <w:jc w:val="center"/>
            </w:pPr>
            <w:r w:rsidRPr="004218B6">
              <w:t>2020</w:t>
            </w:r>
          </w:p>
        </w:tc>
      </w:tr>
      <w:tr w:rsidR="00334388" w:rsidRPr="004218B6" w14:paraId="1B135FF4" w14:textId="77777777" w:rsidTr="00B93D74">
        <w:tc>
          <w:tcPr>
            <w:tcW w:w="1370" w:type="pct"/>
            <w:vAlign w:val="center"/>
            <w:hideMark/>
          </w:tcPr>
          <w:p w14:paraId="645B952C" w14:textId="77777777" w:rsidR="00334388" w:rsidRPr="004218B6" w:rsidRDefault="00334388" w:rsidP="00B93D74">
            <w:pPr>
              <w:pBdr>
                <w:top w:val="nil"/>
                <w:left w:val="nil"/>
                <w:bottom w:val="nil"/>
                <w:right w:val="nil"/>
                <w:between w:val="nil"/>
              </w:pBdr>
              <w:spacing w:line="360" w:lineRule="auto"/>
              <w:jc w:val="center"/>
            </w:pPr>
            <w:r w:rsidRPr="004218B6">
              <w:t>GC_DEV_WIG_2025</w:t>
            </w:r>
          </w:p>
        </w:tc>
        <w:tc>
          <w:tcPr>
            <w:tcW w:w="2322" w:type="pct"/>
            <w:vAlign w:val="center"/>
            <w:hideMark/>
          </w:tcPr>
          <w:p w14:paraId="2876A3E9" w14:textId="77777777" w:rsidR="00334388" w:rsidRPr="004218B6" w:rsidRDefault="00334388" w:rsidP="00B93D74">
            <w:pPr>
              <w:pBdr>
                <w:top w:val="nil"/>
                <w:left w:val="nil"/>
                <w:bottom w:val="nil"/>
                <w:right w:val="nil"/>
                <w:between w:val="nil"/>
              </w:pBdr>
              <w:spacing w:line="360" w:lineRule="auto"/>
              <w:jc w:val="center"/>
            </w:pPr>
            <w:r w:rsidRPr="004218B6">
              <w:t>Weighted infrastructure gap index</w:t>
            </w:r>
          </w:p>
        </w:tc>
        <w:tc>
          <w:tcPr>
            <w:tcW w:w="787" w:type="pct"/>
            <w:vAlign w:val="center"/>
            <w:hideMark/>
          </w:tcPr>
          <w:p w14:paraId="6A7ADCD6" w14:textId="77777777" w:rsidR="00334388" w:rsidRPr="004218B6" w:rsidRDefault="00334388" w:rsidP="00B93D74">
            <w:pPr>
              <w:pBdr>
                <w:top w:val="nil"/>
                <w:left w:val="nil"/>
                <w:bottom w:val="nil"/>
                <w:right w:val="nil"/>
                <w:between w:val="nil"/>
              </w:pBdr>
              <w:spacing w:line="360" w:lineRule="auto"/>
              <w:jc w:val="center"/>
            </w:pPr>
            <w:r w:rsidRPr="004218B6">
              <w:t>index (0–1)</w:t>
            </w:r>
          </w:p>
        </w:tc>
        <w:tc>
          <w:tcPr>
            <w:tcW w:w="521" w:type="pct"/>
            <w:vAlign w:val="center"/>
            <w:hideMark/>
          </w:tcPr>
          <w:p w14:paraId="0676EA9E" w14:textId="77777777" w:rsidR="00334388" w:rsidRPr="004218B6" w:rsidRDefault="00334388" w:rsidP="00B93D74">
            <w:pPr>
              <w:pBdr>
                <w:top w:val="nil"/>
                <w:left w:val="nil"/>
                <w:bottom w:val="nil"/>
                <w:right w:val="nil"/>
                <w:between w:val="nil"/>
              </w:pBdr>
              <w:spacing w:line="360" w:lineRule="auto"/>
              <w:jc w:val="center"/>
            </w:pPr>
            <w:r w:rsidRPr="004218B6">
              <w:t>2025</w:t>
            </w:r>
          </w:p>
        </w:tc>
      </w:tr>
      <w:tr w:rsidR="00334388" w:rsidRPr="004218B6" w14:paraId="3796CD08" w14:textId="77777777" w:rsidTr="00B93D74">
        <w:tc>
          <w:tcPr>
            <w:tcW w:w="1370" w:type="pct"/>
            <w:vAlign w:val="center"/>
            <w:hideMark/>
          </w:tcPr>
          <w:p w14:paraId="5154E217" w14:textId="77777777" w:rsidR="00334388" w:rsidRPr="004218B6" w:rsidRDefault="00334388" w:rsidP="00B93D74">
            <w:pPr>
              <w:pBdr>
                <w:top w:val="nil"/>
                <w:left w:val="nil"/>
                <w:bottom w:val="nil"/>
                <w:right w:val="nil"/>
                <w:between w:val="nil"/>
              </w:pBdr>
              <w:spacing w:line="360" w:lineRule="auto"/>
              <w:jc w:val="center"/>
            </w:pPr>
            <w:r w:rsidRPr="004218B6">
              <w:t>GC_DEV_USR_2025</w:t>
            </w:r>
          </w:p>
        </w:tc>
        <w:tc>
          <w:tcPr>
            <w:tcW w:w="2322" w:type="pct"/>
            <w:vAlign w:val="center"/>
            <w:hideMark/>
          </w:tcPr>
          <w:p w14:paraId="40726D03" w14:textId="77777777" w:rsidR="00334388" w:rsidRPr="004218B6" w:rsidRDefault="00334388" w:rsidP="00B93D74">
            <w:pPr>
              <w:pBdr>
                <w:top w:val="nil"/>
                <w:left w:val="nil"/>
                <w:bottom w:val="nil"/>
                <w:right w:val="nil"/>
                <w:between w:val="nil"/>
              </w:pBdr>
              <w:spacing w:line="360" w:lineRule="auto"/>
              <w:jc w:val="center"/>
            </w:pPr>
            <w:r w:rsidRPr="004218B6">
              <w:t>Urban service readiness index</w:t>
            </w:r>
          </w:p>
        </w:tc>
        <w:tc>
          <w:tcPr>
            <w:tcW w:w="787" w:type="pct"/>
            <w:vAlign w:val="center"/>
            <w:hideMark/>
          </w:tcPr>
          <w:p w14:paraId="00CCF212" w14:textId="77777777" w:rsidR="00334388" w:rsidRPr="004218B6" w:rsidRDefault="00334388" w:rsidP="00B93D74">
            <w:pPr>
              <w:pBdr>
                <w:top w:val="nil"/>
                <w:left w:val="nil"/>
                <w:bottom w:val="nil"/>
                <w:right w:val="nil"/>
                <w:between w:val="nil"/>
              </w:pBdr>
              <w:spacing w:line="360" w:lineRule="auto"/>
              <w:jc w:val="center"/>
            </w:pPr>
            <w:r w:rsidRPr="004218B6">
              <w:t>index (0–1)</w:t>
            </w:r>
          </w:p>
        </w:tc>
        <w:tc>
          <w:tcPr>
            <w:tcW w:w="521" w:type="pct"/>
            <w:vAlign w:val="center"/>
            <w:hideMark/>
          </w:tcPr>
          <w:p w14:paraId="516F582E" w14:textId="77777777" w:rsidR="00334388" w:rsidRPr="004218B6" w:rsidRDefault="00334388" w:rsidP="00B93D74">
            <w:pPr>
              <w:pBdr>
                <w:top w:val="nil"/>
                <w:left w:val="nil"/>
                <w:bottom w:val="nil"/>
                <w:right w:val="nil"/>
                <w:between w:val="nil"/>
              </w:pBdr>
              <w:spacing w:line="360" w:lineRule="auto"/>
              <w:jc w:val="center"/>
            </w:pPr>
            <w:r w:rsidRPr="004218B6">
              <w:t>2025</w:t>
            </w:r>
          </w:p>
        </w:tc>
      </w:tr>
    </w:tbl>
    <w:p w14:paraId="2F447590" w14:textId="77777777" w:rsidR="00334388" w:rsidRPr="004218B6" w:rsidRDefault="00334388" w:rsidP="00334388">
      <w:pPr>
        <w:pBdr>
          <w:top w:val="nil"/>
          <w:left w:val="nil"/>
          <w:bottom w:val="nil"/>
          <w:right w:val="nil"/>
          <w:between w:val="nil"/>
        </w:pBdr>
        <w:spacing w:line="360" w:lineRule="auto"/>
        <w:jc w:val="both"/>
        <w:rPr>
          <w:b/>
        </w:rPr>
      </w:pPr>
    </w:p>
    <w:p w14:paraId="705EDDFE" w14:textId="77777777" w:rsidR="00334388" w:rsidRPr="004218B6" w:rsidRDefault="00334388" w:rsidP="00334388">
      <w:pPr>
        <w:jc w:val="both"/>
      </w:pPr>
      <w:r w:rsidRPr="004218B6">
        <w:rPr>
          <w:noProof/>
        </w:rPr>
        <w:drawing>
          <wp:inline distT="114300" distB="114300" distL="114300" distR="114300" wp14:anchorId="7D2B6336" wp14:editId="048A0E99">
            <wp:extent cx="5731200" cy="1714500"/>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3"/>
                    <a:srcRect/>
                    <a:stretch>
                      <a:fillRect/>
                    </a:stretch>
                  </pic:blipFill>
                  <pic:spPr>
                    <a:xfrm>
                      <a:off x="0" y="0"/>
                      <a:ext cx="5731200" cy="1714500"/>
                    </a:xfrm>
                    <a:prstGeom prst="rect">
                      <a:avLst/>
                    </a:prstGeom>
                    <a:ln/>
                  </pic:spPr>
                </pic:pic>
              </a:graphicData>
            </a:graphic>
          </wp:inline>
        </w:drawing>
      </w:r>
    </w:p>
    <w:p w14:paraId="02773A76" w14:textId="77777777" w:rsidR="00334388" w:rsidRPr="004218B6" w:rsidRDefault="00334388" w:rsidP="00334388">
      <w:pPr>
        <w:spacing w:line="276" w:lineRule="auto"/>
        <w:jc w:val="both"/>
        <w:rPr>
          <w:b/>
        </w:rPr>
      </w:pPr>
      <w:r w:rsidRPr="004218B6">
        <w:rPr>
          <w:b/>
        </w:rPr>
        <w:t>Supplementary Figure 9 City dissimilarity heatmap</w:t>
      </w:r>
    </w:p>
    <w:p w14:paraId="330A649C" w14:textId="77777777" w:rsidR="00334388" w:rsidRPr="004218B6" w:rsidRDefault="00334388" w:rsidP="00334388">
      <w:pPr>
        <w:jc w:val="both"/>
        <w:rPr>
          <w:b/>
        </w:rPr>
      </w:pPr>
    </w:p>
    <w:p w14:paraId="30C280CD" w14:textId="77777777" w:rsidR="00334388" w:rsidRPr="004218B6" w:rsidRDefault="00334388" w:rsidP="00334388">
      <w:pPr>
        <w:pBdr>
          <w:top w:val="nil"/>
          <w:left w:val="nil"/>
          <w:bottom w:val="nil"/>
          <w:right w:val="nil"/>
          <w:between w:val="nil"/>
        </w:pBdr>
        <w:spacing w:before="200" w:after="200"/>
        <w:jc w:val="both"/>
        <w:rPr>
          <w:b/>
          <w:sz w:val="28"/>
          <w:szCs w:val="28"/>
        </w:rPr>
      </w:pPr>
      <w:r w:rsidRPr="004218B6">
        <w:rPr>
          <w:b/>
          <w:sz w:val="28"/>
          <w:szCs w:val="28"/>
        </w:rPr>
        <w:t>C. Spatial variation in informal settlement prevalence</w:t>
      </w:r>
    </w:p>
    <w:p w14:paraId="30D417EF" w14:textId="77777777" w:rsidR="00334388" w:rsidRPr="004218B6" w:rsidRDefault="00334388" w:rsidP="00334388">
      <w:pPr>
        <w:pBdr>
          <w:top w:val="nil"/>
          <w:left w:val="nil"/>
          <w:bottom w:val="nil"/>
          <w:right w:val="nil"/>
          <w:between w:val="nil"/>
        </w:pBdr>
        <w:spacing w:line="480" w:lineRule="auto"/>
        <w:jc w:val="both"/>
      </w:pPr>
      <w:r w:rsidRPr="004218B6">
        <w:t xml:space="preserve">We group pixel probabilities into five bins in Supplementary Figure 10 to describe how common morphological informality is within each city’s mapped settlement area: Baseline (0.0-0.2) very low; Diffuse (0.2-0.4) low; Mixed (0.4-0.6) mid; Elevated (0.6-0.8) high; and </w:t>
      </w:r>
      <w:r w:rsidRPr="004218B6">
        <w:lastRenderedPageBreak/>
        <w:t xml:space="preserve">Peak (0.8-1.0) very high. These bins summarize the proportion of settlement area associated with different probability levels, rather than the spatial configuration or clustering of morphologically informal settlements. Across 84 cities, most settlement extents fall into Baseline accounting for 63.8% (median, IQR: 51.3-77.8) of settlement areas, Diffuse 16.4% (11.7-23.1), Mixed 7.6% (4.7-11.5), Elevated 4.1% (2.1-7.3) and Peak 2.2% (0.8-5.2), demonstrating many cities are dominated by low probabilities, while a smaller subset carries notable shares in the upper bins. </w:t>
      </w:r>
    </w:p>
    <w:p w14:paraId="53A6EF09" w14:textId="77777777" w:rsidR="00334388" w:rsidRPr="004218B6" w:rsidRDefault="00334388" w:rsidP="00334388">
      <w:pPr>
        <w:pBdr>
          <w:top w:val="nil"/>
          <w:left w:val="nil"/>
          <w:bottom w:val="nil"/>
          <w:right w:val="nil"/>
          <w:between w:val="nil"/>
        </w:pBdr>
        <w:spacing w:line="480" w:lineRule="auto"/>
        <w:ind w:firstLine="720"/>
        <w:jc w:val="both"/>
      </w:pPr>
      <w:r w:rsidRPr="004218B6">
        <w:t>Examining the Peak bin alone, ~26% of cities exceed 5% and ~6% exceed 10% settlement area belonging to Peak. Using both the Elevated and Peak (≥0.6) bins as a simple indicator of how often strong informal-settlement signals occur within a city, ~39% of cities have ≥10% of settlement areas in these upper bins and ~5% reach ≥20%. Using a broad operational cut (Mixed + Elevated + Peak ≥0.4), ~23% of cities have ≥25% of settlement pixels at or above this level, indicating that non-Baseline probabilities are widespread even in cities where the highest-probability (Peak) areas remain limited in extent.</w:t>
      </w:r>
    </w:p>
    <w:p w14:paraId="462D037C" w14:textId="77777777" w:rsidR="00334388" w:rsidRPr="004218B6" w:rsidRDefault="00334388" w:rsidP="00334388">
      <w:pPr>
        <w:pBdr>
          <w:top w:val="nil"/>
          <w:left w:val="nil"/>
          <w:bottom w:val="nil"/>
          <w:right w:val="nil"/>
          <w:between w:val="nil"/>
        </w:pBdr>
        <w:spacing w:line="480" w:lineRule="auto"/>
        <w:ind w:firstLine="720"/>
        <w:jc w:val="both"/>
      </w:pPr>
      <w:r w:rsidRPr="004218B6">
        <w:t xml:space="preserve">Regional contrasts exist in the data. Central Africa has the lowest Baseline share and the strongest Peak presence (48.5% Baseline; 27.5% Diffuse; 11.6% Mixed; 6.3% Elevated; 6.1% Peak). East Africa (65.1/17.6/8.4/5.1/3.9) and North Africa (62.2/18.9/10.1/5.1/3.6) sit mid-range, while Southern Africa shows a broadly comparable distribution (66.3/16.9/8.2/5.0/3.6). West Africa shows the highest Baseline and the smallest Peak share (70.1/14.1/7.8/4.9/3.1). A complementary city-level perspective, in which each city is weighted equally rather than by settlement area, shows a consistent pattern. The fraction of cities with ≥10% of settlement area in the Elevated + Peak bins is highest in East Africa (60%) and North Africa (57.1%), followed by Southern (40%), Central (36.4%), and West Africa (26.5%). Across all regions, few cities have ≥20% of settlement pixels in the Elevated </w:t>
      </w:r>
      <w:r w:rsidRPr="004218B6">
        <w:lastRenderedPageBreak/>
        <w:t>+ Peak bins, indicating that very high prevalence is uncommon even where moderate levels of morphological informality are widespread.</w:t>
      </w:r>
    </w:p>
    <w:p w14:paraId="47EB965F" w14:textId="77777777" w:rsidR="00334388" w:rsidRPr="004218B6" w:rsidRDefault="00334388" w:rsidP="00334388">
      <w:pPr>
        <w:jc w:val="both"/>
      </w:pPr>
      <w:r w:rsidRPr="004218B6">
        <w:rPr>
          <w:noProof/>
        </w:rPr>
        <w:drawing>
          <wp:inline distT="0" distB="0" distL="0" distR="0" wp14:anchorId="3F5EC059" wp14:editId="3105FC16">
            <wp:extent cx="5731510" cy="7160895"/>
            <wp:effectExtent l="0" t="0" r="2540" b="1905"/>
            <wp:docPr id="1502031248"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031248" name="Picture 1" descr="A screenshot of a graph&#10;&#10;AI-generated content may be incorrect."/>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731510" cy="7160895"/>
                    </a:xfrm>
                    <a:prstGeom prst="rect">
                      <a:avLst/>
                    </a:prstGeom>
                    <a:noFill/>
                    <a:ln>
                      <a:noFill/>
                    </a:ln>
                  </pic:spPr>
                </pic:pic>
              </a:graphicData>
            </a:graphic>
          </wp:inline>
        </w:drawing>
      </w:r>
    </w:p>
    <w:p w14:paraId="33F48AB0" w14:textId="77777777" w:rsidR="00334388" w:rsidRPr="004218B6" w:rsidRDefault="00334388" w:rsidP="00334388">
      <w:pPr>
        <w:spacing w:after="120" w:line="276" w:lineRule="auto"/>
        <w:jc w:val="both"/>
      </w:pPr>
      <w:r w:rsidRPr="004218B6">
        <w:rPr>
          <w:b/>
        </w:rPr>
        <w:t xml:space="preserve">Supplementary Figure 10 City-level distributions of morphological informality probabilities in 2023. </w:t>
      </w:r>
      <w:r w:rsidRPr="004218B6">
        <w:t>Proportion of settlement pixels across five probability intervals for 84 African cities with populations greater than one million in 2025. Bars are ordered by the share of pixels in the highest probability bin [0.8,1.0] (red). Colors indicate probability intervals, from [0,0.2) (grey) to [0.8,1.0] (red).</w:t>
      </w:r>
    </w:p>
    <w:p w14:paraId="4779430D" w14:textId="77777777" w:rsidR="00334388" w:rsidRPr="004218B6" w:rsidRDefault="00334388" w:rsidP="00334388">
      <w:pPr>
        <w:pBdr>
          <w:top w:val="nil"/>
          <w:left w:val="nil"/>
          <w:bottom w:val="nil"/>
          <w:right w:val="nil"/>
          <w:between w:val="nil"/>
        </w:pBdr>
        <w:spacing w:before="200" w:after="200"/>
        <w:jc w:val="both"/>
        <w:rPr>
          <w:b/>
        </w:rPr>
      </w:pPr>
    </w:p>
    <w:p w14:paraId="120E1DA5" w14:textId="77777777" w:rsidR="00334388" w:rsidRPr="004218B6" w:rsidRDefault="00334388" w:rsidP="00334388">
      <w:pPr>
        <w:pBdr>
          <w:top w:val="nil"/>
          <w:left w:val="nil"/>
          <w:bottom w:val="nil"/>
          <w:right w:val="nil"/>
          <w:between w:val="nil"/>
        </w:pBdr>
        <w:spacing w:before="200" w:after="200"/>
        <w:jc w:val="both"/>
        <w:rPr>
          <w:b/>
        </w:rPr>
      </w:pPr>
      <w:r w:rsidRPr="004218B6">
        <w:rPr>
          <w:b/>
          <w:sz w:val="28"/>
          <w:szCs w:val="28"/>
        </w:rPr>
        <w:t>D. Estimating thresholds for binary classification</w:t>
      </w:r>
    </w:p>
    <w:p w14:paraId="42940734" w14:textId="77777777" w:rsidR="00334388" w:rsidRPr="004218B6" w:rsidRDefault="00334388" w:rsidP="00334388">
      <w:pPr>
        <w:spacing w:before="240" w:after="240"/>
      </w:pPr>
      <w:r w:rsidRPr="004218B6">
        <w:t>To translate continuous slum probability surfaces into binary maps, we implemented a two-step calibration procedure at the country level.</w:t>
      </w:r>
    </w:p>
    <w:p w14:paraId="43E51B93" w14:textId="77777777" w:rsidR="00334388" w:rsidRPr="004218B6" w:rsidRDefault="00334388" w:rsidP="00334388">
      <w:pPr>
        <w:rPr>
          <w:b/>
        </w:rPr>
      </w:pPr>
      <w:r w:rsidRPr="004218B6">
        <w:rPr>
          <w:b/>
        </w:rPr>
        <w:t>Input data.</w:t>
      </w:r>
    </w:p>
    <w:p w14:paraId="475FAD65" w14:textId="77777777" w:rsidR="00334388" w:rsidRPr="004218B6" w:rsidRDefault="00334388" w:rsidP="00334388">
      <w:pPr>
        <w:spacing w:before="240" w:after="240"/>
      </w:pPr>
      <w:r w:rsidRPr="004218B6">
        <w:t>We used 10 m resolution informal-settlement probability maps produced by ensemble models (see Methods, main text), aggregated to 100 m to align with WorldPop Global 2 population data (2025 release). Urban boundaries for each city were defined from the GHSL settlement polygons. National reference statistics on the percentage of urban populations living in slums were compiled from UN-Habitat sources (</w:t>
      </w:r>
      <w:hyperlink r:id="rId15" w:history="1">
        <w:r w:rsidRPr="004218B6">
          <w:rPr>
            <w:rStyle w:val="Hyperlink"/>
          </w:rPr>
          <w:t>https://data.unhabitat.org/pages/housing-slums-and-informal-settlements</w:t>
        </w:r>
      </w:hyperlink>
      <w:r w:rsidRPr="004218B6">
        <w:t>).</w:t>
      </w:r>
    </w:p>
    <w:p w14:paraId="3C8BD11C" w14:textId="77777777" w:rsidR="00334388" w:rsidRPr="004218B6" w:rsidRDefault="00334388" w:rsidP="00334388">
      <w:pPr>
        <w:rPr>
          <w:b/>
        </w:rPr>
      </w:pPr>
      <w:r w:rsidRPr="004218B6">
        <w:rPr>
          <w:b/>
        </w:rPr>
        <w:t>Threshold search.</w:t>
      </w:r>
    </w:p>
    <w:p w14:paraId="5AE1FBB5" w14:textId="77777777" w:rsidR="00334388" w:rsidRPr="004218B6" w:rsidRDefault="00334388" w:rsidP="00334388">
      <w:pPr>
        <w:spacing w:before="240" w:after="240"/>
      </w:pPr>
      <w:r w:rsidRPr="004218B6">
        <w:t>For each country, all cities within national boundaries were processed jointly. Within each city, we masked WorldPop population surface data to the urban extent, and overlaid them with aggregated slum probability grids. Candidate thresholds were tested from 0.00 to 1.00 in 0.01 increments. For each threshold, we calculated the share of the national urban population classified as informal, summing across all city extents. The optimal threshold was defined as the value minimizing the absolute difference between estimated and reported national shares.</w:t>
      </w:r>
    </w:p>
    <w:p w14:paraId="2A82351C" w14:textId="77777777" w:rsidR="00334388" w:rsidRPr="004218B6" w:rsidRDefault="00334388" w:rsidP="00334388">
      <w:pPr>
        <w:rPr>
          <w:b/>
        </w:rPr>
      </w:pPr>
      <w:r w:rsidRPr="004218B6">
        <w:rPr>
          <w:b/>
        </w:rPr>
        <w:t>Model-based calibration</w:t>
      </w:r>
    </w:p>
    <w:p w14:paraId="603C2B4B" w14:textId="77777777" w:rsidR="00334388" w:rsidRPr="004218B6" w:rsidRDefault="00334388" w:rsidP="00334388">
      <w:r w:rsidRPr="004218B6">
        <w:t>To improve consistency across countries, we fitted a nonlinear logistic model relating calibrated thresholds (Y) to predictors including reported share, estimated share, and their ratio. The model took the form:</w:t>
      </w:r>
    </w:p>
    <w:p w14:paraId="7F55B7F4" w14:textId="77777777" w:rsidR="00334388" w:rsidRPr="004218B6" w:rsidRDefault="00334388" w:rsidP="00334388">
      <w:pPr>
        <w:spacing w:before="200" w:after="200"/>
        <w:jc w:val="center"/>
      </w:pPr>
      <m:oMath>
        <m:r>
          <m:rPr>
            <m:sty m:val="p"/>
          </m:rPr>
          <w:rPr>
            <w:rFonts w:ascii="Cambria Math" w:eastAsia="Gungsuh" w:hAnsi="Cambria Math" w:cs="Gungsuh"/>
          </w:rPr>
          <m:t>Y=threshold+</m:t>
        </m:r>
        <m:d>
          <m:dPr>
            <m:ctrlPr>
              <w:rPr>
                <w:rFonts w:ascii="Cambria Math" w:eastAsia="Gungsuh" w:hAnsi="Cambria Math" w:cs="Gungsuh"/>
              </w:rPr>
            </m:ctrlPr>
          </m:dPr>
          <m:e>
            <m:r>
              <m:rPr>
                <m:sty m:val="p"/>
              </m:rPr>
              <w:rPr>
                <w:rFonts w:ascii="Cambria Math" w:eastAsia="Gungsuh" w:hAnsi="Cambria Math" w:cs="Gungsuh"/>
              </w:rPr>
              <m:t>1-threshold</m:t>
            </m:r>
          </m:e>
        </m:d>
        <m:r>
          <m:rPr>
            <m:sty m:val="p"/>
          </m:rPr>
          <w:rPr>
            <w:rFonts w:ascii="Cambria Math" w:eastAsia="Gungsuh" w:hAnsi="Cambria Math" w:cs="Gungsuh"/>
          </w:rPr>
          <m:t>*L(a+b1⋅reported_share+b2⋅estimated_share+b3⋅share_ratio)</m:t>
        </m:r>
      </m:oMath>
      <w:r w:rsidRPr="004218B6">
        <w:rPr>
          <w:rFonts w:ascii="Gungsuh" w:eastAsia="Gungsuh" w:hAnsi="Gungsuh" w:cs="Gungsuh"/>
        </w:rPr>
        <w:t>,</w:t>
      </w:r>
    </w:p>
    <w:p w14:paraId="167F186F" w14:textId="77777777" w:rsidR="00334388" w:rsidRPr="004218B6" w:rsidRDefault="00334388" w:rsidP="00334388">
      <w:pPr>
        <w:jc w:val="both"/>
      </w:pPr>
      <w:r w:rsidRPr="004218B6">
        <w:t xml:space="preserve">where </w:t>
      </w:r>
      <m:oMath>
        <m:r>
          <m:rPr>
            <m:sty m:val="p"/>
          </m:rPr>
          <w:rPr>
            <w:rFonts w:ascii="Cambria Math" w:eastAsia="Gungsuh" w:hAnsi="Cambria Math" w:cs="Gungsuh"/>
          </w:rPr>
          <m:t>L</m:t>
        </m:r>
        <m:r>
          <m:rPr>
            <m:sty m:val="p"/>
          </m:rPr>
          <w:rPr>
            <w:rFonts w:ascii="Cambria Math" w:hAnsi="Cambria Math"/>
          </w:rPr>
          <m:t>(∙)</m:t>
        </m:r>
      </m:oMath>
      <w:r w:rsidRPr="004218B6">
        <w:t xml:space="preserve"> is the logistic function. Model fitting used nonlinear least squares, with performance evaluated via R² = 0.48, RMSE = 0.097, MAE = 0.072. Information criteria indicated good model fit (AIC = –4.65; BIC = –4.25). The fitted model was then used to update country-level thresholds, ensuring coherence with both city-level probabilities and national statistics.</w:t>
      </w:r>
    </w:p>
    <w:p w14:paraId="24D9197E" w14:textId="77777777" w:rsidR="00334388" w:rsidRPr="004218B6" w:rsidRDefault="00334388" w:rsidP="00334388">
      <w:pPr>
        <w:pBdr>
          <w:top w:val="nil"/>
          <w:left w:val="nil"/>
          <w:bottom w:val="nil"/>
          <w:right w:val="nil"/>
          <w:between w:val="nil"/>
        </w:pBdr>
        <w:spacing w:before="200" w:after="200"/>
        <w:jc w:val="both"/>
        <w:rPr>
          <w:b/>
        </w:rPr>
      </w:pPr>
      <w:r w:rsidRPr="004218B6">
        <w:rPr>
          <w:b/>
          <w:sz w:val="28"/>
          <w:szCs w:val="28"/>
        </w:rPr>
        <w:t>E. AI-based validation with image analysis</w:t>
      </w:r>
    </w:p>
    <w:p w14:paraId="37B3AEF8" w14:textId="77777777" w:rsidR="00334388" w:rsidRPr="004218B6" w:rsidRDefault="00334388" w:rsidP="00334388">
      <w:pPr>
        <w:spacing w:before="240" w:after="240"/>
        <w:jc w:val="both"/>
      </w:pPr>
      <w:r w:rsidRPr="004218B6">
        <w:t xml:space="preserve">To independently validate probability surfaces, we developed a complementary approach using Google Maps imagery and OpenAI GPT-4o. Below is the workflow: </w:t>
      </w:r>
    </w:p>
    <w:p w14:paraId="034C42C7" w14:textId="77777777" w:rsidR="00334388" w:rsidRPr="004218B6" w:rsidRDefault="00334388" w:rsidP="00334388">
      <w:pPr>
        <w:rPr>
          <w:b/>
        </w:rPr>
      </w:pPr>
      <w:r w:rsidRPr="004218B6">
        <w:rPr>
          <w:b/>
        </w:rPr>
        <w:t>Sampling strategy</w:t>
      </w:r>
    </w:p>
    <w:p w14:paraId="1FAA883D" w14:textId="77777777" w:rsidR="00334388" w:rsidRPr="004218B6" w:rsidRDefault="00334388" w:rsidP="00334388">
      <w:pPr>
        <w:spacing w:before="240" w:after="240"/>
      </w:pPr>
      <w:r w:rsidRPr="004218B6">
        <w:t>For each of the 84 study cities, we randomly sampled 20 locations stratified by predicted probability: 10 points from the low range [0, 0.5) and 10 from the high range [0.5, 1]. This yielded a total of 1,680 points.</w:t>
      </w:r>
    </w:p>
    <w:p w14:paraId="6C394BA0" w14:textId="77777777" w:rsidR="00334388" w:rsidRPr="004218B6" w:rsidRDefault="00334388" w:rsidP="00334388">
      <w:pPr>
        <w:rPr>
          <w:b/>
        </w:rPr>
      </w:pPr>
      <w:r w:rsidRPr="004218B6">
        <w:rPr>
          <w:b/>
        </w:rPr>
        <w:t>Imagery collection</w:t>
      </w:r>
    </w:p>
    <w:p w14:paraId="6D172432" w14:textId="77777777" w:rsidR="00334388" w:rsidRPr="004218B6" w:rsidRDefault="00334388" w:rsidP="00334388">
      <w:pPr>
        <w:spacing w:before="240" w:after="240"/>
      </w:pPr>
      <w:r w:rsidRPr="004218B6">
        <w:lastRenderedPageBreak/>
        <w:t>For each location, we queried the Google Maps API. If Street View was available, we retrieved panoramic street-level imagery, oriented toward the nearest buildings. Otherwise, we downloaded satellite imagery at zoom level 19.</w:t>
      </w:r>
    </w:p>
    <w:p w14:paraId="2BD481BC" w14:textId="77777777" w:rsidR="00334388" w:rsidRPr="004218B6" w:rsidRDefault="00334388" w:rsidP="00334388">
      <w:pPr>
        <w:rPr>
          <w:b/>
        </w:rPr>
      </w:pPr>
      <w:r w:rsidRPr="004218B6">
        <w:rPr>
          <w:b/>
        </w:rPr>
        <w:t>AI-based interpretation</w:t>
      </w:r>
    </w:p>
    <w:p w14:paraId="1281CE9C" w14:textId="77777777" w:rsidR="00334388" w:rsidRPr="004218B6" w:rsidRDefault="00334388" w:rsidP="00334388">
      <w:pPr>
        <w:spacing w:before="240" w:after="240"/>
      </w:pPr>
      <w:r w:rsidRPr="004218B6">
        <w:t>Each image was transmitted to the GPT-4o model with a structured prompt. The model returned:</w:t>
      </w:r>
    </w:p>
    <w:p w14:paraId="18DFEAD3" w14:textId="77777777" w:rsidR="00334388" w:rsidRPr="004218B6" w:rsidRDefault="00334388" w:rsidP="00334388">
      <w:pPr>
        <w:numPr>
          <w:ilvl w:val="0"/>
          <w:numId w:val="2"/>
        </w:numPr>
        <w:spacing w:before="240"/>
      </w:pPr>
      <w:r w:rsidRPr="004218B6">
        <w:t>prob_bin (slum probability, 0.001–1.0),</w:t>
      </w:r>
      <w:r w:rsidRPr="004218B6">
        <w:br/>
      </w:r>
    </w:p>
    <w:p w14:paraId="61406450" w14:textId="77777777" w:rsidR="00334388" w:rsidRPr="004218B6" w:rsidRDefault="00334388" w:rsidP="00334388">
      <w:pPr>
        <w:numPr>
          <w:ilvl w:val="0"/>
          <w:numId w:val="2"/>
        </w:numPr>
      </w:pPr>
      <w:r w:rsidRPr="004218B6">
        <w:t>confidence score (1–10),</w:t>
      </w:r>
      <w:r w:rsidRPr="004218B6">
        <w:br/>
      </w:r>
    </w:p>
    <w:p w14:paraId="7E552BB9" w14:textId="77777777" w:rsidR="00334388" w:rsidRPr="004218B6" w:rsidRDefault="00334388" w:rsidP="00334388">
      <w:pPr>
        <w:numPr>
          <w:ilvl w:val="0"/>
          <w:numId w:val="2"/>
        </w:numPr>
      </w:pPr>
      <w:r w:rsidRPr="004218B6">
        <w:t>categorical classification into settlement types,</w:t>
      </w:r>
      <w:r w:rsidRPr="004218B6">
        <w:br/>
      </w:r>
    </w:p>
    <w:p w14:paraId="247B502B" w14:textId="77777777" w:rsidR="00334388" w:rsidRPr="004218B6" w:rsidRDefault="00334388" w:rsidP="00334388">
      <w:pPr>
        <w:numPr>
          <w:ilvl w:val="0"/>
          <w:numId w:val="2"/>
        </w:numPr>
        <w:spacing w:after="240"/>
      </w:pPr>
      <w:r w:rsidRPr="004218B6">
        <w:t>detailed justification of classification.</w:t>
      </w:r>
    </w:p>
    <w:p w14:paraId="29BF541E" w14:textId="77777777" w:rsidR="00334388" w:rsidRPr="004218B6" w:rsidRDefault="00334388" w:rsidP="00334388">
      <w:pPr>
        <w:jc w:val="both"/>
      </w:pPr>
      <w:r w:rsidRPr="004218B6">
        <w:t>We asked GPT-4o to consider the following indicators for informal settlements classification.</w:t>
      </w:r>
    </w:p>
    <w:p w14:paraId="2C0ADC37" w14:textId="77777777" w:rsidR="00334388" w:rsidRPr="004218B6" w:rsidRDefault="00334388" w:rsidP="00334388">
      <w:pPr>
        <w:jc w:val="both"/>
      </w:pPr>
    </w:p>
    <w:p w14:paraId="37AEF13D" w14:textId="77777777" w:rsidR="00334388" w:rsidRPr="004218B6" w:rsidRDefault="00334388" w:rsidP="00334388">
      <w:pPr>
        <w:jc w:val="both"/>
      </w:pPr>
      <w:r w:rsidRPr="004218B6">
        <w:t>Indicators of Informal Settlements:</w:t>
      </w:r>
    </w:p>
    <w:p w14:paraId="4D698109" w14:textId="77777777" w:rsidR="00334388" w:rsidRPr="004218B6" w:rsidRDefault="00334388" w:rsidP="00334388">
      <w:pPr>
        <w:jc w:val="both"/>
      </w:pPr>
      <w:r w:rsidRPr="004218B6">
        <w:t xml:space="preserve">  - Building density: Very high density with minimal spacing between structures</w:t>
      </w:r>
    </w:p>
    <w:p w14:paraId="638801DF" w14:textId="77777777" w:rsidR="00334388" w:rsidRPr="004218B6" w:rsidRDefault="00334388" w:rsidP="00334388">
      <w:pPr>
        <w:jc w:val="both"/>
      </w:pPr>
      <w:r w:rsidRPr="004218B6">
        <w:t xml:space="preserve">  - Layout: Chaotic, irregular patterns with no organized street grid</w:t>
      </w:r>
    </w:p>
    <w:p w14:paraId="73BCAC6A" w14:textId="77777777" w:rsidR="00334388" w:rsidRPr="004218B6" w:rsidRDefault="00334388" w:rsidP="00334388">
      <w:pPr>
        <w:jc w:val="both"/>
      </w:pPr>
      <w:r w:rsidRPr="004218B6">
        <w:t xml:space="preserve">  - Roofing materials: Corrugated metal sheets, tarpaulins, mixed materials</w:t>
      </w:r>
    </w:p>
    <w:p w14:paraId="282F47A2" w14:textId="77777777" w:rsidR="00334388" w:rsidRPr="004218B6" w:rsidRDefault="00334388" w:rsidP="00334388">
      <w:pPr>
        <w:jc w:val="both"/>
      </w:pPr>
      <w:r w:rsidRPr="004218B6">
        <w:t xml:space="preserve">  - Infrastructure: Absence of paved roads, drainage systems, utilities</w:t>
      </w:r>
    </w:p>
    <w:p w14:paraId="38DBE5B2" w14:textId="77777777" w:rsidR="00334388" w:rsidRPr="004218B6" w:rsidRDefault="00334388" w:rsidP="00334388">
      <w:pPr>
        <w:jc w:val="both"/>
      </w:pPr>
      <w:r w:rsidRPr="004218B6">
        <w:t xml:space="preserve">  - Construction materials: Temporary, makeshift structures</w:t>
      </w:r>
    </w:p>
    <w:p w14:paraId="6707C151" w14:textId="77777777" w:rsidR="00334388" w:rsidRPr="004218B6" w:rsidRDefault="00334388" w:rsidP="00334388">
      <w:pPr>
        <w:jc w:val="both"/>
      </w:pPr>
      <w:r w:rsidRPr="004218B6">
        <w:t xml:space="preserve">  - Architecture: Lack of formal planning or design</w:t>
      </w:r>
    </w:p>
    <w:p w14:paraId="2F903098" w14:textId="77777777" w:rsidR="00334388" w:rsidRPr="004218B6" w:rsidRDefault="00334388" w:rsidP="00334388">
      <w:pPr>
        <w:jc w:val="both"/>
      </w:pPr>
      <w:r w:rsidRPr="004218B6">
        <w:t xml:space="preserve">  - Sanitation: Visible waste, poor sanitary conditions</w:t>
      </w:r>
    </w:p>
    <w:p w14:paraId="49A50DD6" w14:textId="77777777" w:rsidR="00334388" w:rsidRPr="004218B6" w:rsidRDefault="00334388" w:rsidP="00334388">
      <w:pPr>
        <w:jc w:val="both"/>
      </w:pPr>
    </w:p>
    <w:p w14:paraId="5C10A3AE" w14:textId="77777777" w:rsidR="00334388" w:rsidRPr="004218B6" w:rsidRDefault="00334388" w:rsidP="00334388">
      <w:pPr>
        <w:jc w:val="both"/>
      </w:pPr>
      <w:r w:rsidRPr="004218B6">
        <w:t>Indicators of Formal Settlements:</w:t>
      </w:r>
    </w:p>
    <w:p w14:paraId="05643B5B" w14:textId="77777777" w:rsidR="00334388" w:rsidRPr="004218B6" w:rsidRDefault="00334388" w:rsidP="00334388">
      <w:pPr>
        <w:jc w:val="both"/>
      </w:pPr>
      <w:r w:rsidRPr="004218B6">
        <w:t xml:space="preserve">  - Layout: Organized street grid with adequate spacing</w:t>
      </w:r>
    </w:p>
    <w:p w14:paraId="7145D02C" w14:textId="77777777" w:rsidR="00334388" w:rsidRPr="004218B6" w:rsidRDefault="00334388" w:rsidP="00334388">
      <w:pPr>
        <w:jc w:val="both"/>
      </w:pPr>
      <w:r w:rsidRPr="004218B6">
        <w:t xml:space="preserve">  - Materials: Concrete, brick, quality roofing</w:t>
      </w:r>
    </w:p>
    <w:p w14:paraId="1E501814" w14:textId="77777777" w:rsidR="00334388" w:rsidRPr="004218B6" w:rsidRDefault="00334388" w:rsidP="00334388">
      <w:pPr>
        <w:jc w:val="both"/>
      </w:pPr>
      <w:r w:rsidRPr="004218B6">
        <w:t xml:space="preserve">  - Infrastructure: Presence of roads, utilities, drainage</w:t>
      </w:r>
    </w:p>
    <w:p w14:paraId="01B886EB" w14:textId="77777777" w:rsidR="00334388" w:rsidRPr="004218B6" w:rsidRDefault="00334388" w:rsidP="00334388">
      <w:pPr>
        <w:jc w:val="both"/>
      </w:pPr>
      <w:r w:rsidRPr="004218B6">
        <w:t xml:space="preserve">  - Architecture: Regular building patterns, formal planning</w:t>
      </w:r>
    </w:p>
    <w:p w14:paraId="1F1C9C12" w14:textId="77777777" w:rsidR="00334388" w:rsidRPr="004218B6" w:rsidRDefault="00334388" w:rsidP="00334388">
      <w:pPr>
        <w:jc w:val="both"/>
      </w:pPr>
      <w:r w:rsidRPr="004218B6">
        <w:t xml:space="preserve">  - Maintenance: Well-maintained surroundings</w:t>
      </w:r>
    </w:p>
    <w:p w14:paraId="279C28F2" w14:textId="77777777" w:rsidR="00334388" w:rsidRPr="004218B6" w:rsidRDefault="00334388" w:rsidP="00334388">
      <w:pPr>
        <w:spacing w:before="240" w:after="240"/>
        <w:jc w:val="both"/>
      </w:pPr>
      <w:r w:rsidRPr="004218B6">
        <w:rPr>
          <w:b/>
        </w:rPr>
        <w:t>Categories.</w:t>
      </w:r>
      <w:r w:rsidRPr="004218B6">
        <w:rPr>
          <w:b/>
        </w:rPr>
        <w:br/>
      </w:r>
      <w:r w:rsidRPr="004218B6">
        <w:t>Outputs were collapsed into five ordered classes for consistency: formal, probable formal, mixed, probable informal, and informal. Categories unknown and no buildings were excluded.</w:t>
      </w:r>
    </w:p>
    <w:p w14:paraId="2CDBA48E" w14:textId="77777777" w:rsidR="00334388" w:rsidRPr="004218B6" w:rsidRDefault="00334388" w:rsidP="00334388">
      <w:pPr>
        <w:spacing w:before="240"/>
        <w:jc w:val="both"/>
        <w:rPr>
          <w:b/>
          <w:bCs/>
        </w:rPr>
      </w:pPr>
      <w:r w:rsidRPr="004218B6">
        <w:rPr>
          <w:b/>
          <w:bCs/>
        </w:rPr>
        <w:t>Supplementary Table 2 Pairwise t-test results comparing predicted probabilities between adjacent OpenAI-assigned settlement categories.</w:t>
      </w:r>
    </w:p>
    <w:tbl>
      <w:tblPr>
        <w:tblStyle w:val="TableGrid"/>
        <w:tblW w:w="5000" w:type="pct"/>
        <w:tblLook w:val="04A0" w:firstRow="1" w:lastRow="0" w:firstColumn="1" w:lastColumn="0" w:noHBand="0" w:noVBand="1"/>
      </w:tblPr>
      <w:tblGrid>
        <w:gridCol w:w="1875"/>
        <w:gridCol w:w="1877"/>
        <w:gridCol w:w="1292"/>
        <w:gridCol w:w="1288"/>
        <w:gridCol w:w="943"/>
        <w:gridCol w:w="806"/>
        <w:gridCol w:w="1161"/>
      </w:tblGrid>
      <w:tr w:rsidR="00334388" w:rsidRPr="004218B6" w14:paraId="6774357E" w14:textId="77777777" w:rsidTr="00B93D74">
        <w:tc>
          <w:tcPr>
            <w:tcW w:w="1014" w:type="pct"/>
            <w:vAlign w:val="center"/>
          </w:tcPr>
          <w:p w14:paraId="0144B0DC" w14:textId="77777777" w:rsidR="00334388" w:rsidRPr="004218B6" w:rsidRDefault="00334388" w:rsidP="00B93D74">
            <w:pPr>
              <w:jc w:val="center"/>
              <w:rPr>
                <w:b/>
                <w:bCs/>
              </w:rPr>
            </w:pPr>
            <w:r w:rsidRPr="004218B6">
              <w:rPr>
                <w:b/>
                <w:bCs/>
              </w:rPr>
              <w:t>A</w:t>
            </w:r>
          </w:p>
        </w:tc>
        <w:tc>
          <w:tcPr>
            <w:tcW w:w="1015" w:type="pct"/>
            <w:vAlign w:val="center"/>
            <w:hideMark/>
          </w:tcPr>
          <w:p w14:paraId="43419029" w14:textId="77777777" w:rsidR="00334388" w:rsidRPr="004218B6" w:rsidRDefault="00334388" w:rsidP="00B93D74">
            <w:pPr>
              <w:jc w:val="center"/>
              <w:rPr>
                <w:b/>
                <w:bCs/>
              </w:rPr>
            </w:pPr>
            <w:r w:rsidRPr="004218B6">
              <w:rPr>
                <w:b/>
                <w:bCs/>
              </w:rPr>
              <w:t>B</w:t>
            </w:r>
          </w:p>
        </w:tc>
        <w:tc>
          <w:tcPr>
            <w:tcW w:w="699" w:type="pct"/>
            <w:vAlign w:val="center"/>
            <w:hideMark/>
          </w:tcPr>
          <w:p w14:paraId="45443D20" w14:textId="77777777" w:rsidR="00334388" w:rsidRPr="004218B6" w:rsidRDefault="00334388" w:rsidP="00B93D74">
            <w:pPr>
              <w:jc w:val="center"/>
              <w:rPr>
                <w:b/>
                <w:bCs/>
              </w:rPr>
            </w:pPr>
            <w:r w:rsidRPr="004218B6">
              <w:rPr>
                <w:b/>
                <w:bCs/>
              </w:rPr>
              <w:t>Mean (A)</w:t>
            </w:r>
          </w:p>
        </w:tc>
        <w:tc>
          <w:tcPr>
            <w:tcW w:w="697" w:type="pct"/>
            <w:vAlign w:val="center"/>
            <w:hideMark/>
          </w:tcPr>
          <w:p w14:paraId="65E9DDD3" w14:textId="77777777" w:rsidR="00334388" w:rsidRPr="004218B6" w:rsidRDefault="00334388" w:rsidP="00B93D74">
            <w:pPr>
              <w:jc w:val="center"/>
              <w:rPr>
                <w:b/>
                <w:bCs/>
              </w:rPr>
            </w:pPr>
            <w:r w:rsidRPr="004218B6">
              <w:rPr>
                <w:b/>
                <w:bCs/>
              </w:rPr>
              <w:t>Mean (B)</w:t>
            </w:r>
          </w:p>
        </w:tc>
        <w:tc>
          <w:tcPr>
            <w:tcW w:w="510" w:type="pct"/>
            <w:vAlign w:val="center"/>
            <w:hideMark/>
          </w:tcPr>
          <w:p w14:paraId="57EFC264" w14:textId="77777777" w:rsidR="00334388" w:rsidRPr="004218B6" w:rsidRDefault="00334388" w:rsidP="00B93D74">
            <w:pPr>
              <w:jc w:val="center"/>
              <w:rPr>
                <w:b/>
                <w:bCs/>
              </w:rPr>
            </w:pPr>
            <w:r w:rsidRPr="004218B6">
              <w:rPr>
                <w:b/>
                <w:bCs/>
              </w:rPr>
              <w:t>t</w:t>
            </w:r>
          </w:p>
        </w:tc>
        <w:tc>
          <w:tcPr>
            <w:tcW w:w="436" w:type="pct"/>
            <w:vAlign w:val="center"/>
            <w:hideMark/>
          </w:tcPr>
          <w:p w14:paraId="24014EE5" w14:textId="77777777" w:rsidR="00334388" w:rsidRPr="004218B6" w:rsidRDefault="00334388" w:rsidP="00B93D74">
            <w:pPr>
              <w:jc w:val="center"/>
              <w:rPr>
                <w:b/>
                <w:bCs/>
              </w:rPr>
            </w:pPr>
            <w:r w:rsidRPr="004218B6">
              <w:rPr>
                <w:b/>
                <w:bCs/>
              </w:rPr>
              <w:t>df</w:t>
            </w:r>
          </w:p>
        </w:tc>
        <w:tc>
          <w:tcPr>
            <w:tcW w:w="628" w:type="pct"/>
            <w:vAlign w:val="center"/>
            <w:hideMark/>
          </w:tcPr>
          <w:p w14:paraId="613C757D" w14:textId="77777777" w:rsidR="00334388" w:rsidRPr="004218B6" w:rsidRDefault="00334388" w:rsidP="00B93D74">
            <w:pPr>
              <w:jc w:val="center"/>
              <w:rPr>
                <w:b/>
                <w:bCs/>
              </w:rPr>
            </w:pPr>
            <w:r w:rsidRPr="004218B6">
              <w:rPr>
                <w:b/>
                <w:bCs/>
              </w:rPr>
              <w:t>p-value</w:t>
            </w:r>
          </w:p>
        </w:tc>
      </w:tr>
      <w:tr w:rsidR="00334388" w:rsidRPr="004218B6" w14:paraId="1B780413" w14:textId="77777777" w:rsidTr="00B93D74">
        <w:tc>
          <w:tcPr>
            <w:tcW w:w="1014" w:type="pct"/>
            <w:vAlign w:val="center"/>
          </w:tcPr>
          <w:p w14:paraId="703510FE" w14:textId="77777777" w:rsidR="00334388" w:rsidRPr="004218B6" w:rsidRDefault="00334388" w:rsidP="00B93D74">
            <w:pPr>
              <w:jc w:val="center"/>
            </w:pPr>
            <w:r w:rsidRPr="004218B6">
              <w:t>Formal</w:t>
            </w:r>
          </w:p>
        </w:tc>
        <w:tc>
          <w:tcPr>
            <w:tcW w:w="1015" w:type="pct"/>
            <w:vAlign w:val="center"/>
            <w:hideMark/>
          </w:tcPr>
          <w:p w14:paraId="3ED9C188" w14:textId="77777777" w:rsidR="00334388" w:rsidRPr="004218B6" w:rsidRDefault="00334388" w:rsidP="00B93D74">
            <w:pPr>
              <w:jc w:val="center"/>
            </w:pPr>
            <w:r w:rsidRPr="004218B6">
              <w:t>Probable formal</w:t>
            </w:r>
          </w:p>
        </w:tc>
        <w:tc>
          <w:tcPr>
            <w:tcW w:w="699" w:type="pct"/>
            <w:vAlign w:val="center"/>
            <w:hideMark/>
          </w:tcPr>
          <w:p w14:paraId="42E24F8E" w14:textId="77777777" w:rsidR="00334388" w:rsidRPr="004218B6" w:rsidRDefault="00334388" w:rsidP="00B93D74">
            <w:pPr>
              <w:jc w:val="center"/>
            </w:pPr>
            <w:r w:rsidRPr="004218B6">
              <w:t>0.165</w:t>
            </w:r>
          </w:p>
        </w:tc>
        <w:tc>
          <w:tcPr>
            <w:tcW w:w="697" w:type="pct"/>
            <w:vAlign w:val="center"/>
            <w:hideMark/>
          </w:tcPr>
          <w:p w14:paraId="7F12C98F" w14:textId="77777777" w:rsidR="00334388" w:rsidRPr="004218B6" w:rsidRDefault="00334388" w:rsidP="00B93D74">
            <w:pPr>
              <w:jc w:val="center"/>
            </w:pPr>
            <w:r w:rsidRPr="004218B6">
              <w:t>0.280</w:t>
            </w:r>
          </w:p>
        </w:tc>
        <w:tc>
          <w:tcPr>
            <w:tcW w:w="510" w:type="pct"/>
            <w:vAlign w:val="center"/>
            <w:hideMark/>
          </w:tcPr>
          <w:p w14:paraId="0ECB5E06" w14:textId="77777777" w:rsidR="00334388" w:rsidRPr="004218B6" w:rsidRDefault="00334388" w:rsidP="00B93D74">
            <w:pPr>
              <w:jc w:val="center"/>
            </w:pPr>
            <w:r w:rsidRPr="004218B6">
              <w:t>–5.36</w:t>
            </w:r>
          </w:p>
        </w:tc>
        <w:tc>
          <w:tcPr>
            <w:tcW w:w="436" w:type="pct"/>
            <w:vAlign w:val="center"/>
            <w:hideMark/>
          </w:tcPr>
          <w:p w14:paraId="2AE2D563" w14:textId="77777777" w:rsidR="00334388" w:rsidRPr="004218B6" w:rsidRDefault="00334388" w:rsidP="00B93D74">
            <w:pPr>
              <w:jc w:val="center"/>
            </w:pPr>
            <w:r w:rsidRPr="004218B6">
              <w:t>338</w:t>
            </w:r>
          </w:p>
        </w:tc>
        <w:tc>
          <w:tcPr>
            <w:tcW w:w="628" w:type="pct"/>
            <w:vAlign w:val="center"/>
            <w:hideMark/>
          </w:tcPr>
          <w:p w14:paraId="5B20FC32" w14:textId="77777777" w:rsidR="00334388" w:rsidRPr="004218B6" w:rsidRDefault="00334388" w:rsidP="00B93D74">
            <w:pPr>
              <w:jc w:val="center"/>
            </w:pPr>
            <w:r w:rsidRPr="004218B6">
              <w:t>1.5e–7</w:t>
            </w:r>
          </w:p>
        </w:tc>
      </w:tr>
      <w:tr w:rsidR="00334388" w:rsidRPr="004218B6" w14:paraId="5808064E" w14:textId="77777777" w:rsidTr="00B93D74">
        <w:tc>
          <w:tcPr>
            <w:tcW w:w="1014" w:type="pct"/>
            <w:vAlign w:val="center"/>
          </w:tcPr>
          <w:p w14:paraId="664114AE" w14:textId="77777777" w:rsidR="00334388" w:rsidRPr="004218B6" w:rsidRDefault="00334388" w:rsidP="00B93D74">
            <w:pPr>
              <w:jc w:val="center"/>
            </w:pPr>
            <w:r w:rsidRPr="004218B6">
              <w:t>Probable formal</w:t>
            </w:r>
          </w:p>
        </w:tc>
        <w:tc>
          <w:tcPr>
            <w:tcW w:w="1015" w:type="pct"/>
            <w:vAlign w:val="center"/>
            <w:hideMark/>
          </w:tcPr>
          <w:p w14:paraId="69C357DC" w14:textId="77777777" w:rsidR="00334388" w:rsidRPr="004218B6" w:rsidRDefault="00334388" w:rsidP="00B93D74">
            <w:pPr>
              <w:jc w:val="center"/>
            </w:pPr>
            <w:r w:rsidRPr="004218B6">
              <w:t>Mixed</w:t>
            </w:r>
          </w:p>
        </w:tc>
        <w:tc>
          <w:tcPr>
            <w:tcW w:w="699" w:type="pct"/>
            <w:vAlign w:val="center"/>
            <w:hideMark/>
          </w:tcPr>
          <w:p w14:paraId="060E8E68" w14:textId="77777777" w:rsidR="00334388" w:rsidRPr="004218B6" w:rsidRDefault="00334388" w:rsidP="00B93D74">
            <w:pPr>
              <w:jc w:val="center"/>
            </w:pPr>
            <w:r w:rsidRPr="004218B6">
              <w:t>0.280</w:t>
            </w:r>
          </w:p>
        </w:tc>
        <w:tc>
          <w:tcPr>
            <w:tcW w:w="697" w:type="pct"/>
            <w:vAlign w:val="center"/>
            <w:hideMark/>
          </w:tcPr>
          <w:p w14:paraId="7779EC71" w14:textId="77777777" w:rsidR="00334388" w:rsidRPr="004218B6" w:rsidRDefault="00334388" w:rsidP="00B93D74">
            <w:pPr>
              <w:jc w:val="center"/>
            </w:pPr>
            <w:r w:rsidRPr="004218B6">
              <w:t>0.348</w:t>
            </w:r>
          </w:p>
        </w:tc>
        <w:tc>
          <w:tcPr>
            <w:tcW w:w="510" w:type="pct"/>
            <w:vAlign w:val="center"/>
            <w:hideMark/>
          </w:tcPr>
          <w:p w14:paraId="1B70A1E4" w14:textId="77777777" w:rsidR="00334388" w:rsidRPr="004218B6" w:rsidRDefault="00334388" w:rsidP="00B93D74">
            <w:pPr>
              <w:jc w:val="center"/>
            </w:pPr>
            <w:r w:rsidRPr="004218B6">
              <w:t>–2.73</w:t>
            </w:r>
          </w:p>
        </w:tc>
        <w:tc>
          <w:tcPr>
            <w:tcW w:w="436" w:type="pct"/>
            <w:vAlign w:val="center"/>
            <w:hideMark/>
          </w:tcPr>
          <w:p w14:paraId="4AFF5E9A" w14:textId="77777777" w:rsidR="00334388" w:rsidRPr="004218B6" w:rsidRDefault="00334388" w:rsidP="00B93D74">
            <w:pPr>
              <w:jc w:val="center"/>
            </w:pPr>
            <w:r w:rsidRPr="004218B6">
              <w:t>255</w:t>
            </w:r>
          </w:p>
        </w:tc>
        <w:tc>
          <w:tcPr>
            <w:tcW w:w="628" w:type="pct"/>
            <w:vAlign w:val="center"/>
            <w:hideMark/>
          </w:tcPr>
          <w:p w14:paraId="41DD0B51" w14:textId="77777777" w:rsidR="00334388" w:rsidRPr="004218B6" w:rsidRDefault="00334388" w:rsidP="00B93D74">
            <w:pPr>
              <w:jc w:val="center"/>
            </w:pPr>
            <w:r w:rsidRPr="004218B6">
              <w:t>0.007</w:t>
            </w:r>
          </w:p>
        </w:tc>
      </w:tr>
      <w:tr w:rsidR="00334388" w:rsidRPr="004218B6" w14:paraId="382E1440" w14:textId="77777777" w:rsidTr="00B93D74">
        <w:tc>
          <w:tcPr>
            <w:tcW w:w="1014" w:type="pct"/>
            <w:vAlign w:val="center"/>
          </w:tcPr>
          <w:p w14:paraId="46E6BD0C" w14:textId="77777777" w:rsidR="00334388" w:rsidRPr="004218B6" w:rsidRDefault="00334388" w:rsidP="00B93D74">
            <w:pPr>
              <w:jc w:val="center"/>
            </w:pPr>
            <w:r w:rsidRPr="004218B6">
              <w:t>Mixed</w:t>
            </w:r>
          </w:p>
        </w:tc>
        <w:tc>
          <w:tcPr>
            <w:tcW w:w="1015" w:type="pct"/>
            <w:vAlign w:val="center"/>
            <w:hideMark/>
          </w:tcPr>
          <w:p w14:paraId="1CEF3F9E" w14:textId="77777777" w:rsidR="00334388" w:rsidRPr="004218B6" w:rsidRDefault="00334388" w:rsidP="00B93D74">
            <w:pPr>
              <w:jc w:val="center"/>
            </w:pPr>
            <w:r w:rsidRPr="004218B6">
              <w:t>Probable informal</w:t>
            </w:r>
          </w:p>
        </w:tc>
        <w:tc>
          <w:tcPr>
            <w:tcW w:w="699" w:type="pct"/>
            <w:vAlign w:val="center"/>
            <w:hideMark/>
          </w:tcPr>
          <w:p w14:paraId="2168441A" w14:textId="77777777" w:rsidR="00334388" w:rsidRPr="004218B6" w:rsidRDefault="00334388" w:rsidP="00B93D74">
            <w:pPr>
              <w:jc w:val="center"/>
            </w:pPr>
            <w:r w:rsidRPr="004218B6">
              <w:t>0.348</w:t>
            </w:r>
          </w:p>
        </w:tc>
        <w:tc>
          <w:tcPr>
            <w:tcW w:w="697" w:type="pct"/>
            <w:vAlign w:val="center"/>
            <w:hideMark/>
          </w:tcPr>
          <w:p w14:paraId="380959A9" w14:textId="77777777" w:rsidR="00334388" w:rsidRPr="004218B6" w:rsidRDefault="00334388" w:rsidP="00B93D74">
            <w:pPr>
              <w:jc w:val="center"/>
            </w:pPr>
            <w:r w:rsidRPr="004218B6">
              <w:t>0.569</w:t>
            </w:r>
          </w:p>
        </w:tc>
        <w:tc>
          <w:tcPr>
            <w:tcW w:w="510" w:type="pct"/>
            <w:vAlign w:val="center"/>
            <w:hideMark/>
          </w:tcPr>
          <w:p w14:paraId="59C1756B" w14:textId="77777777" w:rsidR="00334388" w:rsidRPr="004218B6" w:rsidRDefault="00334388" w:rsidP="00B93D74">
            <w:pPr>
              <w:jc w:val="center"/>
            </w:pPr>
            <w:r w:rsidRPr="004218B6">
              <w:t>–9.06</w:t>
            </w:r>
          </w:p>
        </w:tc>
        <w:tc>
          <w:tcPr>
            <w:tcW w:w="436" w:type="pct"/>
            <w:vAlign w:val="center"/>
            <w:hideMark/>
          </w:tcPr>
          <w:p w14:paraId="6DC27F95" w14:textId="77777777" w:rsidR="00334388" w:rsidRPr="004218B6" w:rsidRDefault="00334388" w:rsidP="00B93D74">
            <w:pPr>
              <w:jc w:val="center"/>
            </w:pPr>
            <w:r w:rsidRPr="004218B6">
              <w:t>228</w:t>
            </w:r>
          </w:p>
        </w:tc>
        <w:tc>
          <w:tcPr>
            <w:tcW w:w="628" w:type="pct"/>
            <w:vAlign w:val="center"/>
            <w:hideMark/>
          </w:tcPr>
          <w:p w14:paraId="59A55EAE" w14:textId="77777777" w:rsidR="00334388" w:rsidRPr="004218B6" w:rsidRDefault="00334388" w:rsidP="00B93D74">
            <w:pPr>
              <w:jc w:val="center"/>
            </w:pPr>
            <w:r w:rsidRPr="004218B6">
              <w:t>5.9e–17</w:t>
            </w:r>
          </w:p>
        </w:tc>
      </w:tr>
      <w:tr w:rsidR="00334388" w:rsidRPr="004218B6" w14:paraId="5EBD244F" w14:textId="77777777" w:rsidTr="00B93D74">
        <w:tc>
          <w:tcPr>
            <w:tcW w:w="1014" w:type="pct"/>
            <w:vAlign w:val="center"/>
          </w:tcPr>
          <w:p w14:paraId="5ACBA953" w14:textId="77777777" w:rsidR="00334388" w:rsidRPr="004218B6" w:rsidRDefault="00334388" w:rsidP="00B93D74">
            <w:pPr>
              <w:jc w:val="center"/>
            </w:pPr>
            <w:r w:rsidRPr="004218B6">
              <w:t>Probable informal</w:t>
            </w:r>
          </w:p>
        </w:tc>
        <w:tc>
          <w:tcPr>
            <w:tcW w:w="1015" w:type="pct"/>
            <w:vAlign w:val="center"/>
            <w:hideMark/>
          </w:tcPr>
          <w:p w14:paraId="522BB955" w14:textId="77777777" w:rsidR="00334388" w:rsidRPr="004218B6" w:rsidRDefault="00334388" w:rsidP="00B93D74">
            <w:pPr>
              <w:jc w:val="center"/>
            </w:pPr>
            <w:r w:rsidRPr="004218B6">
              <w:t>Informal</w:t>
            </w:r>
          </w:p>
        </w:tc>
        <w:tc>
          <w:tcPr>
            <w:tcW w:w="699" w:type="pct"/>
            <w:vAlign w:val="center"/>
            <w:hideMark/>
          </w:tcPr>
          <w:p w14:paraId="7271C618" w14:textId="77777777" w:rsidR="00334388" w:rsidRPr="004218B6" w:rsidRDefault="00334388" w:rsidP="00B93D74">
            <w:pPr>
              <w:jc w:val="center"/>
            </w:pPr>
            <w:r w:rsidRPr="004218B6">
              <w:t>0.569</w:t>
            </w:r>
          </w:p>
        </w:tc>
        <w:tc>
          <w:tcPr>
            <w:tcW w:w="697" w:type="pct"/>
            <w:vAlign w:val="center"/>
            <w:hideMark/>
          </w:tcPr>
          <w:p w14:paraId="11C98D38" w14:textId="77777777" w:rsidR="00334388" w:rsidRPr="004218B6" w:rsidRDefault="00334388" w:rsidP="00B93D74">
            <w:pPr>
              <w:jc w:val="center"/>
            </w:pPr>
            <w:r w:rsidRPr="004218B6">
              <w:t>0.717</w:t>
            </w:r>
          </w:p>
        </w:tc>
        <w:tc>
          <w:tcPr>
            <w:tcW w:w="510" w:type="pct"/>
            <w:vAlign w:val="center"/>
            <w:hideMark/>
          </w:tcPr>
          <w:p w14:paraId="7C3B529D" w14:textId="77777777" w:rsidR="00334388" w:rsidRPr="004218B6" w:rsidRDefault="00334388" w:rsidP="00B93D74">
            <w:pPr>
              <w:jc w:val="center"/>
            </w:pPr>
            <w:r w:rsidRPr="004218B6">
              <w:t>–7.94</w:t>
            </w:r>
          </w:p>
        </w:tc>
        <w:tc>
          <w:tcPr>
            <w:tcW w:w="436" w:type="pct"/>
            <w:vAlign w:val="center"/>
            <w:hideMark/>
          </w:tcPr>
          <w:p w14:paraId="0ADD56DC" w14:textId="77777777" w:rsidR="00334388" w:rsidRPr="004218B6" w:rsidRDefault="00334388" w:rsidP="00B93D74">
            <w:pPr>
              <w:jc w:val="center"/>
            </w:pPr>
            <w:r w:rsidRPr="004218B6">
              <w:t>308</w:t>
            </w:r>
          </w:p>
        </w:tc>
        <w:tc>
          <w:tcPr>
            <w:tcW w:w="628" w:type="pct"/>
            <w:vAlign w:val="center"/>
            <w:hideMark/>
          </w:tcPr>
          <w:p w14:paraId="6859F948" w14:textId="77777777" w:rsidR="00334388" w:rsidRPr="004218B6" w:rsidRDefault="00334388" w:rsidP="00B93D74">
            <w:pPr>
              <w:jc w:val="center"/>
            </w:pPr>
            <w:r w:rsidRPr="004218B6">
              <w:t>3.7e–14</w:t>
            </w:r>
          </w:p>
        </w:tc>
      </w:tr>
    </w:tbl>
    <w:p w14:paraId="7CA0581F" w14:textId="77777777" w:rsidR="00E27B26" w:rsidRDefault="00E27B26"/>
    <w:sectPr w:rsidR="00E27B2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PMingLiU">
    <w:panose1 w:val="02010601000101010101"/>
    <w:charset w:val="88"/>
    <w:family w:val="roman"/>
    <w:pitch w:val="variable"/>
    <w:sig w:usb0="A00002FF" w:usb1="28CFFCFA" w:usb2="00000016" w:usb3="00000000" w:csb0="00100001"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Gungsuh">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696D5C"/>
    <w:multiLevelType w:val="multilevel"/>
    <w:tmpl w:val="6F86F6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E833BFA"/>
    <w:multiLevelType w:val="multilevel"/>
    <w:tmpl w:val="2A5C57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02609545">
    <w:abstractNumId w:val="0"/>
  </w:num>
  <w:num w:numId="2" w16cid:durableId="10372393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17393"/>
    <w:rsid w:val="00102159"/>
    <w:rsid w:val="001944E9"/>
    <w:rsid w:val="0030494D"/>
    <w:rsid w:val="00334388"/>
    <w:rsid w:val="00617393"/>
    <w:rsid w:val="00AF295C"/>
    <w:rsid w:val="00C107D8"/>
    <w:rsid w:val="00C90326"/>
    <w:rsid w:val="00D40947"/>
    <w:rsid w:val="00E16A8F"/>
    <w:rsid w:val="00E27B26"/>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8B4479"/>
  <w15:chartTrackingRefBased/>
  <w15:docId w15:val="{4B1CC3BB-4746-45C1-9D94-2BD5813E8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GB" w:eastAsia="zh-TW"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4388"/>
    <w:pPr>
      <w:spacing w:after="0" w:line="240" w:lineRule="auto"/>
    </w:pPr>
    <w:rPr>
      <w:rFonts w:ascii="Times New Roman" w:eastAsia="Times New Roman" w:hAnsi="Times New Roman" w:cs="Times New Roman"/>
      <w:kern w:val="0"/>
      <w:sz w:val="24"/>
      <w:szCs w:val="24"/>
      <w:lang w:val="en-US" w:eastAsia="en-GB"/>
    </w:rPr>
  </w:style>
  <w:style w:type="paragraph" w:styleId="Heading1">
    <w:name w:val="heading 1"/>
    <w:basedOn w:val="Normal"/>
    <w:next w:val="Normal"/>
    <w:link w:val="Heading1Char"/>
    <w:uiPriority w:val="9"/>
    <w:qFormat/>
    <w:rsid w:val="0061739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1739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1739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1739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1739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1739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1739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1739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1739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7393"/>
    <w:rPr>
      <w:rFonts w:asciiTheme="majorHAnsi" w:eastAsiaTheme="majorEastAsia" w:hAnsiTheme="majorHAnsi" w:cstheme="majorBidi"/>
      <w:color w:val="0F4761" w:themeColor="accent1" w:themeShade="BF"/>
      <w:sz w:val="40"/>
      <w:szCs w:val="40"/>
      <w:lang w:val="en-US"/>
    </w:rPr>
  </w:style>
  <w:style w:type="character" w:customStyle="1" w:styleId="Heading2Char">
    <w:name w:val="Heading 2 Char"/>
    <w:basedOn w:val="DefaultParagraphFont"/>
    <w:link w:val="Heading2"/>
    <w:uiPriority w:val="9"/>
    <w:semiHidden/>
    <w:rsid w:val="00617393"/>
    <w:rPr>
      <w:rFonts w:asciiTheme="majorHAnsi" w:eastAsiaTheme="majorEastAsia" w:hAnsiTheme="majorHAnsi" w:cstheme="majorBidi"/>
      <w:color w:val="0F4761" w:themeColor="accent1" w:themeShade="BF"/>
      <w:sz w:val="32"/>
      <w:szCs w:val="32"/>
      <w:lang w:val="en-US"/>
    </w:rPr>
  </w:style>
  <w:style w:type="character" w:customStyle="1" w:styleId="Heading3Char">
    <w:name w:val="Heading 3 Char"/>
    <w:basedOn w:val="DefaultParagraphFont"/>
    <w:link w:val="Heading3"/>
    <w:uiPriority w:val="9"/>
    <w:semiHidden/>
    <w:rsid w:val="00617393"/>
    <w:rPr>
      <w:rFonts w:eastAsiaTheme="majorEastAsia" w:cstheme="majorBidi"/>
      <w:color w:val="0F4761" w:themeColor="accent1" w:themeShade="BF"/>
      <w:sz w:val="28"/>
      <w:szCs w:val="28"/>
      <w:lang w:val="en-US"/>
    </w:rPr>
  </w:style>
  <w:style w:type="character" w:customStyle="1" w:styleId="Heading4Char">
    <w:name w:val="Heading 4 Char"/>
    <w:basedOn w:val="DefaultParagraphFont"/>
    <w:link w:val="Heading4"/>
    <w:uiPriority w:val="9"/>
    <w:semiHidden/>
    <w:rsid w:val="00617393"/>
    <w:rPr>
      <w:rFonts w:eastAsiaTheme="majorEastAsia" w:cstheme="majorBidi"/>
      <w:i/>
      <w:iCs/>
      <w:color w:val="0F4761" w:themeColor="accent1" w:themeShade="BF"/>
      <w:lang w:val="en-US"/>
    </w:rPr>
  </w:style>
  <w:style w:type="character" w:customStyle="1" w:styleId="Heading5Char">
    <w:name w:val="Heading 5 Char"/>
    <w:basedOn w:val="DefaultParagraphFont"/>
    <w:link w:val="Heading5"/>
    <w:uiPriority w:val="9"/>
    <w:semiHidden/>
    <w:rsid w:val="00617393"/>
    <w:rPr>
      <w:rFonts w:eastAsiaTheme="majorEastAsia" w:cstheme="majorBidi"/>
      <w:color w:val="0F4761" w:themeColor="accent1" w:themeShade="BF"/>
      <w:lang w:val="en-US"/>
    </w:rPr>
  </w:style>
  <w:style w:type="character" w:customStyle="1" w:styleId="Heading6Char">
    <w:name w:val="Heading 6 Char"/>
    <w:basedOn w:val="DefaultParagraphFont"/>
    <w:link w:val="Heading6"/>
    <w:uiPriority w:val="9"/>
    <w:semiHidden/>
    <w:rsid w:val="00617393"/>
    <w:rPr>
      <w:rFonts w:eastAsiaTheme="majorEastAsia" w:cstheme="majorBidi"/>
      <w:i/>
      <w:iCs/>
      <w:color w:val="595959" w:themeColor="text1" w:themeTint="A6"/>
      <w:lang w:val="en-US"/>
    </w:rPr>
  </w:style>
  <w:style w:type="character" w:customStyle="1" w:styleId="Heading7Char">
    <w:name w:val="Heading 7 Char"/>
    <w:basedOn w:val="DefaultParagraphFont"/>
    <w:link w:val="Heading7"/>
    <w:uiPriority w:val="9"/>
    <w:semiHidden/>
    <w:rsid w:val="00617393"/>
    <w:rPr>
      <w:rFonts w:eastAsiaTheme="majorEastAsia" w:cstheme="majorBidi"/>
      <w:color w:val="595959" w:themeColor="text1" w:themeTint="A6"/>
      <w:lang w:val="en-US"/>
    </w:rPr>
  </w:style>
  <w:style w:type="character" w:customStyle="1" w:styleId="Heading8Char">
    <w:name w:val="Heading 8 Char"/>
    <w:basedOn w:val="DefaultParagraphFont"/>
    <w:link w:val="Heading8"/>
    <w:uiPriority w:val="9"/>
    <w:semiHidden/>
    <w:rsid w:val="00617393"/>
    <w:rPr>
      <w:rFonts w:eastAsiaTheme="majorEastAsia" w:cstheme="majorBidi"/>
      <w:i/>
      <w:iCs/>
      <w:color w:val="272727" w:themeColor="text1" w:themeTint="D8"/>
      <w:lang w:val="en-US"/>
    </w:rPr>
  </w:style>
  <w:style w:type="character" w:customStyle="1" w:styleId="Heading9Char">
    <w:name w:val="Heading 9 Char"/>
    <w:basedOn w:val="DefaultParagraphFont"/>
    <w:link w:val="Heading9"/>
    <w:uiPriority w:val="9"/>
    <w:semiHidden/>
    <w:rsid w:val="00617393"/>
    <w:rPr>
      <w:rFonts w:eastAsiaTheme="majorEastAsia" w:cstheme="majorBidi"/>
      <w:color w:val="272727" w:themeColor="text1" w:themeTint="D8"/>
      <w:lang w:val="en-US"/>
    </w:rPr>
  </w:style>
  <w:style w:type="paragraph" w:styleId="Title">
    <w:name w:val="Title"/>
    <w:basedOn w:val="Normal"/>
    <w:next w:val="Normal"/>
    <w:link w:val="TitleChar"/>
    <w:uiPriority w:val="10"/>
    <w:qFormat/>
    <w:rsid w:val="0061739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17393"/>
    <w:rPr>
      <w:rFonts w:asciiTheme="majorHAnsi" w:eastAsiaTheme="majorEastAsia" w:hAnsiTheme="majorHAnsi" w:cstheme="majorBidi"/>
      <w:spacing w:val="-10"/>
      <w:kern w:val="28"/>
      <w:sz w:val="56"/>
      <w:szCs w:val="56"/>
      <w:lang w:val="en-US"/>
    </w:rPr>
  </w:style>
  <w:style w:type="paragraph" w:styleId="Subtitle">
    <w:name w:val="Subtitle"/>
    <w:basedOn w:val="Normal"/>
    <w:next w:val="Normal"/>
    <w:link w:val="SubtitleChar"/>
    <w:uiPriority w:val="11"/>
    <w:qFormat/>
    <w:rsid w:val="0061739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17393"/>
    <w:rPr>
      <w:rFonts w:eastAsiaTheme="majorEastAsia" w:cstheme="majorBidi"/>
      <w:color w:val="595959" w:themeColor="text1" w:themeTint="A6"/>
      <w:spacing w:val="15"/>
      <w:sz w:val="28"/>
      <w:szCs w:val="28"/>
      <w:lang w:val="en-US"/>
    </w:rPr>
  </w:style>
  <w:style w:type="paragraph" w:styleId="Quote">
    <w:name w:val="Quote"/>
    <w:basedOn w:val="Normal"/>
    <w:next w:val="Normal"/>
    <w:link w:val="QuoteChar"/>
    <w:uiPriority w:val="29"/>
    <w:qFormat/>
    <w:rsid w:val="00617393"/>
    <w:pPr>
      <w:spacing w:before="160"/>
      <w:jc w:val="center"/>
    </w:pPr>
    <w:rPr>
      <w:i/>
      <w:iCs/>
      <w:color w:val="404040" w:themeColor="text1" w:themeTint="BF"/>
    </w:rPr>
  </w:style>
  <w:style w:type="character" w:customStyle="1" w:styleId="QuoteChar">
    <w:name w:val="Quote Char"/>
    <w:basedOn w:val="DefaultParagraphFont"/>
    <w:link w:val="Quote"/>
    <w:uiPriority w:val="29"/>
    <w:rsid w:val="00617393"/>
    <w:rPr>
      <w:i/>
      <w:iCs/>
      <w:color w:val="404040" w:themeColor="text1" w:themeTint="BF"/>
      <w:lang w:val="en-US"/>
    </w:rPr>
  </w:style>
  <w:style w:type="paragraph" w:styleId="ListParagraph">
    <w:name w:val="List Paragraph"/>
    <w:basedOn w:val="Normal"/>
    <w:uiPriority w:val="34"/>
    <w:qFormat/>
    <w:rsid w:val="00617393"/>
    <w:pPr>
      <w:ind w:left="720"/>
      <w:contextualSpacing/>
    </w:pPr>
  </w:style>
  <w:style w:type="character" w:styleId="IntenseEmphasis">
    <w:name w:val="Intense Emphasis"/>
    <w:basedOn w:val="DefaultParagraphFont"/>
    <w:uiPriority w:val="21"/>
    <w:qFormat/>
    <w:rsid w:val="00617393"/>
    <w:rPr>
      <w:i/>
      <w:iCs/>
      <w:color w:val="0F4761" w:themeColor="accent1" w:themeShade="BF"/>
    </w:rPr>
  </w:style>
  <w:style w:type="paragraph" w:styleId="IntenseQuote">
    <w:name w:val="Intense Quote"/>
    <w:basedOn w:val="Normal"/>
    <w:next w:val="Normal"/>
    <w:link w:val="IntenseQuoteChar"/>
    <w:uiPriority w:val="30"/>
    <w:qFormat/>
    <w:rsid w:val="0061739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17393"/>
    <w:rPr>
      <w:i/>
      <w:iCs/>
      <w:color w:val="0F4761" w:themeColor="accent1" w:themeShade="BF"/>
      <w:lang w:val="en-US"/>
    </w:rPr>
  </w:style>
  <w:style w:type="character" w:styleId="IntenseReference">
    <w:name w:val="Intense Reference"/>
    <w:basedOn w:val="DefaultParagraphFont"/>
    <w:uiPriority w:val="32"/>
    <w:qFormat/>
    <w:rsid w:val="00617393"/>
    <w:rPr>
      <w:b/>
      <w:bCs/>
      <w:smallCaps/>
      <w:color w:val="0F4761" w:themeColor="accent1" w:themeShade="BF"/>
      <w:spacing w:val="5"/>
    </w:rPr>
  </w:style>
  <w:style w:type="table" w:styleId="TableGrid">
    <w:name w:val="Table Grid"/>
    <w:basedOn w:val="TableNormal"/>
    <w:uiPriority w:val="39"/>
    <w:rsid w:val="00334388"/>
    <w:pPr>
      <w:spacing w:after="0" w:line="240" w:lineRule="auto"/>
    </w:pPr>
    <w:rPr>
      <w:rFonts w:ascii="Times New Roman" w:eastAsia="Times New Roman" w:hAnsi="Times New Roman" w:cs="Times New Roman"/>
      <w:kern w:val="0"/>
      <w:sz w:val="24"/>
      <w:szCs w:val="24"/>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34388"/>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s://data.unhabitat.org/pages/housing-slums-and-informal-settlements" TargetMode="Externa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1783</Words>
  <Characters>10165</Characters>
  <Application>Microsoft Office Word</Application>
  <DocSecurity>0</DocSecurity>
  <Lines>84</Lines>
  <Paragraphs>23</Paragraphs>
  <ScaleCrop>false</ScaleCrop>
  <Company>University of Southampton</Company>
  <LinksUpToDate>false</LinksUpToDate>
  <CharactersWithSpaces>11925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Wenbin Zhang</dc:creator>
  <cp:keywords/>
  <dc:description/>
  <cp:lastModifiedBy>Wenbin Zhang</cp:lastModifiedBy>
  <cp:revision>2</cp:revision>
  <dcterms:created xsi:type="dcterms:W3CDTF">2026-05-25T16:51:00Z</dcterms:created>
  <dcterms:modified xsi:type="dcterms:W3CDTF">2026-05-25T16:51:00Z</dcterms:modified>
</cp:coreProperties>
</file>