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F7898" w14:textId="77777777" w:rsidR="00043A2B" w:rsidRDefault="00043A2B" w:rsidP="00043A2B">
      <w:pPr>
        <w:spacing w:after="0" w:line="360" w:lineRule="auto"/>
        <w:jc w:val="both"/>
        <w:rPr>
          <w:rFonts w:ascii="Times New Roman" w:hAnsi="Times New Roman" w:cs="Times New Roman"/>
          <w:b/>
          <w:bCs/>
          <w:color w:val="000000" w:themeColor="text1"/>
          <w:sz w:val="24"/>
        </w:rPr>
      </w:pPr>
      <w:r>
        <w:rPr>
          <w:rFonts w:ascii="Times New Roman" w:hAnsi="Times New Roman" w:cs="Times New Roman" w:hint="eastAsia"/>
          <w:b/>
          <w:bCs/>
          <w:color w:val="000000" w:themeColor="text1"/>
          <w:sz w:val="24"/>
        </w:rPr>
        <w:t>Figure S1. Venn diagram illustrating the overlap of DEGs across different time points for each treatment.</w:t>
      </w:r>
    </w:p>
    <w:p w14:paraId="20023D8E" w14:textId="77777777" w:rsidR="00043A2B" w:rsidRDefault="00043A2B" w:rsidP="00043A2B">
      <w:pPr>
        <w:spacing w:line="360" w:lineRule="auto"/>
        <w:jc w:val="both"/>
        <w:rPr>
          <w:rFonts w:ascii="Times New Roman" w:hAnsi="Times New Roman" w:cs="Times New Roman"/>
          <w:color w:val="000000" w:themeColor="text1"/>
          <w:sz w:val="24"/>
        </w:rPr>
      </w:pPr>
    </w:p>
    <w:p w14:paraId="11003E5D" w14:textId="77777777" w:rsidR="00043A2B" w:rsidRDefault="00043A2B" w:rsidP="00043A2B">
      <w:pPr>
        <w:spacing w:after="0" w:line="360" w:lineRule="auto"/>
        <w:jc w:val="both"/>
        <w:rPr>
          <w:rFonts w:ascii="Times New Roman" w:hAnsi="Times New Roman" w:cs="Times New Roman"/>
          <w:b/>
          <w:bCs/>
          <w:color w:val="000000" w:themeColor="text1"/>
          <w:sz w:val="24"/>
        </w:rPr>
      </w:pPr>
      <w:r>
        <w:rPr>
          <w:rFonts w:ascii="Times New Roman" w:hAnsi="Times New Roman" w:cs="Times New Roman" w:hint="eastAsia"/>
          <w:b/>
          <w:bCs/>
          <w:color w:val="000000" w:themeColor="text1"/>
          <w:sz w:val="24"/>
        </w:rPr>
        <w:t xml:space="preserve">Figure S2. </w:t>
      </w:r>
      <w:r>
        <w:rPr>
          <w:rFonts w:ascii="Times New Roman" w:hAnsi="Times New Roman" w:cs="Times New Roman"/>
          <w:b/>
          <w:bCs/>
          <w:color w:val="000000" w:themeColor="text1"/>
          <w:sz w:val="24"/>
        </w:rPr>
        <w:t>Pie chart</w:t>
      </w:r>
      <w:r>
        <w:rPr>
          <w:rFonts w:ascii="Times New Roman" w:hAnsi="Times New Roman" w:cs="Times New Roman" w:hint="eastAsia"/>
          <w:b/>
          <w:bCs/>
          <w:color w:val="000000" w:themeColor="text1"/>
          <w:sz w:val="24"/>
        </w:rPr>
        <w:t>s</w:t>
      </w:r>
      <w:r>
        <w:rPr>
          <w:rFonts w:ascii="Times New Roman" w:hAnsi="Times New Roman" w:cs="Times New Roman"/>
          <w:b/>
          <w:bCs/>
          <w:color w:val="000000" w:themeColor="text1"/>
          <w:sz w:val="24"/>
        </w:rPr>
        <w:t xml:space="preserve"> showing the proportion of each gene type.</w:t>
      </w:r>
    </w:p>
    <w:p w14:paraId="51653E17" w14:textId="77777777" w:rsidR="00043A2B" w:rsidRDefault="00043A2B" w:rsidP="00043A2B">
      <w:pPr>
        <w:spacing w:line="360" w:lineRule="auto"/>
        <w:jc w:val="both"/>
        <w:rPr>
          <w:rFonts w:ascii="Times New Roman" w:hAnsi="Times New Roman" w:cs="Times New Roman"/>
          <w:color w:val="000000" w:themeColor="text1"/>
          <w:sz w:val="24"/>
        </w:rPr>
      </w:pPr>
    </w:p>
    <w:p w14:paraId="340BDD0F" w14:textId="77777777" w:rsidR="00043A2B" w:rsidRDefault="00043A2B" w:rsidP="00043A2B">
      <w:pPr>
        <w:spacing w:after="0" w:line="360" w:lineRule="auto"/>
        <w:jc w:val="both"/>
        <w:rPr>
          <w:rFonts w:ascii="Times New Roman" w:hAnsi="Times New Roman" w:cs="Times New Roman"/>
          <w:color w:val="000000" w:themeColor="text1"/>
          <w:sz w:val="24"/>
        </w:rPr>
      </w:pPr>
      <w:r>
        <w:rPr>
          <w:rFonts w:ascii="Times New Roman" w:hAnsi="Times New Roman" w:cs="Times New Roman" w:hint="eastAsia"/>
          <w:b/>
          <w:bCs/>
          <w:color w:val="000000" w:themeColor="text1"/>
          <w:sz w:val="24"/>
        </w:rPr>
        <w:t xml:space="preserve">Figure S3. </w:t>
      </w:r>
      <w:r>
        <w:rPr>
          <w:rFonts w:ascii="Times New Roman" w:hAnsi="Times New Roman" w:cs="Times New Roman"/>
          <w:b/>
          <w:bCs/>
          <w:color w:val="000000" w:themeColor="text1"/>
          <w:sz w:val="24"/>
        </w:rPr>
        <w:t xml:space="preserve">Chromosomal distribution of each gene category. </w:t>
      </w:r>
    </w:p>
    <w:p w14:paraId="462C6715" w14:textId="77777777" w:rsidR="00043A2B" w:rsidRDefault="00043A2B" w:rsidP="00043A2B">
      <w:pPr>
        <w:spacing w:after="0"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The genome was divided into non-overlapping 3 Mb windows, and hypergeometric tests were performed to assess the enrichment of each gene category within each window relative to the genomic background. The red dashed line indicates the significance threshold (adjusted </w:t>
      </w:r>
      <w:r>
        <w:rPr>
          <w:rFonts w:ascii="Times New Roman" w:hAnsi="Times New Roman" w:cs="Times New Roman" w:hint="eastAsia"/>
          <w:color w:val="000000" w:themeColor="text1"/>
          <w:sz w:val="24"/>
        </w:rPr>
        <w:t>P</w:t>
      </w:r>
      <w:r>
        <w:rPr>
          <w:rFonts w:ascii="Times New Roman" w:hAnsi="Times New Roman" w:cs="Times New Roman"/>
          <w:color w:val="000000" w:themeColor="text1"/>
          <w:sz w:val="24"/>
        </w:rPr>
        <w:t xml:space="preserve"> = 0.05).</w:t>
      </w:r>
    </w:p>
    <w:p w14:paraId="307B7A47" w14:textId="77777777" w:rsidR="00043A2B" w:rsidRDefault="00043A2B" w:rsidP="00043A2B">
      <w:pPr>
        <w:spacing w:after="0" w:line="360" w:lineRule="auto"/>
        <w:jc w:val="both"/>
        <w:rPr>
          <w:rFonts w:ascii="Times New Roman" w:hAnsi="Times New Roman" w:cs="Times New Roman"/>
          <w:b/>
          <w:bCs/>
          <w:color w:val="000000" w:themeColor="text1"/>
          <w:sz w:val="24"/>
        </w:rPr>
      </w:pPr>
    </w:p>
    <w:p w14:paraId="0C0ED3FB" w14:textId="77777777" w:rsidR="00043A2B" w:rsidRDefault="00043A2B" w:rsidP="00043A2B">
      <w:pPr>
        <w:spacing w:after="0" w:line="360" w:lineRule="auto"/>
        <w:jc w:val="both"/>
        <w:rPr>
          <w:rFonts w:ascii="Times New Roman" w:hAnsi="Times New Roman" w:cs="Times New Roman"/>
          <w:color w:val="000000" w:themeColor="text1"/>
          <w:sz w:val="24"/>
        </w:rPr>
      </w:pPr>
      <w:r>
        <w:rPr>
          <w:rFonts w:ascii="Times New Roman" w:hAnsi="Times New Roman" w:cs="Times New Roman" w:hint="eastAsia"/>
          <w:b/>
          <w:bCs/>
          <w:color w:val="000000" w:themeColor="text1"/>
          <w:sz w:val="24"/>
        </w:rPr>
        <w:t>Figure S4.</w:t>
      </w:r>
      <w:r>
        <w:rPr>
          <w:rFonts w:ascii="Times New Roman" w:hAnsi="Times New Roman" w:cs="Times New Roman" w:hint="eastAsia"/>
          <w:color w:val="000000" w:themeColor="text1"/>
          <w:sz w:val="24"/>
        </w:rPr>
        <w:t xml:space="preserve"> </w:t>
      </w:r>
      <w:r>
        <w:rPr>
          <w:rFonts w:ascii="Times New Roman" w:hAnsi="Times New Roman" w:cs="Times New Roman"/>
          <w:b/>
          <w:bCs/>
          <w:color w:val="000000" w:themeColor="text1"/>
          <w:sz w:val="24"/>
        </w:rPr>
        <w:t xml:space="preserve">Co-expression network visualization under </w:t>
      </w:r>
      <w:r>
        <w:rPr>
          <w:rFonts w:ascii="Times New Roman" w:hAnsi="Times New Roman" w:cs="Times New Roman" w:hint="eastAsia"/>
          <w:b/>
          <w:bCs/>
          <w:color w:val="000000" w:themeColor="text1"/>
          <w:sz w:val="24"/>
        </w:rPr>
        <w:t xml:space="preserve">salt and combined salt-cold </w:t>
      </w:r>
      <w:r>
        <w:rPr>
          <w:rFonts w:ascii="Times New Roman" w:hAnsi="Times New Roman" w:cs="Times New Roman"/>
          <w:b/>
          <w:bCs/>
          <w:color w:val="000000" w:themeColor="text1"/>
          <w:sz w:val="24"/>
        </w:rPr>
        <w:t xml:space="preserve">stress. </w:t>
      </w:r>
    </w:p>
    <w:p w14:paraId="2FE70406" w14:textId="77777777" w:rsidR="00043A2B" w:rsidRDefault="00043A2B" w:rsidP="00043A2B">
      <w:pPr>
        <w:spacing w:after="0" w:line="360" w:lineRule="auto"/>
        <w:jc w:val="both"/>
        <w:rPr>
          <w:rFonts w:ascii="Times New Roman" w:hAnsi="Times New Roman" w:cs="Times New Roman"/>
          <w:color w:val="000000" w:themeColor="text1"/>
          <w:sz w:val="24"/>
        </w:rPr>
      </w:pPr>
      <w:r>
        <w:rPr>
          <w:rFonts w:ascii="Times New Roman" w:hAnsi="Times New Roman" w:cs="Times New Roman" w:hint="eastAsia"/>
          <w:color w:val="000000" w:themeColor="text1"/>
          <w:sz w:val="24"/>
        </w:rPr>
        <w:t>Modules significantly associated with each stress treatment (P &lt; 0.05) were selected for co-expression network visualization</w:t>
      </w:r>
      <w:r>
        <w:rPr>
          <w:rFonts w:ascii="Times New Roman" w:hAnsi="Times New Roman" w:cs="Times New Roman"/>
          <w:color w:val="000000" w:themeColor="text1"/>
          <w:sz w:val="24"/>
        </w:rPr>
        <w:t>.</w:t>
      </w:r>
      <w:r>
        <w:rPr>
          <w:rFonts w:ascii="Times New Roman" w:hAnsi="Times New Roman" w:cs="Times New Roman" w:hint="eastAsia"/>
          <w:color w:val="000000" w:themeColor="text1"/>
          <w:sz w:val="24"/>
        </w:rPr>
        <w:t xml:space="preserve"> </w:t>
      </w:r>
      <w:r>
        <w:rPr>
          <w:rFonts w:ascii="Times New Roman" w:hAnsi="Times New Roman" w:cs="Times New Roman"/>
          <w:color w:val="000000" w:themeColor="text1"/>
          <w:sz w:val="24"/>
        </w:rPr>
        <w:t>Each node represents a gene, colored by module membership. Node size is proportional to intramodular connectivity (kIM), indicating gene centrality within the module.</w:t>
      </w:r>
      <w:r>
        <w:rPr>
          <w:color w:val="000000" w:themeColor="text1"/>
        </w:rPr>
        <w:t xml:space="preserve"> </w:t>
      </w:r>
      <w:r>
        <w:rPr>
          <w:rFonts w:ascii="Times New Roman" w:hAnsi="Times New Roman" w:cs="Times New Roman"/>
          <w:color w:val="000000" w:themeColor="text1"/>
          <w:sz w:val="24"/>
        </w:rPr>
        <w:t>Networks include DEGs among the top 100 genes ranked by kIM within each module.</w:t>
      </w:r>
      <w:r>
        <w:rPr>
          <w:rFonts w:ascii="Times New Roman" w:hAnsi="Times New Roman" w:cs="Times New Roman" w:hint="eastAsia"/>
          <w:color w:val="000000" w:themeColor="text1"/>
          <w:sz w:val="24"/>
        </w:rPr>
        <w:t xml:space="preserve"> </w:t>
      </w:r>
      <w:r>
        <w:rPr>
          <w:rFonts w:ascii="Times New Roman" w:hAnsi="Times New Roman" w:cs="Times New Roman"/>
          <w:color w:val="000000" w:themeColor="text1"/>
          <w:sz w:val="24"/>
        </w:rPr>
        <w:t>Hub DEGs, defined as DEGs among the top 10 genes ranked by kIM within each module,</w:t>
      </w:r>
      <w:r>
        <w:rPr>
          <w:color w:val="000000" w:themeColor="text1"/>
        </w:rPr>
        <w:t xml:space="preserve"> </w:t>
      </w:r>
      <w:r>
        <w:rPr>
          <w:rFonts w:ascii="Times New Roman" w:hAnsi="Times New Roman" w:cs="Times New Roman"/>
          <w:color w:val="000000" w:themeColor="text1"/>
          <w:sz w:val="24"/>
        </w:rPr>
        <w:t>are highlighted and labeled.</w:t>
      </w:r>
    </w:p>
    <w:p w14:paraId="4C922ABA" w14:textId="77777777" w:rsidR="00043A2B" w:rsidRDefault="00043A2B" w:rsidP="00043A2B">
      <w:pPr>
        <w:spacing w:line="360" w:lineRule="auto"/>
        <w:jc w:val="both"/>
        <w:rPr>
          <w:rFonts w:ascii="Times New Roman" w:hAnsi="Times New Roman" w:cs="Times New Roman"/>
          <w:color w:val="000000" w:themeColor="text1"/>
          <w:sz w:val="24"/>
        </w:rPr>
      </w:pPr>
    </w:p>
    <w:p w14:paraId="1E7E0587" w14:textId="77777777" w:rsidR="00043A2B" w:rsidRDefault="00043A2B" w:rsidP="00043A2B">
      <w:pPr>
        <w:spacing w:after="0" w:line="360" w:lineRule="auto"/>
        <w:jc w:val="both"/>
        <w:rPr>
          <w:rFonts w:ascii="Times New Roman" w:hAnsi="Times New Roman" w:cs="Times New Roman"/>
          <w:color w:val="000000" w:themeColor="text1"/>
          <w:sz w:val="24"/>
        </w:rPr>
      </w:pPr>
      <w:r>
        <w:rPr>
          <w:rFonts w:ascii="Times New Roman" w:hAnsi="Times New Roman" w:cs="Times New Roman" w:hint="eastAsia"/>
          <w:b/>
          <w:bCs/>
          <w:color w:val="000000" w:themeColor="text1"/>
          <w:sz w:val="24"/>
        </w:rPr>
        <w:t>Figure S5.</w:t>
      </w:r>
      <w:r>
        <w:rPr>
          <w:rFonts w:ascii="Times New Roman" w:hAnsi="Times New Roman" w:cs="Times New Roman" w:hint="eastAsia"/>
          <w:color w:val="000000" w:themeColor="text1"/>
          <w:sz w:val="24"/>
        </w:rPr>
        <w:t xml:space="preserve"> </w:t>
      </w:r>
      <w:r>
        <w:rPr>
          <w:rFonts w:ascii="Times New Roman" w:hAnsi="Times New Roman" w:cs="Times New Roman"/>
          <w:b/>
          <w:bCs/>
          <w:color w:val="000000" w:themeColor="text1"/>
          <w:sz w:val="24"/>
        </w:rPr>
        <w:t xml:space="preserve">Hierarchical </w:t>
      </w:r>
      <w:r>
        <w:rPr>
          <w:rFonts w:ascii="Times New Roman" w:hAnsi="Times New Roman" w:cs="Times New Roman" w:hint="eastAsia"/>
          <w:b/>
          <w:bCs/>
          <w:color w:val="000000" w:themeColor="text1"/>
          <w:sz w:val="24"/>
        </w:rPr>
        <w:t>TF</w:t>
      </w:r>
      <w:r>
        <w:rPr>
          <w:rFonts w:ascii="Times New Roman" w:hAnsi="Times New Roman" w:cs="Times New Roman"/>
          <w:b/>
          <w:bCs/>
          <w:color w:val="000000" w:themeColor="text1"/>
          <w:sz w:val="24"/>
        </w:rPr>
        <w:t xml:space="preserve"> cascade network under </w:t>
      </w:r>
      <w:r>
        <w:rPr>
          <w:rFonts w:ascii="Times New Roman" w:hAnsi="Times New Roman" w:cs="Times New Roman" w:hint="eastAsia"/>
          <w:b/>
          <w:bCs/>
          <w:color w:val="000000" w:themeColor="text1"/>
          <w:sz w:val="24"/>
        </w:rPr>
        <w:t xml:space="preserve">salt and combined salt-cold </w:t>
      </w:r>
      <w:r>
        <w:rPr>
          <w:rFonts w:ascii="Times New Roman" w:hAnsi="Times New Roman" w:cs="Times New Roman"/>
          <w:b/>
          <w:bCs/>
          <w:color w:val="000000" w:themeColor="text1"/>
          <w:sz w:val="24"/>
        </w:rPr>
        <w:t xml:space="preserve">stress. </w:t>
      </w:r>
    </w:p>
    <w:p w14:paraId="63A6CB5B" w14:textId="77777777" w:rsidR="00043A2B" w:rsidRDefault="00043A2B" w:rsidP="00043A2B">
      <w:pPr>
        <w:spacing w:after="0"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Directed graph showing a three-layer TF regulatory cascade inferred under </w:t>
      </w:r>
      <w:r>
        <w:rPr>
          <w:rFonts w:ascii="Times New Roman" w:hAnsi="Times New Roman" w:cs="Times New Roman" w:hint="eastAsia"/>
          <w:color w:val="000000" w:themeColor="text1"/>
          <w:sz w:val="24"/>
        </w:rPr>
        <w:t>salt and combined salt-cold stress</w:t>
      </w:r>
      <w:r>
        <w:rPr>
          <w:rFonts w:ascii="Times New Roman" w:hAnsi="Times New Roman" w:cs="Times New Roman"/>
          <w:color w:val="000000" w:themeColor="text1"/>
          <w:sz w:val="24"/>
        </w:rPr>
        <w:t>: TFs activated at 6 h regulate those at 12 h, which in turn regulate TFs at 24 h. Nodes represent TFs colored by family, and edges indicate predicted regulatory interactions. Edge width and transparency correspond to the frequency of predicted interactions, and arrows indicate regulatory direction.</w:t>
      </w:r>
    </w:p>
    <w:p w14:paraId="10D44E8F" w14:textId="77777777" w:rsidR="00043A2B" w:rsidRDefault="00043A2B" w:rsidP="00043A2B">
      <w:pPr>
        <w:spacing w:line="360" w:lineRule="auto"/>
        <w:jc w:val="both"/>
        <w:rPr>
          <w:rFonts w:ascii="Times New Roman" w:hAnsi="Times New Roman" w:cs="Times New Roman"/>
          <w:sz w:val="24"/>
        </w:rPr>
      </w:pPr>
    </w:p>
    <w:p w14:paraId="3BD67806" w14:textId="77777777" w:rsidR="00043A2B" w:rsidRDefault="00043A2B" w:rsidP="00043A2B">
      <w:pPr>
        <w:spacing w:line="360" w:lineRule="auto"/>
        <w:jc w:val="both"/>
        <w:rPr>
          <w:rFonts w:ascii="Times New Roman" w:hAnsi="Times New Roman" w:cs="Times New Roman"/>
          <w:sz w:val="24"/>
        </w:rPr>
      </w:pPr>
    </w:p>
    <w:p w14:paraId="2DC7613C" w14:textId="77777777" w:rsidR="00E023F9" w:rsidRDefault="00E023F9"/>
    <w:sectPr w:rsidR="00E023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A2B"/>
    <w:rsid w:val="00043A2B"/>
    <w:rsid w:val="000C4033"/>
    <w:rsid w:val="00173ED8"/>
    <w:rsid w:val="002F50B1"/>
    <w:rsid w:val="004B42CB"/>
    <w:rsid w:val="005F2B46"/>
    <w:rsid w:val="006E1731"/>
    <w:rsid w:val="00866D74"/>
    <w:rsid w:val="00882A73"/>
    <w:rsid w:val="00906905"/>
    <w:rsid w:val="0095305D"/>
    <w:rsid w:val="00B10170"/>
    <w:rsid w:val="00B260B7"/>
    <w:rsid w:val="00B85331"/>
    <w:rsid w:val="00C51854"/>
    <w:rsid w:val="00C94D66"/>
    <w:rsid w:val="00DE7E69"/>
    <w:rsid w:val="00E023F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171C4"/>
  <w15:chartTrackingRefBased/>
  <w15:docId w15:val="{881693D8-68DC-40DC-BCD7-F3B34C233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3A2B"/>
    <w:pPr>
      <w:widowControl w:val="0"/>
    </w:pPr>
    <w:rPr>
      <w:rFonts w:eastAsiaTheme="minorEastAsia"/>
      <w:sz w:val="22"/>
      <w:lang w:val="en-US" w:eastAsia="zh-CN"/>
    </w:rPr>
  </w:style>
  <w:style w:type="paragraph" w:styleId="Heading1">
    <w:name w:val="heading 1"/>
    <w:basedOn w:val="Normal"/>
    <w:next w:val="Normal"/>
    <w:link w:val="Heading1Char"/>
    <w:uiPriority w:val="9"/>
    <w:qFormat/>
    <w:rsid w:val="00043A2B"/>
    <w:pPr>
      <w:keepNext/>
      <w:keepLines/>
      <w:widowControl/>
      <w:spacing w:before="360" w:after="80"/>
      <w:outlineLvl w:val="0"/>
    </w:pPr>
    <w:rPr>
      <w:rFonts w:asciiTheme="majorHAnsi" w:eastAsiaTheme="majorEastAsia" w:hAnsiTheme="majorHAnsi" w:cstheme="majorBidi"/>
      <w:color w:val="0F4761" w:themeColor="accent1" w:themeShade="BF"/>
      <w:sz w:val="40"/>
      <w:szCs w:val="40"/>
      <w:lang w:val="en-IN" w:eastAsia="en-US"/>
    </w:rPr>
  </w:style>
  <w:style w:type="paragraph" w:styleId="Heading2">
    <w:name w:val="heading 2"/>
    <w:basedOn w:val="Normal"/>
    <w:next w:val="Normal"/>
    <w:link w:val="Heading2Char"/>
    <w:uiPriority w:val="9"/>
    <w:semiHidden/>
    <w:unhideWhenUsed/>
    <w:qFormat/>
    <w:rsid w:val="00043A2B"/>
    <w:pPr>
      <w:keepNext/>
      <w:keepLines/>
      <w:widowControl/>
      <w:spacing w:before="160" w:after="80"/>
      <w:outlineLvl w:val="1"/>
    </w:pPr>
    <w:rPr>
      <w:rFonts w:asciiTheme="majorHAnsi" w:eastAsiaTheme="majorEastAsia" w:hAnsiTheme="majorHAnsi" w:cstheme="majorBidi"/>
      <w:color w:val="0F4761" w:themeColor="accent1" w:themeShade="BF"/>
      <w:sz w:val="32"/>
      <w:szCs w:val="32"/>
      <w:lang w:val="en-IN" w:eastAsia="en-US"/>
    </w:rPr>
  </w:style>
  <w:style w:type="paragraph" w:styleId="Heading3">
    <w:name w:val="heading 3"/>
    <w:basedOn w:val="Normal"/>
    <w:next w:val="Normal"/>
    <w:link w:val="Heading3Char"/>
    <w:uiPriority w:val="9"/>
    <w:semiHidden/>
    <w:unhideWhenUsed/>
    <w:qFormat/>
    <w:rsid w:val="00043A2B"/>
    <w:pPr>
      <w:keepNext/>
      <w:keepLines/>
      <w:widowControl/>
      <w:spacing w:before="160" w:after="80"/>
      <w:outlineLvl w:val="2"/>
    </w:pPr>
    <w:rPr>
      <w:rFonts w:eastAsiaTheme="majorEastAsia" w:cstheme="majorBidi"/>
      <w:color w:val="0F4761" w:themeColor="accent1" w:themeShade="BF"/>
      <w:sz w:val="28"/>
      <w:szCs w:val="28"/>
      <w:lang w:val="en-IN" w:eastAsia="en-US"/>
    </w:rPr>
  </w:style>
  <w:style w:type="paragraph" w:styleId="Heading4">
    <w:name w:val="heading 4"/>
    <w:basedOn w:val="Normal"/>
    <w:next w:val="Normal"/>
    <w:link w:val="Heading4Char"/>
    <w:uiPriority w:val="9"/>
    <w:semiHidden/>
    <w:unhideWhenUsed/>
    <w:qFormat/>
    <w:rsid w:val="00043A2B"/>
    <w:pPr>
      <w:keepNext/>
      <w:keepLines/>
      <w:widowControl/>
      <w:spacing w:before="80" w:after="40"/>
      <w:outlineLvl w:val="3"/>
    </w:pPr>
    <w:rPr>
      <w:rFonts w:eastAsiaTheme="majorEastAsia" w:cstheme="majorBidi"/>
      <w:i/>
      <w:iCs/>
      <w:color w:val="0F4761" w:themeColor="accent1" w:themeShade="BF"/>
      <w:sz w:val="24"/>
      <w:lang w:val="en-IN" w:eastAsia="en-US"/>
    </w:rPr>
  </w:style>
  <w:style w:type="paragraph" w:styleId="Heading5">
    <w:name w:val="heading 5"/>
    <w:basedOn w:val="Normal"/>
    <w:next w:val="Normal"/>
    <w:link w:val="Heading5Char"/>
    <w:uiPriority w:val="9"/>
    <w:semiHidden/>
    <w:unhideWhenUsed/>
    <w:qFormat/>
    <w:rsid w:val="00043A2B"/>
    <w:pPr>
      <w:keepNext/>
      <w:keepLines/>
      <w:widowControl/>
      <w:spacing w:before="80" w:after="40"/>
      <w:outlineLvl w:val="4"/>
    </w:pPr>
    <w:rPr>
      <w:rFonts w:eastAsiaTheme="majorEastAsia" w:cstheme="majorBidi"/>
      <w:color w:val="0F4761" w:themeColor="accent1" w:themeShade="BF"/>
      <w:sz w:val="24"/>
      <w:lang w:val="en-IN" w:eastAsia="en-US"/>
    </w:rPr>
  </w:style>
  <w:style w:type="paragraph" w:styleId="Heading6">
    <w:name w:val="heading 6"/>
    <w:basedOn w:val="Normal"/>
    <w:next w:val="Normal"/>
    <w:link w:val="Heading6Char"/>
    <w:uiPriority w:val="9"/>
    <w:semiHidden/>
    <w:unhideWhenUsed/>
    <w:qFormat/>
    <w:rsid w:val="00043A2B"/>
    <w:pPr>
      <w:keepNext/>
      <w:keepLines/>
      <w:widowControl/>
      <w:spacing w:before="40" w:after="0"/>
      <w:outlineLvl w:val="5"/>
    </w:pPr>
    <w:rPr>
      <w:rFonts w:eastAsiaTheme="majorEastAsia" w:cstheme="majorBidi"/>
      <w:i/>
      <w:iCs/>
      <w:color w:val="595959" w:themeColor="text1" w:themeTint="A6"/>
      <w:sz w:val="24"/>
      <w:lang w:val="en-IN" w:eastAsia="en-US"/>
    </w:rPr>
  </w:style>
  <w:style w:type="paragraph" w:styleId="Heading7">
    <w:name w:val="heading 7"/>
    <w:basedOn w:val="Normal"/>
    <w:next w:val="Normal"/>
    <w:link w:val="Heading7Char"/>
    <w:uiPriority w:val="9"/>
    <w:semiHidden/>
    <w:unhideWhenUsed/>
    <w:qFormat/>
    <w:rsid w:val="00043A2B"/>
    <w:pPr>
      <w:keepNext/>
      <w:keepLines/>
      <w:widowControl/>
      <w:spacing w:before="40" w:after="0"/>
      <w:outlineLvl w:val="6"/>
    </w:pPr>
    <w:rPr>
      <w:rFonts w:eastAsiaTheme="majorEastAsia" w:cstheme="majorBidi"/>
      <w:color w:val="595959" w:themeColor="text1" w:themeTint="A6"/>
      <w:sz w:val="24"/>
      <w:lang w:val="en-IN" w:eastAsia="en-US"/>
    </w:rPr>
  </w:style>
  <w:style w:type="paragraph" w:styleId="Heading8">
    <w:name w:val="heading 8"/>
    <w:basedOn w:val="Normal"/>
    <w:next w:val="Normal"/>
    <w:link w:val="Heading8Char"/>
    <w:uiPriority w:val="9"/>
    <w:semiHidden/>
    <w:unhideWhenUsed/>
    <w:qFormat/>
    <w:rsid w:val="00043A2B"/>
    <w:pPr>
      <w:keepNext/>
      <w:keepLines/>
      <w:widowControl/>
      <w:spacing w:after="0"/>
      <w:outlineLvl w:val="7"/>
    </w:pPr>
    <w:rPr>
      <w:rFonts w:eastAsiaTheme="majorEastAsia" w:cstheme="majorBidi"/>
      <w:i/>
      <w:iCs/>
      <w:color w:val="272727" w:themeColor="text1" w:themeTint="D8"/>
      <w:sz w:val="24"/>
      <w:lang w:val="en-IN" w:eastAsia="en-US"/>
    </w:rPr>
  </w:style>
  <w:style w:type="paragraph" w:styleId="Heading9">
    <w:name w:val="heading 9"/>
    <w:basedOn w:val="Normal"/>
    <w:next w:val="Normal"/>
    <w:link w:val="Heading9Char"/>
    <w:uiPriority w:val="9"/>
    <w:semiHidden/>
    <w:unhideWhenUsed/>
    <w:qFormat/>
    <w:rsid w:val="00043A2B"/>
    <w:pPr>
      <w:keepNext/>
      <w:keepLines/>
      <w:widowControl/>
      <w:spacing w:after="0"/>
      <w:outlineLvl w:val="8"/>
    </w:pPr>
    <w:rPr>
      <w:rFonts w:eastAsiaTheme="majorEastAsia" w:cstheme="majorBidi"/>
      <w:color w:val="272727" w:themeColor="text1" w:themeTint="D8"/>
      <w:sz w:val="24"/>
      <w:lang w:val="en-IN"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3A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3A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3A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3A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3A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3A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3A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3A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3A2B"/>
    <w:rPr>
      <w:rFonts w:eastAsiaTheme="majorEastAsia" w:cstheme="majorBidi"/>
      <w:color w:val="272727" w:themeColor="text1" w:themeTint="D8"/>
    </w:rPr>
  </w:style>
  <w:style w:type="paragraph" w:styleId="Title">
    <w:name w:val="Title"/>
    <w:basedOn w:val="Normal"/>
    <w:next w:val="Normal"/>
    <w:link w:val="TitleChar"/>
    <w:uiPriority w:val="10"/>
    <w:qFormat/>
    <w:rsid w:val="00043A2B"/>
    <w:pPr>
      <w:widowControl/>
      <w:spacing w:after="80" w:line="240" w:lineRule="auto"/>
      <w:contextualSpacing/>
    </w:pPr>
    <w:rPr>
      <w:rFonts w:asciiTheme="majorHAnsi" w:eastAsiaTheme="majorEastAsia" w:hAnsiTheme="majorHAnsi" w:cstheme="majorBidi"/>
      <w:spacing w:val="-10"/>
      <w:kern w:val="28"/>
      <w:sz w:val="56"/>
      <w:szCs w:val="56"/>
      <w:lang w:val="en-IN" w:eastAsia="en-US"/>
    </w:rPr>
  </w:style>
  <w:style w:type="character" w:customStyle="1" w:styleId="TitleChar">
    <w:name w:val="Title Char"/>
    <w:basedOn w:val="DefaultParagraphFont"/>
    <w:link w:val="Title"/>
    <w:uiPriority w:val="10"/>
    <w:rsid w:val="00043A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3A2B"/>
    <w:pPr>
      <w:widowControl/>
      <w:numPr>
        <w:ilvl w:val="1"/>
      </w:numPr>
    </w:pPr>
    <w:rPr>
      <w:rFonts w:eastAsiaTheme="majorEastAsia" w:cstheme="majorBidi"/>
      <w:color w:val="595959" w:themeColor="text1" w:themeTint="A6"/>
      <w:spacing w:val="15"/>
      <w:sz w:val="28"/>
      <w:szCs w:val="28"/>
      <w:lang w:val="en-IN" w:eastAsia="en-US"/>
    </w:rPr>
  </w:style>
  <w:style w:type="character" w:customStyle="1" w:styleId="SubtitleChar">
    <w:name w:val="Subtitle Char"/>
    <w:basedOn w:val="DefaultParagraphFont"/>
    <w:link w:val="Subtitle"/>
    <w:uiPriority w:val="11"/>
    <w:rsid w:val="00043A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3A2B"/>
    <w:pPr>
      <w:widowControl/>
      <w:spacing w:before="160"/>
      <w:jc w:val="center"/>
    </w:pPr>
    <w:rPr>
      <w:rFonts w:eastAsiaTheme="minorHAnsi"/>
      <w:i/>
      <w:iCs/>
      <w:color w:val="404040" w:themeColor="text1" w:themeTint="BF"/>
      <w:sz w:val="24"/>
      <w:lang w:val="en-IN" w:eastAsia="en-US"/>
    </w:rPr>
  </w:style>
  <w:style w:type="character" w:customStyle="1" w:styleId="QuoteChar">
    <w:name w:val="Quote Char"/>
    <w:basedOn w:val="DefaultParagraphFont"/>
    <w:link w:val="Quote"/>
    <w:uiPriority w:val="29"/>
    <w:rsid w:val="00043A2B"/>
    <w:rPr>
      <w:i/>
      <w:iCs/>
      <w:color w:val="404040" w:themeColor="text1" w:themeTint="BF"/>
    </w:rPr>
  </w:style>
  <w:style w:type="paragraph" w:styleId="ListParagraph">
    <w:name w:val="List Paragraph"/>
    <w:basedOn w:val="Normal"/>
    <w:uiPriority w:val="34"/>
    <w:qFormat/>
    <w:rsid w:val="00043A2B"/>
    <w:pPr>
      <w:widowControl/>
      <w:ind w:left="720"/>
      <w:contextualSpacing/>
    </w:pPr>
    <w:rPr>
      <w:rFonts w:eastAsiaTheme="minorHAnsi"/>
      <w:sz w:val="24"/>
      <w:lang w:val="en-IN" w:eastAsia="en-US"/>
    </w:rPr>
  </w:style>
  <w:style w:type="character" w:styleId="IntenseEmphasis">
    <w:name w:val="Intense Emphasis"/>
    <w:basedOn w:val="DefaultParagraphFont"/>
    <w:uiPriority w:val="21"/>
    <w:qFormat/>
    <w:rsid w:val="00043A2B"/>
    <w:rPr>
      <w:i/>
      <w:iCs/>
      <w:color w:val="0F4761" w:themeColor="accent1" w:themeShade="BF"/>
    </w:rPr>
  </w:style>
  <w:style w:type="paragraph" w:styleId="IntenseQuote">
    <w:name w:val="Intense Quote"/>
    <w:basedOn w:val="Normal"/>
    <w:next w:val="Normal"/>
    <w:link w:val="IntenseQuoteChar"/>
    <w:uiPriority w:val="30"/>
    <w:qFormat/>
    <w:rsid w:val="00043A2B"/>
    <w:pPr>
      <w:widowControl/>
      <w:pBdr>
        <w:top w:val="single" w:sz="4" w:space="10" w:color="0F4761" w:themeColor="accent1" w:themeShade="BF"/>
        <w:bottom w:val="single" w:sz="4" w:space="10" w:color="0F4761" w:themeColor="accent1" w:themeShade="BF"/>
      </w:pBdr>
      <w:spacing w:before="360" w:after="360"/>
      <w:ind w:left="864" w:right="864"/>
      <w:jc w:val="center"/>
    </w:pPr>
    <w:rPr>
      <w:rFonts w:eastAsiaTheme="minorHAnsi"/>
      <w:i/>
      <w:iCs/>
      <w:color w:val="0F4761" w:themeColor="accent1" w:themeShade="BF"/>
      <w:sz w:val="24"/>
      <w:lang w:val="en-IN" w:eastAsia="en-US"/>
    </w:rPr>
  </w:style>
  <w:style w:type="character" w:customStyle="1" w:styleId="IntenseQuoteChar">
    <w:name w:val="Intense Quote Char"/>
    <w:basedOn w:val="DefaultParagraphFont"/>
    <w:link w:val="IntenseQuote"/>
    <w:uiPriority w:val="30"/>
    <w:rsid w:val="00043A2B"/>
    <w:rPr>
      <w:i/>
      <w:iCs/>
      <w:color w:val="0F4761" w:themeColor="accent1" w:themeShade="BF"/>
    </w:rPr>
  </w:style>
  <w:style w:type="character" w:styleId="IntenseReference">
    <w:name w:val="Intense Reference"/>
    <w:basedOn w:val="DefaultParagraphFont"/>
    <w:uiPriority w:val="32"/>
    <w:qFormat/>
    <w:rsid w:val="00043A2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236</Words>
  <Characters>1349</Characters>
  <Application>Microsoft Office Word</Application>
  <DocSecurity>0</DocSecurity>
  <Lines>11</Lines>
  <Paragraphs>3</Paragraphs>
  <ScaleCrop>false</ScaleCrop>
  <Company/>
  <LinksUpToDate>false</LinksUpToDate>
  <CharactersWithSpaces>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Trupti Sudge</dc:creator>
  <cp:keywords/>
  <dc:description/>
  <cp:lastModifiedBy>Trupti Sudge</cp:lastModifiedBy>
  <cp:revision>1</cp:revision>
  <dcterms:created xsi:type="dcterms:W3CDTF">2026-06-23T15:26:00Z</dcterms:created>
  <dcterms:modified xsi:type="dcterms:W3CDTF">2026-06-23T15:27:00Z</dcterms:modified>
</cp:coreProperties>
</file>