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76" w:type="dxa"/>
        <w:tblInd w:w="99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47"/>
        <w:gridCol w:w="2193"/>
        <w:gridCol w:w="2100"/>
        <w:gridCol w:w="204"/>
      </w:tblGrid>
      <w:tr w:rsidR="00BE7532" w:rsidRPr="00010049" w14:paraId="30A179AE" w14:textId="77777777" w:rsidTr="00316173">
        <w:trPr>
          <w:gridAfter w:val="1"/>
          <w:wAfter w:w="36" w:type="dxa"/>
          <w:trHeight w:val="320"/>
        </w:trPr>
        <w:tc>
          <w:tcPr>
            <w:tcW w:w="8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22AD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Table 1.  Baseline Patient Characteristics</w:t>
            </w:r>
          </w:p>
        </w:tc>
      </w:tr>
      <w:tr w:rsidR="00BE7532" w:rsidRPr="00010049" w14:paraId="5FAE8B62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5D55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Number of patients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95346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750A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  <w:t>208</w:t>
            </w:r>
          </w:p>
        </w:tc>
      </w:tr>
      <w:tr w:rsidR="00BE7532" w:rsidRPr="00010049" w14:paraId="3F04E68C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6119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Up front ARPI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58F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Apalutamide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A114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208</w:t>
            </w:r>
          </w:p>
        </w:tc>
      </w:tr>
      <w:tr w:rsidR="00BE7532" w:rsidRPr="00010049" w14:paraId="6EA2264B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D4CF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Age, median (IQR)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EA43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3E2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72 (66–76)</w:t>
            </w:r>
          </w:p>
        </w:tc>
      </w:tr>
      <w:tr w:rsidR="00BE7532" w:rsidRPr="00010049" w14:paraId="79AD9BF8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EED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BMI 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E14D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kg/m²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2E73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23 (21–25)</w:t>
            </w:r>
          </w:p>
        </w:tc>
      </w:tr>
      <w:tr w:rsidR="00BE7532" w:rsidRPr="00010049" w14:paraId="4EBA8427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7B9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PS,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4466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77E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162 (78.2)</w:t>
            </w:r>
          </w:p>
        </w:tc>
      </w:tr>
      <w:tr w:rsidR="00BE7532" w:rsidRPr="00010049" w14:paraId="53210591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C9E9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D93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56B4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31 (15.0)</w:t>
            </w:r>
          </w:p>
        </w:tc>
      </w:tr>
      <w:tr w:rsidR="00BE7532" w:rsidRPr="00010049" w14:paraId="6A048A55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5AC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B3D1E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8F2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 (3.4)</w:t>
            </w:r>
          </w:p>
        </w:tc>
      </w:tr>
      <w:tr w:rsidR="00BE7532" w:rsidRPr="00010049" w14:paraId="2963A42C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BBD8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2343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Cambria Math" w:eastAsia="Yu Gothic" w:hAnsi="Cambria Math"/>
                <w:color w:val="000000"/>
                <w:kern w:val="0"/>
                <w:sz w:val="24"/>
              </w:rPr>
              <w:t>≧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AE65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 (3.4)</w:t>
            </w:r>
          </w:p>
        </w:tc>
      </w:tr>
      <w:tr w:rsidR="00BE7532" w:rsidRPr="00010049" w14:paraId="0BC81753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DFC8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D15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9C3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</w:tr>
      <w:tr w:rsidR="00BE7532" w:rsidRPr="00010049" w14:paraId="1A678811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376F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Clinical T stage,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855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A56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 (2.0)</w:t>
            </w:r>
          </w:p>
        </w:tc>
      </w:tr>
      <w:tr w:rsidR="00BE7532" w:rsidRPr="00010049" w14:paraId="4816F9DD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A7A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835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A79F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21 (10.1)</w:t>
            </w:r>
          </w:p>
        </w:tc>
      </w:tr>
      <w:tr w:rsidR="00BE7532" w:rsidRPr="00010049" w14:paraId="1731771C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C5F0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CE9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1178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99 (47.8)</w:t>
            </w:r>
          </w:p>
        </w:tc>
      </w:tr>
      <w:tr w:rsidR="00BE7532" w:rsidRPr="00010049" w14:paraId="1E4F0391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1C7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593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935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83 (40.1)</w:t>
            </w:r>
          </w:p>
        </w:tc>
      </w:tr>
      <w:tr w:rsidR="00BE7532" w:rsidRPr="00010049" w14:paraId="7EE818D8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8836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6DDD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600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</w:tr>
      <w:tr w:rsidR="00BE7532" w:rsidRPr="00010049" w14:paraId="76E01BE4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1AC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Gleason score,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AF3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Cambria Math" w:eastAsia="Yu Gothic" w:hAnsi="Cambria Math"/>
                <w:color w:val="000000"/>
                <w:kern w:val="0"/>
                <w:sz w:val="24"/>
              </w:rPr>
              <w:t>≦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BD5A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15 (8.4)</w:t>
            </w:r>
          </w:p>
        </w:tc>
      </w:tr>
      <w:tr w:rsidR="00BE7532" w:rsidRPr="00010049" w14:paraId="7B317EAF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EAE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30C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6171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35 (19.7)</w:t>
            </w:r>
          </w:p>
        </w:tc>
      </w:tr>
      <w:tr w:rsidR="00BE7532" w:rsidRPr="00010049" w14:paraId="49124988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06E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5AD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0567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107 (60.1)</w:t>
            </w:r>
          </w:p>
        </w:tc>
      </w:tr>
      <w:tr w:rsidR="00BE7532" w:rsidRPr="00010049" w14:paraId="50338DF0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BDB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946F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3F10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21 (11.8)</w:t>
            </w:r>
          </w:p>
        </w:tc>
      </w:tr>
      <w:tr w:rsidR="00BE7532" w:rsidRPr="00010049" w14:paraId="56756C43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009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508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5792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30</w:t>
            </w:r>
          </w:p>
        </w:tc>
      </w:tr>
      <w:tr w:rsidR="00BE7532" w:rsidRPr="00010049" w14:paraId="5142C3E9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2EC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Primary Gleason pattern 5,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ADD2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6FC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61 (34.3)</w:t>
            </w:r>
          </w:p>
        </w:tc>
      </w:tr>
      <w:tr w:rsidR="00BE7532" w:rsidRPr="00010049" w14:paraId="7DF04A28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989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Metastatic site,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50AB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Bone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B06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181 (87.0)</w:t>
            </w:r>
          </w:p>
        </w:tc>
      </w:tr>
      <w:tr w:rsidR="00BE7532" w:rsidRPr="00010049" w14:paraId="48F77B02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9E75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52A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Lymph node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12B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137 (65.9)</w:t>
            </w:r>
          </w:p>
        </w:tc>
      </w:tr>
      <w:tr w:rsidR="00BE7532" w:rsidRPr="00010049" w14:paraId="616E226B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6C4E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CA0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Lung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D74F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30 (14.4)</w:t>
            </w:r>
          </w:p>
        </w:tc>
      </w:tr>
      <w:tr w:rsidR="00BE7532" w:rsidRPr="00010049" w14:paraId="013F7C73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3D2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230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Liver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A111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4DF4C332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6055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EOD score,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8CCD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B2C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28 (13.9)</w:t>
            </w:r>
          </w:p>
        </w:tc>
      </w:tr>
      <w:tr w:rsidR="00BE7532" w:rsidRPr="00010049" w14:paraId="410E2C43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145C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E3B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2F06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72 (35.8)</w:t>
            </w:r>
          </w:p>
        </w:tc>
      </w:tr>
      <w:tr w:rsidR="00BE7532" w:rsidRPr="00010049" w14:paraId="7C57B01C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D5B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A87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9E4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40 (19.9)</w:t>
            </w:r>
          </w:p>
        </w:tc>
      </w:tr>
      <w:tr w:rsidR="00BE7532" w:rsidRPr="00010049" w14:paraId="24F89BD6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C0E9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B0C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16F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44 (21.9)</w:t>
            </w:r>
          </w:p>
        </w:tc>
      </w:tr>
      <w:tr w:rsidR="00BE7532" w:rsidRPr="00010049" w14:paraId="6377EB9B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35D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21FF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7DD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17 (8.5)</w:t>
            </w:r>
          </w:p>
        </w:tc>
      </w:tr>
      <w:tr w:rsidR="00BE7532" w:rsidRPr="00010049" w14:paraId="4E7EAB61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67EF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760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75E6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</w:t>
            </w:r>
          </w:p>
        </w:tc>
      </w:tr>
      <w:tr w:rsidR="00BE7532" w:rsidRPr="00010049" w14:paraId="291B7386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872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High volume,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822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934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125 (60.1)</w:t>
            </w:r>
          </w:p>
        </w:tc>
      </w:tr>
      <w:tr w:rsidR="00BE7532" w:rsidRPr="00010049" w14:paraId="76AA79A1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B95E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High risk,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779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1B57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127 (61.1)</w:t>
            </w:r>
          </w:p>
        </w:tc>
      </w:tr>
      <w:tr w:rsidR="00BE7532" w:rsidRPr="00010049" w14:paraId="7D7978A7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FD9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Baseline PSA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462B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ng/mL  (IQR)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AF0E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129 (38–524)</w:t>
            </w:r>
          </w:p>
        </w:tc>
      </w:tr>
      <w:tr w:rsidR="00BE7532" w:rsidRPr="00010049" w14:paraId="45D08CEF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6A6A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ADT, n (%)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954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GnRH agonist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D17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121 (58.2)</w:t>
            </w:r>
          </w:p>
        </w:tc>
      </w:tr>
      <w:tr w:rsidR="00BE7532" w:rsidRPr="00010049" w14:paraId="0EC7E6CE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8A5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6D31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GnRH antagonist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0F1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74 (35.6)</w:t>
            </w:r>
          </w:p>
        </w:tc>
      </w:tr>
      <w:tr w:rsidR="00BE7532" w:rsidRPr="00010049" w14:paraId="5FE7E2DB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285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E00E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Castration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53DF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13 (6.3)</w:t>
            </w:r>
          </w:p>
        </w:tc>
      </w:tr>
      <w:tr w:rsidR="00BE7532" w:rsidRPr="00010049" w14:paraId="49FECABD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E47E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Baseline Hemoglobin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960E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g/dL (IQR)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1809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13.4 (11.8–14.6)</w:t>
            </w:r>
          </w:p>
        </w:tc>
      </w:tr>
      <w:tr w:rsidR="00BE7532" w:rsidRPr="00010049" w14:paraId="6D822BDC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4A31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ALP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129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U/L (IQR)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AF4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109 (81–252)</w:t>
            </w:r>
          </w:p>
        </w:tc>
      </w:tr>
      <w:tr w:rsidR="00BE7532" w:rsidRPr="00010049" w14:paraId="4B5AB7E6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996A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LDH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6392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U/L (IQR)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B398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188 (164–226)</w:t>
            </w:r>
          </w:p>
        </w:tc>
      </w:tr>
      <w:tr w:rsidR="00BE7532" w:rsidRPr="00010049" w14:paraId="53260584" w14:textId="77777777" w:rsidTr="00316173">
        <w:trPr>
          <w:gridAfter w:val="1"/>
          <w:wAfter w:w="36" w:type="dxa"/>
          <w:trHeight w:val="32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D3C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3A390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8C6D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65FA8A72" w14:textId="77777777" w:rsidTr="00316173">
        <w:trPr>
          <w:gridAfter w:val="1"/>
          <w:wAfter w:w="36" w:type="dxa"/>
          <w:trHeight w:val="567"/>
        </w:trPr>
        <w:tc>
          <w:tcPr>
            <w:tcW w:w="84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E839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lastRenderedPageBreak/>
              <w:t>ARPI, androgen receptor pathway inhibitor; BMI, body mass index; PS, performance status; NA, not analyzed; T, tumor; ADT, androgen deprivation therapy; IQR, interquartile range; GnRH, gonadotropin-releasing hormone; ALP, alkaline phosphatase; LDH, lactate dehydrogenase; U/L, international unit per liter.</w:t>
            </w:r>
          </w:p>
        </w:tc>
      </w:tr>
      <w:tr w:rsidR="00BE7532" w:rsidRPr="00010049" w14:paraId="0318F9DE" w14:textId="77777777" w:rsidTr="00316173">
        <w:trPr>
          <w:trHeight w:val="320"/>
        </w:trPr>
        <w:tc>
          <w:tcPr>
            <w:tcW w:w="84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34E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0FEB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56F6929D" w14:textId="77777777" w:rsidTr="00316173">
        <w:trPr>
          <w:trHeight w:val="320"/>
        </w:trPr>
        <w:tc>
          <w:tcPr>
            <w:tcW w:w="84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7A7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DF47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40D3E952" w14:textId="77777777" w:rsidTr="00316173">
        <w:trPr>
          <w:trHeight w:val="320"/>
        </w:trPr>
        <w:tc>
          <w:tcPr>
            <w:tcW w:w="84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3798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4BB4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0A6DA00C" w14:textId="77777777" w:rsidTr="00316173">
        <w:trPr>
          <w:trHeight w:val="320"/>
        </w:trPr>
        <w:tc>
          <w:tcPr>
            <w:tcW w:w="84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AB9B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393E5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AA19665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141376B6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  <w:sectPr w:rsidR="00BE7532" w:rsidSect="00BE7532">
          <w:headerReference w:type="default" r:id="rId4"/>
          <w:pgSz w:w="11900" w:h="16840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14:paraId="49BDEBAC" w14:textId="77777777" w:rsidR="00BE7532" w:rsidRPr="00010049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tbl>
      <w:tblPr>
        <w:tblW w:w="11916" w:type="dxa"/>
        <w:tblInd w:w="99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09"/>
        <w:gridCol w:w="1678"/>
        <w:gridCol w:w="2036"/>
        <w:gridCol w:w="1557"/>
        <w:gridCol w:w="204"/>
      </w:tblGrid>
      <w:tr w:rsidR="00BE7532" w:rsidRPr="00010049" w14:paraId="282CE5EB" w14:textId="77777777" w:rsidTr="00316173">
        <w:trPr>
          <w:gridAfter w:val="1"/>
          <w:wAfter w:w="36" w:type="dxa"/>
          <w:trHeight w:val="320"/>
        </w:trPr>
        <w:tc>
          <w:tcPr>
            <w:tcW w:w="11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7113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Table 2.  Treatment Exposure and PSA Response</w:t>
            </w:r>
          </w:p>
        </w:tc>
      </w:tr>
      <w:tr w:rsidR="00BE7532" w:rsidRPr="00010049" w14:paraId="3473CC58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27E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F0A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37A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9BF7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Apalutamide</w:t>
            </w:r>
          </w:p>
        </w:tc>
      </w:tr>
      <w:tr w:rsidR="00BE7532" w:rsidRPr="00010049" w14:paraId="5872A114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30CB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Number of patients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B533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37E0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6BCB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208</w:t>
            </w:r>
          </w:p>
        </w:tc>
      </w:tr>
      <w:tr w:rsidR="00BE7532" w:rsidRPr="00010049" w14:paraId="5F51FF5B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A6BF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Initial dose modification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75B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DF26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7D6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126 (60.6)</w:t>
            </w:r>
          </w:p>
        </w:tc>
      </w:tr>
      <w:tr w:rsidR="00BE7532" w:rsidRPr="00010049" w14:paraId="08CD62D6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E3A9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Follow-up period (months)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DE3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median (IQR)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DA78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1134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24 (14–38)</w:t>
            </w:r>
          </w:p>
        </w:tc>
      </w:tr>
      <w:tr w:rsidR="00BE7532" w:rsidRPr="00010049" w14:paraId="17EED13B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56FA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Progression to CRPC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3CB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D3DE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741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59 (28.4)</w:t>
            </w:r>
          </w:p>
        </w:tc>
      </w:tr>
      <w:tr w:rsidR="00BE7532" w:rsidRPr="00010049" w14:paraId="50C6FF22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785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Cancer-specific death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368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C332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7C5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28 (13.5)</w:t>
            </w:r>
          </w:p>
        </w:tc>
      </w:tr>
      <w:tr w:rsidR="00BE7532" w:rsidRPr="00010049" w14:paraId="30FEDBAB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A53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All-cause mortality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D6EC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61F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78F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33 (15.9)</w:t>
            </w:r>
          </w:p>
        </w:tc>
      </w:tr>
      <w:tr w:rsidR="00BE7532" w:rsidRPr="00010049" w14:paraId="71930AB5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FD6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Severe adverse events (grade 3 or more)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FEAF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80D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592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36 (17.3)</w:t>
            </w:r>
          </w:p>
        </w:tc>
      </w:tr>
      <w:tr w:rsidR="00BE7532" w:rsidRPr="00010049" w14:paraId="3C93C395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EA92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Treatment interruption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C307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CD6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BA4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94 (45.2)</w:t>
            </w:r>
          </w:p>
        </w:tc>
      </w:tr>
      <w:tr w:rsidR="00BE7532" w:rsidRPr="00010049" w14:paraId="62921FF1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2EEC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Treatment cessation due to toxicity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960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C1BF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586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50 (24.0)</w:t>
            </w:r>
          </w:p>
        </w:tc>
      </w:tr>
      <w:tr w:rsidR="00BE7532" w:rsidRPr="00010049" w14:paraId="69CE950C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524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Dose reduction due to toxicity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1D6B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2C8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0703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33 (15.9)</w:t>
            </w:r>
          </w:p>
        </w:tc>
      </w:tr>
      <w:tr w:rsidR="00BE7532" w:rsidRPr="00010049" w14:paraId="3DB7B1E6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8D2E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Patients requiring second-line therapy within 3 months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2D0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21D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D73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 (4.3)</w:t>
            </w:r>
          </w:p>
        </w:tc>
      </w:tr>
      <w:tr w:rsidR="00BE7532" w:rsidRPr="00010049" w14:paraId="0B7F7ABF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098A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Patients who proceeded to second-line therapy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C045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EA19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A1BF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68 (32.7)</w:t>
            </w:r>
          </w:p>
        </w:tc>
      </w:tr>
      <w:tr w:rsidR="00BE7532" w:rsidRPr="00010049" w14:paraId="10E22364" w14:textId="77777777" w:rsidTr="00316173">
        <w:trPr>
          <w:gridAfter w:val="1"/>
          <w:wAfter w:w="36" w:type="dxa"/>
          <w:trHeight w:val="40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A4B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PSA decline at 3months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FC43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 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539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Yu Gothic" w:eastAsia="Yu Gothic" w:hAnsi="Yu Gothic" w:hint="eastAsia"/>
                <w:color w:val="000000"/>
                <w:kern w:val="0"/>
                <w:sz w:val="24"/>
              </w:rPr>
              <w:t>≥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90%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7B8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185 (88.9)</w:t>
            </w:r>
          </w:p>
        </w:tc>
      </w:tr>
      <w:tr w:rsidR="00BE7532" w:rsidRPr="00010049" w14:paraId="451D73A3" w14:textId="77777777" w:rsidTr="00316173">
        <w:trPr>
          <w:gridAfter w:val="1"/>
          <w:wAfter w:w="36" w:type="dxa"/>
          <w:trHeight w:val="40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45BC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23184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28CB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Yu Gothic" w:eastAsia="Yu Gothic" w:hAnsi="Yu Gothic" w:hint="eastAsia"/>
                <w:color w:val="000000"/>
                <w:kern w:val="0"/>
                <w:sz w:val="24"/>
              </w:rPr>
              <w:t>≥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95%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C1FD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171 (88.2)</w:t>
            </w:r>
          </w:p>
        </w:tc>
      </w:tr>
      <w:tr w:rsidR="00BE7532" w:rsidRPr="00010049" w14:paraId="66226D60" w14:textId="77777777" w:rsidTr="00316173">
        <w:trPr>
          <w:gridAfter w:val="1"/>
          <w:wAfter w:w="36" w:type="dxa"/>
          <w:trHeight w:val="40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FE7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41BA8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5E29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Yu Gothic" w:eastAsia="Yu Gothic" w:hAnsi="Yu Gothic" w:hint="eastAsia"/>
                <w:color w:val="000000"/>
                <w:kern w:val="0"/>
                <w:sz w:val="24"/>
              </w:rPr>
              <w:t>≥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99%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47B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116 (55.8)</w:t>
            </w:r>
          </w:p>
        </w:tc>
      </w:tr>
      <w:tr w:rsidR="00BE7532" w:rsidRPr="00010049" w14:paraId="72E4E579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AF1D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B8EA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C918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PSA &lt;0.2 ng/mL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8DC3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143 (68.8)</w:t>
            </w:r>
          </w:p>
        </w:tc>
      </w:tr>
      <w:tr w:rsidR="00BE7532" w:rsidRPr="00010049" w14:paraId="5BB0DC40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357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Details of second-line treatment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4D0D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D303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Enza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3D0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29 (13.9)</w:t>
            </w:r>
          </w:p>
        </w:tc>
      </w:tr>
      <w:tr w:rsidR="00BE7532" w:rsidRPr="00010049" w14:paraId="1DBDC11B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E666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A7CFD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9E96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ABI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ADE4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17 (8.2)</w:t>
            </w:r>
          </w:p>
        </w:tc>
      </w:tr>
      <w:tr w:rsidR="00BE7532" w:rsidRPr="00010049" w14:paraId="7D603C02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D99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932D8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0831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DOC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49B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 (4.3)</w:t>
            </w:r>
          </w:p>
        </w:tc>
      </w:tr>
      <w:tr w:rsidR="00BE7532" w:rsidRPr="00010049" w14:paraId="19BF85A7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B17F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2D5F7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734F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Bicalutamide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8494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 (2.4)</w:t>
            </w:r>
          </w:p>
        </w:tc>
      </w:tr>
      <w:tr w:rsidR="00BE7532" w:rsidRPr="00010049" w14:paraId="67DD6D09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2A3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C4671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7468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Estramustine 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5F7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 (1.9)</w:t>
            </w:r>
          </w:p>
        </w:tc>
      </w:tr>
      <w:tr w:rsidR="00BE7532" w:rsidRPr="00010049" w14:paraId="22843731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E86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DAEF5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DD58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Ra-223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584C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</w:tr>
      <w:tr w:rsidR="00BE7532" w:rsidRPr="00010049" w14:paraId="193B0FDE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054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64526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850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Ra-223+Enza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C05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0C300B0A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82F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8932B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2D23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NIVO+DOC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F3C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76D662A2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427C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67FB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D7BF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CBDCA+VP-16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8DA2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634332BD" w14:textId="77777777" w:rsidTr="00316173">
        <w:trPr>
          <w:gridAfter w:val="1"/>
          <w:wAfter w:w="36" w:type="dxa"/>
          <w:trHeight w:val="320"/>
        </w:trPr>
        <w:tc>
          <w:tcPr>
            <w:tcW w:w="6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D7D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17AB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B651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07EF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73540F9D" w14:textId="77777777" w:rsidTr="00316173">
        <w:trPr>
          <w:gridAfter w:val="1"/>
          <w:wAfter w:w="36" w:type="dxa"/>
          <w:trHeight w:val="567"/>
        </w:trPr>
        <w:tc>
          <w:tcPr>
            <w:tcW w:w="118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717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CRPC, Castration-resistant prostate cancer; IQR, Interquartile range; PSA, prostate-specific antigen; Enza, Enzalutamide; ABI, Abiraterone acetate; DOC, Docetaxel; Ra-223, Radium-223 dichloride; NIVO, Nivolumab; CBDCA</w:t>
            </w:r>
            <w:r w:rsidRPr="00010049">
              <w:rPr>
                <w:rFonts w:ascii="MS Gothic" w:eastAsia="MS Gothic" w:hAnsi="MS Gothic" w:hint="eastAsia"/>
                <w:color w:val="000000"/>
                <w:kern w:val="0"/>
                <w:sz w:val="24"/>
              </w:rPr>
              <w:t>,</w:t>
            </w: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Carboplatin; VP-16, Etoposide</w:t>
            </w:r>
          </w:p>
        </w:tc>
      </w:tr>
      <w:tr w:rsidR="00BE7532" w:rsidRPr="00010049" w14:paraId="39F829FC" w14:textId="77777777" w:rsidTr="00316173">
        <w:trPr>
          <w:trHeight w:val="320"/>
        </w:trPr>
        <w:tc>
          <w:tcPr>
            <w:tcW w:w="118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7E00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9B52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227719CC" w14:textId="77777777" w:rsidTr="00316173">
        <w:trPr>
          <w:trHeight w:val="320"/>
        </w:trPr>
        <w:tc>
          <w:tcPr>
            <w:tcW w:w="118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F699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6C71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E2577E2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0E74EB9A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  <w:sectPr w:rsidR="00BE7532" w:rsidSect="00BE7532">
          <w:pgSz w:w="16840" w:h="11900" w:orient="landscape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14:paraId="367F25E6" w14:textId="77777777" w:rsidR="00BE7532" w:rsidRPr="00010049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tbl>
      <w:tblPr>
        <w:tblW w:w="80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25"/>
        <w:gridCol w:w="2102"/>
        <w:gridCol w:w="1993"/>
      </w:tblGrid>
      <w:tr w:rsidR="00BE7532" w:rsidRPr="00010049" w14:paraId="41AE8E70" w14:textId="77777777" w:rsidTr="00316173">
        <w:trPr>
          <w:trHeight w:val="320"/>
        </w:trPr>
        <w:tc>
          <w:tcPr>
            <w:tcW w:w="8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DAFD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Table 3   Adverse events</w:t>
            </w:r>
          </w:p>
        </w:tc>
      </w:tr>
      <w:tr w:rsidR="00BE7532" w:rsidRPr="00010049" w14:paraId="760047B5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B2A4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23D4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Any grade, 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602A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Grade ≥3, n (%)</w:t>
            </w:r>
          </w:p>
        </w:tc>
      </w:tr>
      <w:tr w:rsidR="00BE7532" w:rsidRPr="00010049" w14:paraId="48418BFB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EDC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Patients with any adverse event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EC5D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123 (59.1)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87FF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36 (17.3)</w:t>
            </w:r>
          </w:p>
        </w:tc>
      </w:tr>
      <w:tr w:rsidR="00BE7532" w:rsidRPr="00010049" w14:paraId="6E1479BC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3FBF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Skin reaction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2BA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102 (49.0)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7D2F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27 (13.0)</w:t>
            </w:r>
          </w:p>
        </w:tc>
      </w:tr>
      <w:tr w:rsidR="00BE7532" w:rsidRPr="00010049" w14:paraId="38B2669B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09C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Fatigue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C65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 (4.8)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5FAC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1EC4CC98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18A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Liver dysfunction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8CDE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 (3.4)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E29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</w:tr>
      <w:tr w:rsidR="00BE7532" w:rsidRPr="00010049" w14:paraId="469BCB29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9A1DB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Appetite loss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3491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 (2.9)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EA6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2C206075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DB7E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Hot flush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710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 (2.9)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0E0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789711D3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13A6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Pneumonitis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495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 (2.4)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C38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02EC96AC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B36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Respiratory discomfort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74C7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 (1.4)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D525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79097EE3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CE76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Itching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26A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 (1.4)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883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6478AC9E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5C86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Cramp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97C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8635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2E79D041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3256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Diarrhea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D1D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5BEE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3E1B4958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71EC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Hypertension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3EDD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2FA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 (0.5)</w:t>
            </w:r>
          </w:p>
        </w:tc>
      </w:tr>
      <w:tr w:rsidR="00BE7532" w:rsidRPr="00010049" w14:paraId="2888DAD8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9999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Edema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5A4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10A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592C0A50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053D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Dizziness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CD12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40B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2128A1F5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47F8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Constipation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BFC3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76BA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3450D2AA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9FCC3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Other adverse events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286A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 (2.4)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3946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 (1.0)</w:t>
            </w:r>
          </w:p>
        </w:tc>
      </w:tr>
      <w:tr w:rsidR="00BE7532" w:rsidRPr="00010049" w14:paraId="30101D3B" w14:textId="77777777" w:rsidTr="00316173">
        <w:trPr>
          <w:trHeight w:val="320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93D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B1912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D7938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53E29A3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6CD03DCF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  <w:sectPr w:rsidR="00BE7532" w:rsidSect="00BE7532">
          <w:pgSz w:w="11900" w:h="16840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14:paraId="0BE0281C" w14:textId="77777777" w:rsidR="00BE7532" w:rsidRPr="00010049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tbl>
      <w:tblPr>
        <w:tblW w:w="12640" w:type="dxa"/>
        <w:tblInd w:w="99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18"/>
        <w:gridCol w:w="806"/>
        <w:gridCol w:w="1401"/>
        <w:gridCol w:w="1455"/>
        <w:gridCol w:w="807"/>
        <w:gridCol w:w="204"/>
        <w:gridCol w:w="807"/>
        <w:gridCol w:w="1402"/>
        <w:gridCol w:w="1455"/>
        <w:gridCol w:w="807"/>
        <w:gridCol w:w="204"/>
      </w:tblGrid>
      <w:tr w:rsidR="00BE7532" w:rsidRPr="00010049" w14:paraId="1DDC27CD" w14:textId="77777777" w:rsidTr="00316173">
        <w:trPr>
          <w:gridAfter w:val="1"/>
          <w:wAfter w:w="36" w:type="dxa"/>
          <w:trHeight w:val="400"/>
        </w:trPr>
        <w:tc>
          <w:tcPr>
            <w:tcW w:w="126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F820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Table 4.  Univariable and Multivariable Cox Regression Analyses for Overall Survival</w:t>
            </w:r>
          </w:p>
        </w:tc>
      </w:tr>
      <w:tr w:rsidR="00BE7532" w:rsidRPr="00010049" w14:paraId="0E15C79F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FB47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B470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Univariate analysis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719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5763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Multivariable analysis</w:t>
            </w:r>
          </w:p>
        </w:tc>
      </w:tr>
      <w:tr w:rsidR="00BE7532" w:rsidRPr="00010049" w14:paraId="31052E43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E0D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99C69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HR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5508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CEF63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FFD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9AEB89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HR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D534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9F8D8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</w:t>
            </w:r>
          </w:p>
        </w:tc>
      </w:tr>
      <w:tr w:rsidR="00BE7532" w:rsidRPr="00010049" w14:paraId="4774F2DD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C9F5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9FF7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A1B7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lower limit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BCCA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upper limit</w:t>
            </w: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67C7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155E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9E1CC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84F9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lower limit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3014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upper limit</w:t>
            </w: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56A1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7E66559F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ECB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High volume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051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3.530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0AA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1.362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B2B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9.146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9D3B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0.009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F6A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ECA84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1B18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84C33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00A42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4EBA855C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FB83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High risk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D3F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2.376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86D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1.031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008E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5.478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33A9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0.043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CCD6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30D2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DCAA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EEE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E7D53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680FC7F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FAB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AE Grade 3 or more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0B4E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1.895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5F1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0.851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4A5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4.217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5082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0.117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C51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5BFF2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652D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6D61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7E9C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55268556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34F67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ALP ≥103 U/L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164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2.414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4B4E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1.122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9E7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5.196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6430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0.024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5C0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55561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461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32172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EFB2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915589A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0FE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Bone metastasis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0A3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1.411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009B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0.491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26EE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4.051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471B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0.523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B03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7C01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0064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DE2C8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1D858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803CEC6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BB0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cT3 or more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6CB8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-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B2D1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DCC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7671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0.997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108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530AE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5ACE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5147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3CC5C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16DC45C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443D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EOD ≥2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CED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3.086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A29E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1.386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58EC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6.870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53A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0.006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85D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43DD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3.888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5CF9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1.353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270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11.170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261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0.012</w:t>
            </w:r>
          </w:p>
        </w:tc>
      </w:tr>
      <w:tr w:rsidR="00BE7532" w:rsidRPr="00010049" w14:paraId="1B86B2D9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BC4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Hb ≥16.2 g/dL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259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0.978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41ED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0.133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FFEE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7.178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3248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0.983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E5BB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4655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41653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95A21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34DA5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0F833A97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E4B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LDH ≥216 U/L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BE3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2.466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7CC6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1.240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65A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4.904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CC60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0.010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D92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B56E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3.949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BC6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1.681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79A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9.279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4C7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0.002</w:t>
            </w:r>
          </w:p>
        </w:tc>
      </w:tr>
      <w:tr w:rsidR="00BE7532" w:rsidRPr="00010049" w14:paraId="5771013A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B5FA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LN metastasis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1C81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1.497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D65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0.649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FC13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3.453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42D4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0.344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DB0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48CE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AF3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EF3DF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EADDF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DE30BE1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F74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Isolated LN metastasis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2ECC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0.938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3736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0.327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04D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2.688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994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0.904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82B5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27E25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E225D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2A38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5776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57D6FE83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B7F9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Lung metastasis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9CCC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1.471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26FE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0.663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907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3.266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EAC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0.343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82A4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03B7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3FE0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8374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CD3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13A4FA7B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EDCA0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Primary Gleason pattern 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2DBA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4.081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C8A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1.815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78C4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9.177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E283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968F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EBB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4.322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B2ABD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1.845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3600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10.130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82F2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0.001</w:t>
            </w:r>
          </w:p>
        </w:tc>
      </w:tr>
      <w:tr w:rsidR="00BE7532" w:rsidRPr="00010049" w14:paraId="07B1FA11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ECF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PS ≥2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4A6F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1.583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6D08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0.482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BF4F0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5.206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5FB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0.449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03F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2216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90327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BD9E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9370E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52FBF300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319D1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PSA ≥132 ng/mL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2573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2.092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9CA1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3A31F7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4.400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B9C4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0.052</w:t>
            </w: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66D6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0426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FC9B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A9E6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C2B0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E7532" w:rsidRPr="00010049" w14:paraId="2BDA02EC" w14:textId="77777777" w:rsidTr="00316173">
        <w:trPr>
          <w:gridAfter w:val="1"/>
          <w:wAfter w:w="36" w:type="dxa"/>
          <w:trHeight w:val="400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3512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EC6DC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FBF2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6E8D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EC4DB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2D0C9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0A273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4D577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E1F35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FA16" w14:textId="77777777" w:rsidR="00BE7532" w:rsidRPr="00010049" w:rsidRDefault="00BE7532" w:rsidP="0031617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01909BEF" w14:textId="77777777" w:rsidTr="00316173">
        <w:trPr>
          <w:gridAfter w:val="1"/>
          <w:wAfter w:w="36" w:type="dxa"/>
          <w:trHeight w:val="567"/>
        </w:trPr>
        <w:tc>
          <w:tcPr>
            <w:tcW w:w="1260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EE4E9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lastRenderedPageBreak/>
              <w:t>mCSPC, metastatic castration sensitive prostate cancer; AE, adverse event; ALP, alkaline phosphatase; T, tumor; EOD, extent of disease; Hb, hemoglobin; LDH, lactate dehydrogenase; LN, lymph node; PS, performance status; PSA, prostate specific antigen; HR, hazard ratio; CI, confidence interval</w:t>
            </w:r>
          </w:p>
        </w:tc>
      </w:tr>
      <w:tr w:rsidR="00BE7532" w:rsidRPr="00010049" w14:paraId="6B0B8AD9" w14:textId="77777777" w:rsidTr="00316173">
        <w:trPr>
          <w:trHeight w:val="400"/>
        </w:trPr>
        <w:tc>
          <w:tcPr>
            <w:tcW w:w="1260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AD8C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AD93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781C15A3" w14:textId="77777777" w:rsidTr="00316173">
        <w:trPr>
          <w:trHeight w:val="400"/>
        </w:trPr>
        <w:tc>
          <w:tcPr>
            <w:tcW w:w="1260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A9F05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343C8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8770114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387147A3" w14:textId="77777777" w:rsidR="00BE7532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  <w:sectPr w:rsidR="00BE7532" w:rsidSect="00BE7532">
          <w:pgSz w:w="16840" w:h="11900" w:orient="landscape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14:paraId="6CD61D37" w14:textId="77777777" w:rsidR="00BE7532" w:rsidRPr="00010049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tbl>
      <w:tblPr>
        <w:tblW w:w="914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93"/>
        <w:gridCol w:w="885"/>
        <w:gridCol w:w="885"/>
        <w:gridCol w:w="1073"/>
        <w:gridCol w:w="1176"/>
        <w:gridCol w:w="1128"/>
      </w:tblGrid>
      <w:tr w:rsidR="00BE7532" w:rsidRPr="00010049" w14:paraId="42AAB1A6" w14:textId="77777777" w:rsidTr="00316173">
        <w:trPr>
          <w:trHeight w:val="320"/>
        </w:trPr>
        <w:tc>
          <w:tcPr>
            <w:tcW w:w="91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BC17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Table 5.  Comparison of Prognostic Model Performance</w:t>
            </w:r>
          </w:p>
        </w:tc>
      </w:tr>
      <w:tr w:rsidR="00BE7532" w:rsidRPr="00010049" w14:paraId="58991C0E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1408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0351D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HR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89F1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AD2A4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p value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3B9A3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c-index</w:t>
            </w:r>
          </w:p>
        </w:tc>
      </w:tr>
      <w:tr w:rsidR="00BE7532" w:rsidRPr="00010049" w14:paraId="26D37615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635A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4349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F222D3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lower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EEBA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upper</w:t>
            </w: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3D212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6EB2EF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BE7532" w:rsidRPr="00010049" w14:paraId="1316E96A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D5D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LATITUDE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8E374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1.945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AD73F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0.776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05A5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4.873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675E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0.156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5DE88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0.593</w:t>
            </w:r>
          </w:p>
        </w:tc>
      </w:tr>
      <w:tr w:rsidR="00BE7532" w:rsidRPr="00010049" w14:paraId="371377E0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55176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CHAARTED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006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2.661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001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0.998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FF2A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7.096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F0C9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0.051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12AE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0.615</w:t>
            </w:r>
          </w:p>
        </w:tc>
      </w:tr>
      <w:tr w:rsidR="00BE7532" w:rsidRPr="00010049" w14:paraId="1C54BBB1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A9DFA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HARPICS (Current model)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B2BE1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6.828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F291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2.726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807D5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17.100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1644C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&lt; 0.001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1A35B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0.762</w:t>
            </w:r>
          </w:p>
        </w:tc>
      </w:tr>
      <w:tr w:rsidR="00BE7532" w:rsidRPr="00010049" w14:paraId="1E6600A6" w14:textId="77777777" w:rsidTr="00316173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42C6" w14:textId="77777777" w:rsidR="00BE7532" w:rsidRPr="00010049" w:rsidRDefault="00BE7532" w:rsidP="00316173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9F17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30441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715B9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90118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D9FA" w14:textId="77777777" w:rsidR="00BE7532" w:rsidRPr="00010049" w:rsidRDefault="00BE7532" w:rsidP="003161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7532" w:rsidRPr="00010049" w14:paraId="380C8D94" w14:textId="77777777" w:rsidTr="00316173">
        <w:trPr>
          <w:trHeight w:val="320"/>
        </w:trPr>
        <w:tc>
          <w:tcPr>
            <w:tcW w:w="91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95F4" w14:textId="77777777" w:rsidR="00BE7532" w:rsidRPr="00010049" w:rsidRDefault="00BE7532" w:rsidP="00316173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010049">
              <w:rPr>
                <w:rFonts w:ascii="Arial" w:eastAsia="Yu Gothic" w:hAnsi="Arial"/>
                <w:color w:val="000000"/>
                <w:kern w:val="0"/>
                <w:sz w:val="24"/>
              </w:rPr>
              <w:t>HR, hazard ratio; CI, confidence interval</w:t>
            </w:r>
          </w:p>
        </w:tc>
      </w:tr>
    </w:tbl>
    <w:p w14:paraId="54A03BBC" w14:textId="77777777" w:rsidR="00BE7532" w:rsidRPr="00010049" w:rsidRDefault="00BE7532" w:rsidP="00BE753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313B43D0" w14:textId="77777777" w:rsidR="00E023F9" w:rsidRPr="00BE7532" w:rsidRDefault="00E023F9" w:rsidP="00BE7532"/>
    <w:sectPr w:rsidR="00E023F9" w:rsidRPr="00BE7532" w:rsidSect="00BE7532">
      <w:headerReference w:type="default" r:id="rId5"/>
      <w:pgSz w:w="11900" w:h="16840"/>
      <w:pgMar w:top="1440" w:right="1440" w:bottom="1440" w:left="1440" w:header="851" w:footer="992" w:gutter="0"/>
      <w:lnNumType w:countBy="1" w:restart="continuous"/>
      <w:pgNumType w:start="1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07464" w14:textId="77777777" w:rsidR="00BE7532" w:rsidRDefault="00BE7532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DD2AE" w14:textId="77777777" w:rsidR="00BE7532" w:rsidRDefault="00BE7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34F5" w14:textId="77777777" w:rsidR="00BE7532" w:rsidRDefault="00BE7532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41EA83E" w14:textId="77777777" w:rsidR="00BE7532" w:rsidRDefault="00BE75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3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E7532"/>
    <w:rsid w:val="00C94D66"/>
    <w:rsid w:val="00DE7E69"/>
    <w:rsid w:val="00E023F9"/>
    <w:rsid w:val="00EB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02300"/>
  <w15:chartTrackingRefBased/>
  <w15:docId w15:val="{B760D920-32A3-4603-8DF4-194576C8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32"/>
    <w:pPr>
      <w:widowControl w:val="0"/>
      <w:spacing w:after="0" w:line="240" w:lineRule="auto"/>
      <w:jc w:val="both"/>
    </w:pPr>
    <w:rPr>
      <w:rFonts w:ascii="Yu Mincho" w:eastAsia="Yu Mincho" w:hAnsi="Yu Mincho" w:cs="Arial"/>
      <w:sz w:val="21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53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53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53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53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53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53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53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53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53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53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7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53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7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53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7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53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7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53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5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532"/>
    <w:rPr>
      <w:rFonts w:ascii="Yu Mincho" w:eastAsia="Yu Mincho" w:hAnsi="Yu Mincho" w:cs="Arial"/>
      <w:sz w:val="21"/>
      <w:lang w:val="en-US"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E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2026-08-04T20:38:00Z</dcterms:created>
  <dcterms:modified xsi:type="dcterms:W3CDTF">2026-08-04T20:39:00Z</dcterms:modified>
</cp:coreProperties>
</file>