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2059" w14:textId="77777777" w:rsidR="00BF0679" w:rsidRPr="00A86722" w:rsidRDefault="00BF0679" w:rsidP="00BF0679">
      <w:pPr>
        <w:rPr>
          <w:rFonts w:ascii="Times New Roman" w:hAnsi="Times New Roman" w:cs="Times New Roman"/>
          <w:b/>
          <w:bCs/>
        </w:rPr>
      </w:pPr>
      <w:r w:rsidRPr="00A86722">
        <w:rPr>
          <w:rFonts w:ascii="Times New Roman" w:hAnsi="Times New Roman" w:cs="Times New Roman"/>
        </w:rPr>
        <w:t xml:space="preserve">6. </w:t>
      </w:r>
      <w:r w:rsidRPr="00A86722">
        <w:rPr>
          <w:rFonts w:ascii="Times New Roman" w:eastAsia="Times New Roman" w:hAnsi="Times New Roman" w:cs="Times New Roman"/>
          <w:b/>
          <w:bCs/>
        </w:rPr>
        <w:t>Supplementary</w:t>
      </w:r>
    </w:p>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2250"/>
        <w:gridCol w:w="2265"/>
        <w:gridCol w:w="2265"/>
        <w:gridCol w:w="2160"/>
      </w:tblGrid>
      <w:tr w:rsidR="00BF0679" w:rsidRPr="00A86722" w14:paraId="773A9E70" w14:textId="77777777" w:rsidTr="005559F8">
        <w:trPr>
          <w:trHeight w:val="645"/>
        </w:trPr>
        <w:tc>
          <w:tcPr>
            <w:tcW w:w="8940" w:type="dxa"/>
            <w:gridSpan w:val="4"/>
            <w:tcBorders>
              <w:top w:val="single" w:sz="5" w:space="0" w:color="BFBFBF"/>
              <w:left w:val="single" w:sz="5" w:space="0" w:color="BFBFBF"/>
              <w:bottom w:val="single" w:sz="5" w:space="0" w:color="BFBFBF"/>
              <w:right w:val="single" w:sz="5" w:space="0" w:color="BFBFBF"/>
            </w:tcBorders>
            <w:tcMar>
              <w:top w:w="0" w:type="dxa"/>
              <w:left w:w="100" w:type="dxa"/>
              <w:bottom w:w="0" w:type="dxa"/>
              <w:right w:w="100" w:type="dxa"/>
            </w:tcMar>
          </w:tcPr>
          <w:p w14:paraId="509ECD66" w14:textId="77777777" w:rsidR="00BF0679" w:rsidRPr="00A86722" w:rsidRDefault="00BF0679" w:rsidP="005559F8">
            <w:pPr>
              <w:spacing w:before="260"/>
              <w:jc w:val="both"/>
              <w:rPr>
                <w:rFonts w:ascii="Times New Roman" w:eastAsia="Times New Roman" w:hAnsi="Times New Roman" w:cs="Times New Roman"/>
                <w:b/>
                <w:bCs/>
              </w:rPr>
            </w:pPr>
            <w:r w:rsidRPr="00A86722">
              <w:rPr>
                <w:rFonts w:ascii="Times New Roman" w:eastAsia="Times New Roman" w:hAnsi="Times New Roman" w:cs="Times New Roman"/>
                <w:b/>
                <w:bCs/>
              </w:rPr>
              <w:t>Table S1. Standardized mean differences of baseline variables before and after propensity score matching</w:t>
            </w:r>
          </w:p>
        </w:tc>
      </w:tr>
      <w:tr w:rsidR="00BF0679" w:rsidRPr="00A86722" w14:paraId="015556D5" w14:textId="77777777" w:rsidTr="005559F8">
        <w:trPr>
          <w:trHeight w:val="1560"/>
        </w:trPr>
        <w:tc>
          <w:tcPr>
            <w:tcW w:w="2250" w:type="dxa"/>
            <w:tcBorders>
              <w:top w:val="single" w:sz="5" w:space="0" w:color="BFBFBF"/>
              <w:left w:val="single" w:sz="5" w:space="0" w:color="BFBFBF"/>
              <w:bottom w:val="single" w:sz="5" w:space="0" w:color="BFBFBF"/>
              <w:right w:val="single" w:sz="5" w:space="0" w:color="BFBFBF"/>
            </w:tcBorders>
            <w:tcMar>
              <w:top w:w="0" w:type="dxa"/>
              <w:left w:w="100" w:type="dxa"/>
              <w:bottom w:w="0" w:type="dxa"/>
              <w:right w:w="100" w:type="dxa"/>
            </w:tcMar>
          </w:tcPr>
          <w:p w14:paraId="1EDD2D78"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Variable</w:t>
            </w:r>
          </w:p>
        </w:tc>
        <w:tc>
          <w:tcPr>
            <w:tcW w:w="2265"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262614F6"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Upstaging (matched), mean/prop</w:t>
            </w:r>
          </w:p>
        </w:tc>
        <w:tc>
          <w:tcPr>
            <w:tcW w:w="2265"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1DFED5F8"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Non-upstaging (matched), mean/prop</w:t>
            </w:r>
          </w:p>
        </w:tc>
        <w:tc>
          <w:tcPr>
            <w:tcW w:w="2160"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54635233"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SMD</w:t>
            </w:r>
          </w:p>
        </w:tc>
      </w:tr>
      <w:tr w:rsidR="00BF0679" w:rsidRPr="00A86722" w14:paraId="4586B63E"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41F0D6DC"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Age, years</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4F6F9994"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49.9</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0763980A"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54.5</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12CC5FDF"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0.449</w:t>
            </w:r>
          </w:p>
        </w:tc>
      </w:tr>
      <w:tr w:rsidR="00BF0679" w:rsidRPr="00A86722" w14:paraId="7033A6CF"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5C0A4642"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BMI</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113634BC"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22.6</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6791D335"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23.2</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606079F5"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0.146</w:t>
            </w:r>
          </w:p>
        </w:tc>
      </w:tr>
      <w:tr w:rsidR="00BF0679" w:rsidRPr="00A86722" w14:paraId="5A851D36"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0893483E"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Parity</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15471B83"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0.85</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63F731C7"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0.77</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1D3D7A2F"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0.192</w:t>
            </w:r>
          </w:p>
        </w:tc>
      </w:tr>
      <w:tr w:rsidR="00BF0679" w:rsidRPr="00A86722" w14:paraId="3B0BFEBB"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3FBE8D0A"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Palpable</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0C358C1B"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0.65</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7D4CA89E"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0.62</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00EDBA2D"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0.080</w:t>
            </w:r>
          </w:p>
        </w:tc>
      </w:tr>
      <w:tr w:rsidR="00BF0679" w:rsidRPr="00A86722" w14:paraId="44269CBB"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5638101E"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Side (Right)</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3FCF3F71"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0.42</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0CC1A526"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0.54</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7BE96723"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0.232</w:t>
            </w:r>
          </w:p>
        </w:tc>
      </w:tr>
      <w:tr w:rsidR="00BF0679" w:rsidRPr="00A86722" w14:paraId="42FF8F45" w14:textId="77777777" w:rsidTr="005559F8">
        <w:trPr>
          <w:trHeight w:val="525"/>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185784E2"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Max SMD</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7091887F"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 xml:space="preserve"> </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1A2E6B65"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 xml:space="preserve"> </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01DAD3E4"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0.449</w:t>
            </w:r>
          </w:p>
        </w:tc>
      </w:tr>
      <w:tr w:rsidR="00BF0679" w:rsidRPr="00A86722" w14:paraId="04789707" w14:textId="77777777" w:rsidTr="005559F8">
        <w:trPr>
          <w:trHeight w:val="372"/>
        </w:trPr>
        <w:tc>
          <w:tcPr>
            <w:tcW w:w="2250"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612821CF"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All covariates balanced (SMD &lt; 0.1)</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5BA5E793"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 xml:space="preserve"> </w:t>
            </w:r>
          </w:p>
        </w:tc>
        <w:tc>
          <w:tcPr>
            <w:tcW w:w="2265" w:type="dxa"/>
            <w:tcBorders>
              <w:top w:val="nil"/>
              <w:left w:val="nil"/>
              <w:bottom w:val="single" w:sz="5" w:space="0" w:color="BFBFBF"/>
              <w:right w:val="single" w:sz="5" w:space="0" w:color="BFBFBF"/>
            </w:tcBorders>
            <w:tcMar>
              <w:top w:w="0" w:type="dxa"/>
              <w:left w:w="100" w:type="dxa"/>
              <w:bottom w:w="0" w:type="dxa"/>
              <w:right w:w="100" w:type="dxa"/>
            </w:tcMar>
          </w:tcPr>
          <w:p w14:paraId="06B1E964"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 xml:space="preserve"> </w:t>
            </w:r>
          </w:p>
        </w:tc>
        <w:tc>
          <w:tcPr>
            <w:tcW w:w="2160" w:type="dxa"/>
            <w:tcBorders>
              <w:top w:val="nil"/>
              <w:left w:val="nil"/>
              <w:bottom w:val="single" w:sz="5" w:space="0" w:color="BFBFBF"/>
              <w:right w:val="single" w:sz="5" w:space="0" w:color="BFBFBF"/>
            </w:tcBorders>
            <w:tcMar>
              <w:top w:w="0" w:type="dxa"/>
              <w:left w:w="100" w:type="dxa"/>
              <w:bottom w:w="0" w:type="dxa"/>
              <w:right w:w="100" w:type="dxa"/>
            </w:tcMar>
          </w:tcPr>
          <w:p w14:paraId="725365E3" w14:textId="77777777"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No</w:t>
            </w:r>
          </w:p>
        </w:tc>
      </w:tr>
      <w:tr w:rsidR="00BF0679" w:rsidRPr="00A86722" w14:paraId="29D60199" w14:textId="77777777" w:rsidTr="005559F8">
        <w:trPr>
          <w:trHeight w:val="234"/>
        </w:trPr>
        <w:tc>
          <w:tcPr>
            <w:tcW w:w="8940" w:type="dxa"/>
            <w:gridSpan w:val="4"/>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214687D7" w14:textId="77777777" w:rsidR="00BF0679" w:rsidRPr="00A86722" w:rsidRDefault="00BF0679" w:rsidP="005559F8">
            <w:pPr>
              <w:spacing w:before="260"/>
              <w:jc w:val="both"/>
              <w:rPr>
                <w:rFonts w:ascii="Times New Roman" w:hAnsi="Times New Roman" w:cs="Times New Roman"/>
              </w:rPr>
            </w:pPr>
            <w:r w:rsidRPr="00A86722">
              <w:rPr>
                <w:rFonts w:ascii="Times New Roman" w:eastAsia="Times New Roman" w:hAnsi="Times New Roman" w:cs="Times New Roman"/>
              </w:rPr>
              <w:t>SMD indicates absolute standardized mean difference. An SMD &lt; 0.1 is commonly considered indicative of adequate covariate balance.</w:t>
            </w:r>
          </w:p>
        </w:tc>
      </w:tr>
    </w:tbl>
    <w:p w14:paraId="120810CB" w14:textId="77777777" w:rsidR="00BF0679" w:rsidRPr="00A86722" w:rsidRDefault="00BF0679" w:rsidP="00BF0679">
      <w:pPr>
        <w:rPr>
          <w:rFonts w:ascii="Times New Roman" w:hAnsi="Times New Roman" w:cs="Times New Roman"/>
        </w:rPr>
      </w:pPr>
    </w:p>
    <w:p w14:paraId="43118BF4" w14:textId="198FBB6D" w:rsidR="00BF0679" w:rsidRPr="00A86722" w:rsidRDefault="00BF0679">
      <w:pPr>
        <w:rPr>
          <w:rFonts w:ascii="Times New Roman" w:hAnsi="Times New Roman" w:cs="Times New Roman"/>
        </w:rPr>
      </w:pPr>
    </w:p>
    <w:p w14:paraId="3A160603" w14:textId="77777777" w:rsidR="00BF0679" w:rsidRPr="00A86722" w:rsidRDefault="00BF0679">
      <w:pPr>
        <w:widowControl/>
        <w:rPr>
          <w:rFonts w:ascii="Times New Roman" w:hAnsi="Times New Roman" w:cs="Times New Roman"/>
        </w:rPr>
      </w:pPr>
      <w:r w:rsidRPr="00A86722">
        <w:rPr>
          <w:rFonts w:ascii="Times New Roman" w:hAnsi="Times New Roman" w:cs="Times New Roman"/>
        </w:rPr>
        <w:br w:type="page"/>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F0679" w:rsidRPr="00A86722" w14:paraId="30C66BB2" w14:textId="77777777" w:rsidTr="005559F8">
        <w:tc>
          <w:tcPr>
            <w:tcW w:w="9029" w:type="dxa"/>
            <w:tcMar>
              <w:top w:w="100" w:type="dxa"/>
              <w:left w:w="100" w:type="dxa"/>
              <w:bottom w:w="100" w:type="dxa"/>
              <w:right w:w="100" w:type="dxa"/>
            </w:tcMar>
          </w:tcPr>
          <w:p w14:paraId="10FC0E8A" w14:textId="77777777" w:rsidR="00BF0679" w:rsidRPr="00A86722" w:rsidRDefault="00BF0679" w:rsidP="005559F8">
            <w:pPr>
              <w:pBdr>
                <w:top w:val="nil"/>
                <w:left w:val="nil"/>
                <w:bottom w:val="nil"/>
                <w:right w:val="nil"/>
                <w:between w:val="nil"/>
              </w:pBdr>
              <w:spacing w:line="240" w:lineRule="auto"/>
              <w:jc w:val="both"/>
              <w:rPr>
                <w:rFonts w:ascii="Times New Roman" w:eastAsia="Times New Roman" w:hAnsi="Times New Roman" w:cs="Times New Roman"/>
                <w:b/>
                <w:bCs/>
              </w:rPr>
            </w:pPr>
            <w:r w:rsidRPr="00A86722">
              <w:rPr>
                <w:rFonts w:ascii="Times New Roman" w:eastAsia="Times New Roman" w:hAnsi="Times New Roman" w:cs="Times New Roman"/>
                <w:b/>
                <w:bCs/>
              </w:rPr>
              <w:lastRenderedPageBreak/>
              <w:t>Figure S1. Covariate balance before and after propensity score matching</w:t>
            </w:r>
          </w:p>
        </w:tc>
      </w:tr>
      <w:tr w:rsidR="00BF0679" w:rsidRPr="00A86722" w14:paraId="739EDDBD" w14:textId="77777777" w:rsidTr="005559F8">
        <w:tc>
          <w:tcPr>
            <w:tcW w:w="9029" w:type="dxa"/>
            <w:tcMar>
              <w:top w:w="100" w:type="dxa"/>
              <w:left w:w="100" w:type="dxa"/>
              <w:bottom w:w="100" w:type="dxa"/>
              <w:right w:w="100" w:type="dxa"/>
            </w:tcMar>
          </w:tcPr>
          <w:p w14:paraId="471E61E8" w14:textId="77777777" w:rsidR="00BF0679" w:rsidRPr="00A86722" w:rsidRDefault="00BF0679" w:rsidP="005559F8">
            <w:pPr>
              <w:pBdr>
                <w:top w:val="nil"/>
                <w:left w:val="nil"/>
                <w:bottom w:val="nil"/>
                <w:right w:val="nil"/>
                <w:between w:val="nil"/>
              </w:pBdr>
              <w:spacing w:line="240" w:lineRule="auto"/>
              <w:jc w:val="both"/>
              <w:rPr>
                <w:rFonts w:ascii="Times New Roman" w:eastAsia="Times New Roman" w:hAnsi="Times New Roman" w:cs="Times New Roman"/>
              </w:rPr>
            </w:pPr>
            <w:r w:rsidRPr="00A86722">
              <w:rPr>
                <w:rFonts w:ascii="Times New Roman" w:eastAsia="Times New Roman" w:hAnsi="Times New Roman" w:cs="Times New Roman"/>
                <w:noProof/>
              </w:rPr>
              <w:drawing>
                <wp:inline distT="114300" distB="114300" distL="114300" distR="114300" wp14:anchorId="3576922D" wp14:editId="20D287D0">
                  <wp:extent cx="5591175" cy="37338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591175" cy="3733800"/>
                          </a:xfrm>
                          <a:prstGeom prst="rect">
                            <a:avLst/>
                          </a:prstGeom>
                          <a:ln/>
                        </pic:spPr>
                      </pic:pic>
                    </a:graphicData>
                  </a:graphic>
                </wp:inline>
              </w:drawing>
            </w:r>
          </w:p>
        </w:tc>
      </w:tr>
      <w:tr w:rsidR="00BF0679" w:rsidRPr="00A86722" w14:paraId="1015F577" w14:textId="77777777" w:rsidTr="005559F8">
        <w:tc>
          <w:tcPr>
            <w:tcW w:w="9029" w:type="dxa"/>
            <w:tcMar>
              <w:top w:w="100" w:type="dxa"/>
              <w:left w:w="100" w:type="dxa"/>
              <w:bottom w:w="100" w:type="dxa"/>
              <w:right w:w="100" w:type="dxa"/>
            </w:tcMar>
          </w:tcPr>
          <w:p w14:paraId="30ADA169" w14:textId="77777777" w:rsidR="00BF0679" w:rsidRPr="00A86722" w:rsidRDefault="00BF0679" w:rsidP="005559F8">
            <w:pPr>
              <w:pBdr>
                <w:top w:val="nil"/>
                <w:left w:val="nil"/>
                <w:bottom w:val="nil"/>
                <w:right w:val="nil"/>
                <w:between w:val="nil"/>
              </w:pBdr>
              <w:spacing w:line="240" w:lineRule="auto"/>
              <w:jc w:val="both"/>
              <w:rPr>
                <w:rFonts w:ascii="Times New Roman" w:eastAsia="Times New Roman" w:hAnsi="Times New Roman" w:cs="Times New Roman"/>
              </w:rPr>
            </w:pPr>
            <w:r w:rsidRPr="00A86722">
              <w:rPr>
                <w:rFonts w:ascii="Times New Roman" w:eastAsia="Times New Roman" w:hAnsi="Times New Roman" w:cs="Times New Roman"/>
              </w:rPr>
              <w:t>Standardized mean differences (SMDs) of baseline clinical variables before and after propensity score matching between the upstaging and non-upstaging groups. The dashed vertical line indicates the commonly accepted threshold for adequate balance (SMD = 0.1). Despite matching, several variables did not achieve sufficient balance, reflecting limited overlap between the two cohorts. Therefore, propensity score matching was not used as the primary analytical strategy.</w:t>
            </w:r>
          </w:p>
        </w:tc>
      </w:tr>
    </w:tbl>
    <w:p w14:paraId="284927FC" w14:textId="77777777" w:rsidR="00CA182F" w:rsidRPr="00A86722" w:rsidRDefault="00CA182F">
      <w:pPr>
        <w:rPr>
          <w:rFonts w:ascii="Times New Roman" w:hAnsi="Times New Roman" w:cs="Times New Roman"/>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050"/>
        <w:gridCol w:w="1665"/>
        <w:gridCol w:w="1635"/>
        <w:gridCol w:w="1095"/>
        <w:gridCol w:w="1095"/>
        <w:gridCol w:w="1200"/>
        <w:gridCol w:w="1170"/>
      </w:tblGrid>
      <w:tr w:rsidR="00BF0679" w:rsidRPr="00A86722" w14:paraId="2781322E" w14:textId="77777777" w:rsidTr="005559F8">
        <w:trPr>
          <w:trHeight w:val="315"/>
        </w:trPr>
        <w:tc>
          <w:tcPr>
            <w:tcW w:w="8910" w:type="dxa"/>
            <w:gridSpan w:val="7"/>
            <w:tcBorders>
              <w:top w:val="single" w:sz="7" w:space="0" w:color="BFBFBF"/>
              <w:left w:val="single" w:sz="7" w:space="0" w:color="BFBFBF"/>
              <w:bottom w:val="single" w:sz="7" w:space="0" w:color="BFBFBF"/>
              <w:right w:val="single" w:sz="7" w:space="0" w:color="BFBFBF"/>
            </w:tcBorders>
            <w:tcMar>
              <w:top w:w="0" w:type="dxa"/>
              <w:left w:w="100" w:type="dxa"/>
              <w:bottom w:w="0" w:type="dxa"/>
              <w:right w:w="100" w:type="dxa"/>
            </w:tcMar>
          </w:tcPr>
          <w:p w14:paraId="0540F199" w14:textId="64257C3D"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b/>
                <w:bCs/>
              </w:rPr>
              <w:t>Table S2.</w:t>
            </w:r>
            <w:r w:rsidRPr="00A86722">
              <w:rPr>
                <w:rFonts w:ascii="Times New Roman" w:hAnsi="Times New Roman" w:cs="Times New Roman"/>
              </w:rPr>
              <w:t xml:space="preserve"> </w:t>
            </w:r>
            <w:r w:rsidRPr="00A86722">
              <w:rPr>
                <w:rFonts w:ascii="Times New Roman" w:eastAsia="Times New Roman" w:hAnsi="Times New Roman" w:cs="Times New Roman"/>
                <w:b/>
                <w:bCs/>
              </w:rPr>
              <w:t>Complete results of late fusion analyses combining clinical variables and imaging-based models for DCIS upstaging prediction.</w:t>
            </w:r>
          </w:p>
        </w:tc>
      </w:tr>
      <w:tr w:rsidR="00BF0679" w:rsidRPr="00A86722" w14:paraId="439B0C80" w14:textId="77777777" w:rsidTr="005559F8">
        <w:trPr>
          <w:trHeight w:val="1035"/>
        </w:trPr>
        <w:tc>
          <w:tcPr>
            <w:tcW w:w="1050" w:type="dxa"/>
            <w:tcBorders>
              <w:top w:val="single" w:sz="7" w:space="0" w:color="BFBFBF"/>
              <w:left w:val="single" w:sz="7" w:space="0" w:color="BFBFBF"/>
              <w:bottom w:val="single" w:sz="7" w:space="0" w:color="BFBFBF"/>
              <w:right w:val="single" w:sz="7" w:space="0" w:color="BFBFBF"/>
            </w:tcBorders>
            <w:tcMar>
              <w:top w:w="0" w:type="dxa"/>
              <w:left w:w="100" w:type="dxa"/>
              <w:bottom w:w="0" w:type="dxa"/>
              <w:right w:w="100" w:type="dxa"/>
            </w:tcMar>
          </w:tcPr>
          <w:p w14:paraId="226EE003"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ID</w:t>
            </w:r>
          </w:p>
        </w:tc>
        <w:tc>
          <w:tcPr>
            <w:tcW w:w="1665"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129489A4"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Model group</w:t>
            </w:r>
          </w:p>
        </w:tc>
        <w:tc>
          <w:tcPr>
            <w:tcW w:w="1635"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6771150B"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Features included</w:t>
            </w:r>
          </w:p>
        </w:tc>
        <w:tc>
          <w:tcPr>
            <w:tcW w:w="1095"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7841373C"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AUC</w:t>
            </w:r>
          </w:p>
        </w:tc>
        <w:tc>
          <w:tcPr>
            <w:tcW w:w="1095"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78F0FCBE"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ACC</w:t>
            </w:r>
          </w:p>
        </w:tc>
        <w:tc>
          <w:tcPr>
            <w:tcW w:w="1200"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501D0048"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ΔAUC vs Clinical</w:t>
            </w:r>
          </w:p>
        </w:tc>
        <w:tc>
          <w:tcPr>
            <w:tcW w:w="1170"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03A09C5B" w14:textId="77777777" w:rsidR="00BF0679" w:rsidRPr="00A86722" w:rsidRDefault="00BF0679" w:rsidP="005559F8">
            <w:pPr>
              <w:spacing w:before="260" w:after="260"/>
              <w:jc w:val="both"/>
              <w:rPr>
                <w:rFonts w:ascii="Times New Roman" w:eastAsia="Times New Roman" w:hAnsi="Times New Roman" w:cs="Times New Roman"/>
                <w:b/>
                <w:bCs/>
              </w:rPr>
            </w:pPr>
            <w:r w:rsidRPr="00A86722">
              <w:rPr>
                <w:rFonts w:ascii="Times New Roman" w:eastAsia="Times New Roman" w:hAnsi="Times New Roman" w:cs="Times New Roman"/>
                <w:b/>
                <w:bCs/>
              </w:rPr>
              <w:t>ΔAUC vs Best single-source</w:t>
            </w:r>
          </w:p>
        </w:tc>
      </w:tr>
      <w:tr w:rsidR="00BF0679" w:rsidRPr="00A86722" w14:paraId="5D8F57B2"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E3B623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C1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3734B2E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only</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BBFFB3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variables</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F1663A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0.453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8F8AC6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6FA6C2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7014806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r>
      <w:tr w:rsidR="00BF0679" w:rsidRPr="00A86722" w14:paraId="1E6F8B9C"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F2424C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S*</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8A49DD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Best single-source (</w:t>
            </w:r>
            <w:proofErr w:type="spellStart"/>
            <w:r w:rsidRPr="00A86722">
              <w:rPr>
                <w:rFonts w:ascii="Times New Roman" w:eastAsia="Times New Roman" w:hAnsi="Times New Roman" w:cs="Times New Roman"/>
              </w:rPr>
              <w:t>MG_tumor</w:t>
            </w:r>
            <w:proofErr w:type="spellEnd"/>
            <w:r w:rsidRPr="00A86722">
              <w:rPr>
                <w:rFonts w:ascii="Times New Roman" w:eastAsia="Times New Roman" w:hAnsi="Times New Roman" w:cs="Times New Roman"/>
              </w:rPr>
              <w:t>)</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2E484B59" w14:textId="77777777" w:rsidR="00BF0679" w:rsidRPr="00A86722" w:rsidRDefault="00BF0679" w:rsidP="005559F8">
            <w:pPr>
              <w:spacing w:before="260" w:after="260"/>
              <w:jc w:val="both"/>
              <w:rPr>
                <w:rFonts w:ascii="Times New Roman" w:eastAsia="Times New Roman" w:hAnsi="Times New Roman" w:cs="Times New Roman"/>
              </w:rPr>
            </w:pPr>
            <w:proofErr w:type="spellStart"/>
            <w:r w:rsidRPr="00A86722">
              <w:rPr>
                <w:rFonts w:ascii="Times New Roman" w:eastAsia="Times New Roman" w:hAnsi="Times New Roman" w:cs="Times New Roman"/>
              </w:rPr>
              <w:t>MG_tumor</w:t>
            </w:r>
            <w:proofErr w:type="spellEnd"/>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67F740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293944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2AB355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D2924A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0F36D56E"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84BA5F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492A6A0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core</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B31F64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6C16E3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5AEE46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17D909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920179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129A055D"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45A685F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06D7C7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peritumoral short</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234CBC1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 2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51D9B16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0.628</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777827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ED555C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0.175</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9490D8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-0.205</w:t>
            </w:r>
          </w:p>
        </w:tc>
      </w:tr>
      <w:tr w:rsidR="00BF0679" w:rsidRPr="00A86722" w14:paraId="25D99CB4"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9CC6F2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72D188C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peritumoral mid</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B7A2BE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 5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8F38B3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0.739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22FD94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0AE4F2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0.286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7A1F826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-0.094</w:t>
            </w:r>
          </w:p>
        </w:tc>
      </w:tr>
      <w:tr w:rsidR="00BF0679" w:rsidRPr="00A86722" w14:paraId="7CB24ADB"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85D7AB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53A53D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peritumoral long</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9B02FC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 10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725039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20770B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627C643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0.308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91E5BB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-0.073</w:t>
            </w:r>
          </w:p>
        </w:tc>
      </w:tr>
      <w:tr w:rsidR="00BF0679" w:rsidRPr="00A86722" w14:paraId="694EF4A2"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EEEB4A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695900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 core</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32C37E8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0DA42B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0.675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03EEE8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9518E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0.222</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38DF4B0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-0.158</w:t>
            </w:r>
          </w:p>
        </w:tc>
      </w:tr>
      <w:tr w:rsidR="00BF0679" w:rsidRPr="00A86722" w14:paraId="2FBC6B48"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150BCC9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0B35E6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peritumoral short</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C39175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 2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542405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0.551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9AB7B8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2B005F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0.098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5E2FAC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-0.282</w:t>
            </w:r>
          </w:p>
        </w:tc>
      </w:tr>
      <w:tr w:rsidR="00BF0679" w:rsidRPr="00A86722" w14:paraId="3FFF3FFA"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6A6C76B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E12D78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 xml:space="preserve">US peritumoral </w:t>
            </w:r>
            <w:r w:rsidRPr="00A86722">
              <w:rPr>
                <w:rFonts w:ascii="Times New Roman" w:eastAsia="Times New Roman" w:hAnsi="Times New Roman" w:cs="Times New Roman"/>
              </w:rPr>
              <w:lastRenderedPageBreak/>
              <w:t>mid</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3E2D40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US peri 5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FECA15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3F5E15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AD3A27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0.090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40DC9B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-0.291</w:t>
            </w:r>
          </w:p>
        </w:tc>
      </w:tr>
      <w:tr w:rsidR="00BF0679" w:rsidRPr="00A86722" w14:paraId="7C868457"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E4627E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475605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peritumoral long</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5FEF0B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 10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066161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0.688</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76965B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0.686</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3170DC2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0.235</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1BA8B8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-0.145</w:t>
            </w:r>
          </w:p>
        </w:tc>
      </w:tr>
      <w:tr w:rsidR="00BF0679" w:rsidRPr="00A86722" w14:paraId="704E9CA0"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4F8FEB7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US5</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F487FB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posterior near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B580FE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 5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C67FAB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0.739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C0B50C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1926784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0.286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73DFEB3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-0.094</w:t>
            </w:r>
          </w:p>
        </w:tc>
      </w:tr>
      <w:tr w:rsidR="00BF0679" w:rsidRPr="00A86722" w14:paraId="7EB6284B"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12DBA0A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US6</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EAE401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posterior mid</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DDD990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 10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943B5B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0.603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59F456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0A379B4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0.150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124BBD9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-0.231</w:t>
            </w:r>
          </w:p>
        </w:tc>
      </w:tr>
      <w:tr w:rsidR="00BF0679" w:rsidRPr="00A86722" w14:paraId="6B24344A"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D34B38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US7</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9D89D5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posterior deep</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6199F4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post 20 mm</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0010E6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0.611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391B56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7E8BDD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0.158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6C7696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-0.222</w:t>
            </w:r>
          </w:p>
        </w:tc>
      </w:tr>
      <w:tr w:rsidR="00BF0679" w:rsidRPr="00A86722" w14:paraId="097A07C0"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66F6F5D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MGF1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B4215C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214ADAA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FB3CEB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00E920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0.771</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0A051C4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0.368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011B257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-0.013</w:t>
            </w:r>
          </w:p>
        </w:tc>
      </w:tr>
      <w:tr w:rsidR="00BF0679" w:rsidRPr="00A86722" w14:paraId="77EAAED7"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988145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MGF2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6481067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4E0DB0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1407A8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0.812</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1A89F9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0.771</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CFE95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0.359</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DC4F4A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-0.021</w:t>
            </w:r>
          </w:p>
        </w:tc>
      </w:tr>
      <w:tr w:rsidR="00BF0679" w:rsidRPr="00A86722" w14:paraId="32A657CF"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14257D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MGF3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6930453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peri2</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BDD449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peri2</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29C93A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BD9E00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07590A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0.376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93BB54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-0.004</w:t>
            </w:r>
          </w:p>
        </w:tc>
      </w:tr>
      <w:tr w:rsidR="00BF0679" w:rsidRPr="00A86722" w14:paraId="6BB07460"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283731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MGF4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77E24F5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peri5 +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00A48E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peri5 +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59B4AF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196B98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E58F9F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0.308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167A44D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-0.073</w:t>
            </w:r>
          </w:p>
        </w:tc>
      </w:tr>
      <w:tr w:rsidR="00BF0679" w:rsidRPr="00A86722" w14:paraId="6115EE2E"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6B6D798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USF1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61DB937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 xml:space="preserve">US tumor + </w:t>
            </w:r>
            <w:r w:rsidRPr="00A86722">
              <w:rPr>
                <w:rFonts w:ascii="Times New Roman" w:eastAsia="Times New Roman" w:hAnsi="Times New Roman" w:cs="Times New Roman"/>
              </w:rPr>
              <w:lastRenderedPageBreak/>
              <w:t>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3FB6412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 xml:space="preserve">US tumor + </w:t>
            </w:r>
            <w:r w:rsidRPr="00A86722">
              <w:rPr>
                <w:rFonts w:ascii="Times New Roman" w:eastAsia="Times New Roman" w:hAnsi="Times New Roman" w:cs="Times New Roman"/>
              </w:rPr>
              <w:lastRenderedPageBreak/>
              <w:t>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DEF7DF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0.671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7BF668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04CD636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0.218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66AFA6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-0.162</w:t>
            </w:r>
          </w:p>
        </w:tc>
      </w:tr>
      <w:tr w:rsidR="00BF0679" w:rsidRPr="00A86722" w14:paraId="170BE3B7"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15F389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USF2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D0B0FE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0C6E3EA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C67554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0.752</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3405EB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77F448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0.299</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876223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-0.081</w:t>
            </w:r>
          </w:p>
        </w:tc>
      </w:tr>
      <w:tr w:rsidR="00BF0679" w:rsidRPr="00A86722" w14:paraId="3F294679"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E2B926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USF3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89BAE9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 + post10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784B8E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tumor + post10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9B67A0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0.628</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873CE4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DBD906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0.175</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C5976A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-0.205</w:t>
            </w:r>
          </w:p>
        </w:tc>
      </w:tr>
      <w:tr w:rsidR="00BF0679" w:rsidRPr="00A86722" w14:paraId="2EF4E8FC"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D81622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USF4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79F55F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peri10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6B2093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US peri10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717B7E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0.684</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3F6F29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63C60E6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0.231</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0238D6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-0.150</w:t>
            </w:r>
          </w:p>
        </w:tc>
      </w:tr>
      <w:tr w:rsidR="00BF0679" w:rsidRPr="00A86722" w14:paraId="72765684"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49ADE5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CMG1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4450A4C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MG tumor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4CEDCE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EFC9B7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BE554D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7F4748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827305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7377DCEE"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40E1E8C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CMG2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35AC30F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MG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29DFA50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3CA34C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F57F4E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6C5B6C1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0.316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0A4E289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-0.064</w:t>
            </w:r>
          </w:p>
        </w:tc>
      </w:tr>
      <w:tr w:rsidR="00BF0679" w:rsidRPr="00A86722" w14:paraId="5C7FBB83"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863798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CMG3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7B399BE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MG peri5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C1E329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5D88F1F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0.688</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9B7D32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C2D002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0.235</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756C72D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-0.145</w:t>
            </w:r>
          </w:p>
        </w:tc>
      </w:tr>
      <w:tr w:rsidR="00BF0679" w:rsidRPr="00A86722" w14:paraId="1AFD5F5D"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B497D0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CMG4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3D4DAF8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MG tumor +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854E82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C59F20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1A7180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25115A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0.368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3BB7F34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-0.013</w:t>
            </w:r>
          </w:p>
        </w:tc>
      </w:tr>
      <w:tr w:rsidR="00BF0679" w:rsidRPr="00A86722" w14:paraId="2C96C2D3"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540217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CUS1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850B24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US tumor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AD4957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US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87745E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0.453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2C2A8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0D1DB0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DCC2AE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r>
      <w:tr w:rsidR="00BF0679" w:rsidRPr="00A86722" w14:paraId="3BEBE4F8"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EBCE98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CUS2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056ACF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US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383654E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US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764CFB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0.564</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182054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4119EE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0.111</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7309040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-0.269</w:t>
            </w:r>
          </w:p>
        </w:tc>
      </w:tr>
      <w:tr w:rsidR="00BF0679" w:rsidRPr="00A86722" w14:paraId="3361AEDC"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63BBDDE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CUS3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393DB32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0F0EA1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F613B7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0.453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0340F5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383D49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2445AF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r>
      <w:tr w:rsidR="00BF0679" w:rsidRPr="00A86722" w14:paraId="195BFFC6"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457E098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CUS4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0F41926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Clinical + US tumor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19A895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US tumor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0943F4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0.453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524C4AC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0.543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3DC9E4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1B1497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r>
      <w:tr w:rsidR="00BF0679" w:rsidRPr="00A86722" w14:paraId="505467C4"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7970027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591C015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tumor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226BA27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645B7B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BA55ED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6235226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B755BE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40CC1501"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11DADC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7AA0BAD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032D3E4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9BBC23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317E68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36F361F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0.376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320339C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-0.004</w:t>
            </w:r>
          </w:p>
        </w:tc>
      </w:tr>
      <w:tr w:rsidR="00BF0679" w:rsidRPr="00A86722" w14:paraId="1B10CB1F"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704EAA6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4ECA9A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peri10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5635635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peri10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59306A6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16FBA6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64FD7D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0.308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01830B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-0.073</w:t>
            </w:r>
          </w:p>
        </w:tc>
      </w:tr>
      <w:tr w:rsidR="00BF0679" w:rsidRPr="00A86722" w14:paraId="0C3C6C6D"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6E4D2F6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220D67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peri5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0D06ED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peri5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373A1A1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0.744</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B08676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1C72F1D2"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0.291</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00B3C94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-0.090</w:t>
            </w:r>
          </w:p>
        </w:tc>
      </w:tr>
      <w:tr w:rsidR="00BF0679" w:rsidRPr="00A86722" w14:paraId="00D64C9E"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51852B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IM5</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129EF8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peri10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0D7540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peri10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FBFF01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0.816</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16A8C7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0.771</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1F9C8FB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0.363</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441F16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-0.017</w:t>
            </w:r>
          </w:p>
        </w:tc>
      </w:tr>
      <w:tr w:rsidR="00BF0679" w:rsidRPr="00A86722" w14:paraId="27623602"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846013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IM6</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70A9A78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tumor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378D81D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tumor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ABC23F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EBBF63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7BE2A7F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4152FA8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25DE3FDD"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7DBEB53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IM7</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83A7AD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peri10 + US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688243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peri10 + US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FE200B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0.756</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C43135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44927B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0.303</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1584E1F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-0.077</w:t>
            </w:r>
          </w:p>
        </w:tc>
      </w:tr>
      <w:tr w:rsidR="00BF0679" w:rsidRPr="00A86722" w14:paraId="141A6042" w14:textId="77777777" w:rsidTr="005559F8">
        <w:trPr>
          <w:trHeight w:val="10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A44C76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IM8</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BA32E5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5E346FC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MG tumor + US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CB01DE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0.786</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B77D1C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EB7953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0.333</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53E505B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-0.047</w:t>
            </w:r>
          </w:p>
        </w:tc>
      </w:tr>
      <w:tr w:rsidR="00BF0679" w:rsidRPr="00A86722" w14:paraId="135A9BAB"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2EB7EB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FULL1</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F69424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tumor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74201A5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E9F948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B121B4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20ACF53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6472B7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4CD92B01"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1612AE2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FULL2</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65AF4556"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003DF2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7F952FD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9582B7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6687185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0.376</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7BCB0D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-0.004</w:t>
            </w:r>
          </w:p>
        </w:tc>
      </w:tr>
      <w:tr w:rsidR="00BF0679" w:rsidRPr="00A86722" w14:paraId="7E2716D4"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4253ABB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FULL3</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EEF69F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peri10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1C1047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peri10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4D4497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F13B2C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1BE2D8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0.312</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07E52E1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-0.068</w:t>
            </w:r>
          </w:p>
        </w:tc>
      </w:tr>
      <w:tr w:rsidR="00BF0679" w:rsidRPr="00A86722" w14:paraId="62E87648" w14:textId="77777777" w:rsidTr="005559F8">
        <w:trPr>
          <w:trHeight w:val="201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CA3AC5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FULL4</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6E18549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peri10 + US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3672C2E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peri10 + US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BAD11C7"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6990000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45D9C0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0.368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6388F9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-0.013</w:t>
            </w:r>
          </w:p>
        </w:tc>
      </w:tr>
      <w:tr w:rsidR="00BF0679" w:rsidRPr="00A86722" w14:paraId="0A0CE8F1" w14:textId="77777777" w:rsidTr="005559F8">
        <w:trPr>
          <w:trHeight w:val="201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B0E826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FULL5</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46AC44A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tumor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59D2F28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tumor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CAF8E9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0.833</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45FE3DBA"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0.829</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592E09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0.380</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2EBFAAE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0.000</w:t>
            </w:r>
          </w:p>
        </w:tc>
      </w:tr>
      <w:tr w:rsidR="00BF0679" w:rsidRPr="00A86722" w14:paraId="23537AC2"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2C512AC9"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FULL6</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40E3349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peri10 + US tumor</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6764667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peri10 + US tumor</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1BB70C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0.765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5EE2F0DD"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0.714</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433F355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0.312</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AED0E88"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-0.068</w:t>
            </w:r>
          </w:p>
        </w:tc>
      </w:tr>
      <w:tr w:rsidR="00BF0679" w:rsidRPr="00A86722" w14:paraId="55FDFDF7" w14:textId="77777777" w:rsidTr="005559F8">
        <w:trPr>
          <w:trHeight w:val="1515"/>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549927FC"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lastRenderedPageBreak/>
              <w:t>FULL7</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129FE1A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peri10</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1AA0040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US peri10</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7C85EC3"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0.791</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2CE811D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0.743</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5E023FDF"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0.338</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17594021"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-0.043</w:t>
            </w:r>
          </w:p>
        </w:tc>
      </w:tr>
      <w:tr w:rsidR="00BF0679" w:rsidRPr="00A86722" w14:paraId="0A5D0428" w14:textId="77777777" w:rsidTr="005559F8">
        <w:trPr>
          <w:trHeight w:val="2520"/>
        </w:trPr>
        <w:tc>
          <w:tcPr>
            <w:tcW w:w="1050" w:type="dxa"/>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C04CD9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FULL8</w:t>
            </w:r>
          </w:p>
        </w:tc>
        <w:tc>
          <w:tcPr>
            <w:tcW w:w="1665" w:type="dxa"/>
            <w:tcBorders>
              <w:top w:val="nil"/>
              <w:left w:val="nil"/>
              <w:bottom w:val="single" w:sz="7" w:space="0" w:color="BFBFBF"/>
              <w:right w:val="single" w:sz="7" w:space="0" w:color="BFBFBF"/>
            </w:tcBorders>
            <w:tcMar>
              <w:top w:w="0" w:type="dxa"/>
              <w:left w:w="100" w:type="dxa"/>
              <w:bottom w:w="0" w:type="dxa"/>
              <w:right w:w="100" w:type="dxa"/>
            </w:tcMar>
          </w:tcPr>
          <w:p w14:paraId="2F50D48E"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peri10 + US tumor + post5</w:t>
            </w:r>
          </w:p>
        </w:tc>
        <w:tc>
          <w:tcPr>
            <w:tcW w:w="1635" w:type="dxa"/>
            <w:tcBorders>
              <w:top w:val="nil"/>
              <w:left w:val="nil"/>
              <w:bottom w:val="single" w:sz="7" w:space="0" w:color="BFBFBF"/>
              <w:right w:val="single" w:sz="7" w:space="0" w:color="BFBFBF"/>
            </w:tcBorders>
            <w:tcMar>
              <w:top w:w="0" w:type="dxa"/>
              <w:left w:w="100" w:type="dxa"/>
              <w:bottom w:w="0" w:type="dxa"/>
              <w:right w:w="100" w:type="dxa"/>
            </w:tcMar>
          </w:tcPr>
          <w:p w14:paraId="4AF7213B"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Clin + MG tumor + peri10 + US tumor + post5</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05C29F84"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0.816</w:t>
            </w:r>
          </w:p>
        </w:tc>
        <w:tc>
          <w:tcPr>
            <w:tcW w:w="1095" w:type="dxa"/>
            <w:tcBorders>
              <w:top w:val="nil"/>
              <w:left w:val="nil"/>
              <w:bottom w:val="single" w:sz="7" w:space="0" w:color="BFBFBF"/>
              <w:right w:val="single" w:sz="7" w:space="0" w:color="BFBFBF"/>
            </w:tcBorders>
            <w:tcMar>
              <w:top w:w="0" w:type="dxa"/>
              <w:left w:w="100" w:type="dxa"/>
              <w:bottom w:w="0" w:type="dxa"/>
              <w:right w:w="100" w:type="dxa"/>
            </w:tcMar>
          </w:tcPr>
          <w:p w14:paraId="166E3E9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0.800</w:t>
            </w:r>
          </w:p>
        </w:tc>
        <w:tc>
          <w:tcPr>
            <w:tcW w:w="1200" w:type="dxa"/>
            <w:tcBorders>
              <w:top w:val="nil"/>
              <w:left w:val="nil"/>
              <w:bottom w:val="single" w:sz="7" w:space="0" w:color="BFBFBF"/>
              <w:right w:val="single" w:sz="7" w:space="0" w:color="BFBFBF"/>
            </w:tcBorders>
            <w:tcMar>
              <w:top w:w="0" w:type="dxa"/>
              <w:left w:w="100" w:type="dxa"/>
              <w:bottom w:w="0" w:type="dxa"/>
              <w:right w:w="100" w:type="dxa"/>
            </w:tcMar>
          </w:tcPr>
          <w:p w14:paraId="1E639360"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0.363</w:t>
            </w:r>
          </w:p>
        </w:tc>
        <w:tc>
          <w:tcPr>
            <w:tcW w:w="1170" w:type="dxa"/>
            <w:tcBorders>
              <w:top w:val="nil"/>
              <w:left w:val="nil"/>
              <w:bottom w:val="single" w:sz="7" w:space="0" w:color="BFBFBF"/>
              <w:right w:val="single" w:sz="7" w:space="0" w:color="BFBFBF"/>
            </w:tcBorders>
            <w:tcMar>
              <w:top w:w="0" w:type="dxa"/>
              <w:left w:w="100" w:type="dxa"/>
              <w:bottom w:w="0" w:type="dxa"/>
              <w:right w:w="100" w:type="dxa"/>
            </w:tcMar>
          </w:tcPr>
          <w:p w14:paraId="6D199B05" w14:textId="77777777" w:rsidR="00BF0679" w:rsidRPr="00A86722" w:rsidRDefault="00BF0679" w:rsidP="005559F8">
            <w:pPr>
              <w:spacing w:before="260" w:after="260"/>
              <w:jc w:val="both"/>
              <w:rPr>
                <w:rFonts w:ascii="Times New Roman" w:eastAsia="Times New Roman" w:hAnsi="Times New Roman" w:cs="Times New Roman"/>
              </w:rPr>
            </w:pPr>
            <w:r w:rsidRPr="00A86722">
              <w:rPr>
                <w:rFonts w:ascii="Times New Roman" w:eastAsia="Times New Roman" w:hAnsi="Times New Roman" w:cs="Times New Roman"/>
              </w:rPr>
              <w:t>-0.017</w:t>
            </w:r>
          </w:p>
        </w:tc>
      </w:tr>
      <w:tr w:rsidR="00BF0679" w:rsidRPr="00A86722" w14:paraId="592CD514" w14:textId="77777777" w:rsidTr="005559F8">
        <w:trPr>
          <w:trHeight w:val="1230"/>
        </w:trPr>
        <w:tc>
          <w:tcPr>
            <w:tcW w:w="8910" w:type="dxa"/>
            <w:gridSpan w:val="7"/>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04DACE66" w14:textId="367EAC28" w:rsidR="00BF0679" w:rsidRPr="00A86722" w:rsidRDefault="00BF0679"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Comprehensive performance comparison of clinical, imaging, and fusion models for DCIS upstaging prediction. Predictive performance is reported as area under the receiver operating characteristic curve (AUC) and accuracy (ACC). ΔAUC indicates the absolute difference in AUC relative to the clinical-only baseline or the best single-source imaging model.</w:t>
            </w:r>
          </w:p>
        </w:tc>
      </w:tr>
    </w:tbl>
    <w:p w14:paraId="6C63E5FF" w14:textId="77777777" w:rsidR="00BF0679" w:rsidRPr="00A86722" w:rsidRDefault="00BF0679">
      <w:pPr>
        <w:rPr>
          <w:rFonts w:ascii="Times New Roman" w:hAnsi="Times New Roman" w:cs="Times New Roman"/>
        </w:rPr>
      </w:pPr>
    </w:p>
    <w:p w14:paraId="5FBA7B67" w14:textId="77777777" w:rsidR="000867D5" w:rsidRPr="00A86722" w:rsidRDefault="000867D5">
      <w:pPr>
        <w:rPr>
          <w:rFonts w:ascii="Times New Roman" w:hAnsi="Times New Roman" w:cs="Times New Roman"/>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407"/>
        <w:gridCol w:w="970"/>
        <w:gridCol w:w="1025"/>
        <w:gridCol w:w="1133"/>
        <w:gridCol w:w="983"/>
        <w:gridCol w:w="1160"/>
        <w:gridCol w:w="1119"/>
        <w:gridCol w:w="614"/>
        <w:gridCol w:w="614"/>
      </w:tblGrid>
      <w:tr w:rsidR="000867D5" w:rsidRPr="00A86722" w14:paraId="2731DBBE" w14:textId="77777777" w:rsidTr="005559F8">
        <w:tc>
          <w:tcPr>
            <w:tcW w:w="9022" w:type="dxa"/>
            <w:gridSpan w:val="9"/>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273E96F4" w14:textId="77777777" w:rsidR="000867D5" w:rsidRPr="00A86722" w:rsidRDefault="000867D5" w:rsidP="005559F8">
            <w:pPr>
              <w:spacing w:before="260"/>
              <w:jc w:val="both"/>
              <w:rPr>
                <w:rFonts w:ascii="Times New Roman" w:eastAsia="Times New Roman" w:hAnsi="Times New Roman" w:cs="Times New Roman"/>
                <w:b/>
                <w:bCs/>
              </w:rPr>
            </w:pPr>
            <w:r w:rsidRPr="00A86722">
              <w:rPr>
                <w:rFonts w:ascii="Times New Roman" w:eastAsia="Times New Roman" w:hAnsi="Times New Roman" w:cs="Times New Roman"/>
                <w:b/>
                <w:bCs/>
              </w:rPr>
              <w:t>Table S3. Performance comparison of prior DCIS upstaging prediction models</w:t>
            </w:r>
          </w:p>
        </w:tc>
      </w:tr>
      <w:tr w:rsidR="000867D5" w:rsidRPr="00A86722" w14:paraId="41039B72" w14:textId="77777777" w:rsidTr="005559F8">
        <w:trPr>
          <w:trHeight w:val="1095"/>
        </w:trPr>
        <w:tc>
          <w:tcPr>
            <w:tcW w:w="1406"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3EC7DE57"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Study (Year)</w:t>
            </w:r>
          </w:p>
        </w:tc>
        <w:tc>
          <w:tcPr>
            <w:tcW w:w="969"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14A9930A"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Cohort (N; upstaging %)</w:t>
            </w:r>
          </w:p>
        </w:tc>
        <w:tc>
          <w:tcPr>
            <w:tcW w:w="1024"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87A9B88"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Endpoint definition</w:t>
            </w:r>
          </w:p>
        </w:tc>
        <w:tc>
          <w:tcPr>
            <w:tcW w:w="1133"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22AD9363"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Modality</w:t>
            </w:r>
          </w:p>
        </w:tc>
        <w:tc>
          <w:tcPr>
            <w:tcW w:w="983"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77FC14C7"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Feature type</w:t>
            </w:r>
          </w:p>
        </w:tc>
        <w:tc>
          <w:tcPr>
            <w:tcW w:w="116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1CB61201"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Model</w:t>
            </w:r>
          </w:p>
        </w:tc>
        <w:tc>
          <w:tcPr>
            <w:tcW w:w="1119"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FDD5FA5"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Validation</w:t>
            </w:r>
          </w:p>
        </w:tc>
        <w:tc>
          <w:tcPr>
            <w:tcW w:w="614"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3AAB0805"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AUC</w:t>
            </w:r>
          </w:p>
        </w:tc>
        <w:tc>
          <w:tcPr>
            <w:tcW w:w="614"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E5F81CE"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ACC</w:t>
            </w:r>
          </w:p>
        </w:tc>
      </w:tr>
      <w:tr w:rsidR="000867D5" w:rsidRPr="00A86722" w14:paraId="4258AB44" w14:textId="77777777" w:rsidTr="005559F8">
        <w:trPr>
          <w:trHeight w:val="870"/>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426F3590"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Lee et al. (2022)</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3F66A44A"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346; 43.3%</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5FB96F97"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Histologic upgrade of DCIS</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67FAE359"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DCE-MRI</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1EF0B1F7"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Radiomics</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12E80209"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LR/SVM/RF + clinical fusion</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69A2DAAD"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internal split</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27ABFCA9"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0.85</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0C08A2C2"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0.80</w:t>
            </w:r>
          </w:p>
        </w:tc>
      </w:tr>
      <w:tr w:rsidR="000867D5" w:rsidRPr="00A86722" w14:paraId="099D3E1F" w14:textId="77777777" w:rsidTr="005559F8">
        <w:trPr>
          <w:trHeight w:val="1095"/>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5EAF31C8"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Miceli et al. (2023)</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0215BCF2"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68; 38.0%</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16FE49FC"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 xml:space="preserve">Upgrade / invasive </w:t>
            </w:r>
            <w:r w:rsidRPr="00A86722">
              <w:rPr>
                <w:rFonts w:ascii="Times New Roman" w:eastAsia="Times New Roman" w:hAnsi="Times New Roman" w:cs="Times New Roman"/>
                <w:sz w:val="18"/>
                <w:szCs w:val="18"/>
              </w:rPr>
              <w:lastRenderedPageBreak/>
              <w:t>component</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3469199F" w14:textId="77777777" w:rsidR="000867D5" w:rsidRPr="00A86722" w:rsidRDefault="000867D5" w:rsidP="005559F8">
            <w:pPr>
              <w:spacing w:before="260"/>
              <w:jc w:val="both"/>
              <w:rPr>
                <w:rFonts w:ascii="Times New Roman" w:eastAsia="Times New Roman" w:hAnsi="Times New Roman" w:cs="Times New Roman"/>
                <w:sz w:val="18"/>
                <w:szCs w:val="18"/>
              </w:rPr>
            </w:pPr>
            <w:proofErr w:type="spellStart"/>
            <w:r w:rsidRPr="00A86722">
              <w:rPr>
                <w:rFonts w:ascii="Times New Roman" w:eastAsia="Times New Roman" w:hAnsi="Times New Roman" w:cs="Times New Roman"/>
                <w:sz w:val="18"/>
                <w:szCs w:val="18"/>
              </w:rPr>
              <w:lastRenderedPageBreak/>
              <w:t>Ufast</w:t>
            </w:r>
            <w:proofErr w:type="spellEnd"/>
            <w:r w:rsidRPr="00A86722">
              <w:rPr>
                <w:rFonts w:ascii="Times New Roman" w:eastAsia="Times New Roman" w:hAnsi="Times New Roman" w:cs="Times New Roman"/>
                <w:sz w:val="18"/>
                <w:szCs w:val="18"/>
              </w:rPr>
              <w:t xml:space="preserve"> DCE-MRI</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3F08C7C5"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Ultrafast kinetics</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4EE4B6B1"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 xml:space="preserve">logistic regression </w:t>
            </w:r>
            <w:r w:rsidRPr="00A86722">
              <w:rPr>
                <w:rFonts w:ascii="Times New Roman" w:eastAsia="Times New Roman" w:hAnsi="Times New Roman" w:cs="Times New Roman"/>
                <w:sz w:val="18"/>
                <w:szCs w:val="18"/>
              </w:rPr>
              <w:lastRenderedPageBreak/>
              <w:t>(kinetic parameters)</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3741943F"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lastRenderedPageBreak/>
              <w:t>cross-validation</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69E0F699"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0.87</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766130E2"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NR</w:t>
            </w:r>
          </w:p>
        </w:tc>
      </w:tr>
      <w:tr w:rsidR="000867D5" w:rsidRPr="00A86722" w14:paraId="0ECAEEB8" w14:textId="77777777" w:rsidTr="005559F8">
        <w:trPr>
          <w:trHeight w:val="630"/>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7064F404"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Huang et al. (2025)</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6BF2259A"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87; 23.0%</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4399715E"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Upstaging to invasive</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709EF6B1"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MRI</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1D6AD273"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Radiomics</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261839DB"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radiomics nomogram</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0A704341"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train/test split</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0FD0CD0A"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0.81</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5856A37E"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0.76</w:t>
            </w:r>
          </w:p>
        </w:tc>
      </w:tr>
      <w:tr w:rsidR="000867D5" w:rsidRPr="00A86722" w14:paraId="63F5BFE9" w14:textId="77777777" w:rsidTr="005559F8">
        <w:trPr>
          <w:trHeight w:val="1320"/>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1A34C96F" w14:textId="77777777" w:rsidR="000867D5" w:rsidRPr="00A86722" w:rsidRDefault="000867D5" w:rsidP="005559F8">
            <w:pPr>
              <w:spacing w:before="260"/>
              <w:jc w:val="both"/>
              <w:rPr>
                <w:rFonts w:ascii="Times New Roman" w:eastAsia="Times New Roman" w:hAnsi="Times New Roman" w:cs="Times New Roman"/>
                <w:sz w:val="18"/>
                <w:szCs w:val="18"/>
              </w:rPr>
            </w:pPr>
            <w:proofErr w:type="spellStart"/>
            <w:r w:rsidRPr="00A86722">
              <w:rPr>
                <w:rFonts w:ascii="Times New Roman" w:eastAsia="Times New Roman" w:hAnsi="Times New Roman" w:cs="Times New Roman"/>
                <w:sz w:val="18"/>
                <w:szCs w:val="18"/>
              </w:rPr>
              <w:t>Alaeikhanehshir</w:t>
            </w:r>
            <w:proofErr w:type="spellEnd"/>
            <w:r w:rsidRPr="00A86722">
              <w:rPr>
                <w:rFonts w:ascii="Times New Roman" w:eastAsia="Times New Roman" w:hAnsi="Times New Roman" w:cs="Times New Roman"/>
                <w:sz w:val="18"/>
                <w:szCs w:val="18"/>
              </w:rPr>
              <w:t xml:space="preserve"> et al., (2024)</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762070D3"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161; 25.5%</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5595561F"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High-risk DCIS / invasive-related risk</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5D15CCAF"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MG</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285A4538"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Deep learning</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2A1E418C"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clinical-imaging nomogram</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65C56748"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train/</w:t>
            </w:r>
            <w:proofErr w:type="spellStart"/>
            <w:r w:rsidRPr="00A86722">
              <w:rPr>
                <w:rFonts w:ascii="Times New Roman" w:eastAsia="Times New Roman" w:hAnsi="Times New Roman" w:cs="Times New Roman"/>
                <w:sz w:val="18"/>
                <w:szCs w:val="18"/>
              </w:rPr>
              <w:t>val</w:t>
            </w:r>
            <w:proofErr w:type="spellEnd"/>
            <w:r w:rsidRPr="00A86722">
              <w:rPr>
                <w:rFonts w:ascii="Times New Roman" w:eastAsia="Times New Roman" w:hAnsi="Times New Roman" w:cs="Times New Roman"/>
                <w:sz w:val="18"/>
                <w:szCs w:val="18"/>
              </w:rPr>
              <w:t>/test</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611823AC"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0.74</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761D7A9D"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0.71</w:t>
            </w:r>
          </w:p>
        </w:tc>
      </w:tr>
      <w:tr w:rsidR="000867D5" w:rsidRPr="00A86722" w14:paraId="2E0B5469" w14:textId="77777777" w:rsidTr="005559F8">
        <w:trPr>
          <w:trHeight w:val="1095"/>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65D0369E"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Zhang et al., (2025)</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7FCC3797"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464; 20.7%</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587DA725"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Upstaging predictors/nomogram</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67822A0E"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US/clinical</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07943F58"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Clinical + imaging</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5D4EC7CB"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ROI-specific CNN + LR fusion</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325392C2"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training + validation cohort</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4B31F86A"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0.83</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5713CF7A"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NR</w:t>
            </w:r>
          </w:p>
        </w:tc>
      </w:tr>
      <w:tr w:rsidR="000867D5" w:rsidRPr="00A86722" w14:paraId="35027D60" w14:textId="77777777" w:rsidTr="005559F8">
        <w:trPr>
          <w:trHeight w:val="1320"/>
        </w:trPr>
        <w:tc>
          <w:tcPr>
            <w:tcW w:w="1406"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03B218DD" w14:textId="77777777" w:rsidR="000867D5" w:rsidRPr="00A86722" w:rsidRDefault="000867D5" w:rsidP="005559F8">
            <w:pPr>
              <w:spacing w:before="260"/>
              <w:jc w:val="both"/>
              <w:rPr>
                <w:rFonts w:ascii="Times New Roman" w:eastAsia="Times New Roman" w:hAnsi="Times New Roman" w:cs="Times New Roman"/>
                <w:b/>
                <w:bCs/>
                <w:sz w:val="18"/>
                <w:szCs w:val="18"/>
              </w:rPr>
            </w:pPr>
            <w:r w:rsidRPr="00A86722">
              <w:rPr>
                <w:rFonts w:ascii="Times New Roman" w:eastAsia="Times New Roman" w:hAnsi="Times New Roman" w:cs="Times New Roman"/>
                <w:b/>
                <w:bCs/>
                <w:sz w:val="18"/>
                <w:szCs w:val="18"/>
              </w:rPr>
              <w:t>Present study</w:t>
            </w:r>
          </w:p>
        </w:tc>
        <w:tc>
          <w:tcPr>
            <w:tcW w:w="969" w:type="dxa"/>
            <w:tcBorders>
              <w:top w:val="nil"/>
              <w:left w:val="nil"/>
              <w:bottom w:val="single" w:sz="6" w:space="0" w:color="BFBFBF"/>
              <w:right w:val="single" w:sz="6" w:space="0" w:color="BFBFBF"/>
            </w:tcBorders>
            <w:tcMar>
              <w:top w:w="0" w:type="dxa"/>
              <w:left w:w="100" w:type="dxa"/>
              <w:bottom w:w="0" w:type="dxa"/>
              <w:right w:w="100" w:type="dxa"/>
            </w:tcMar>
          </w:tcPr>
          <w:p w14:paraId="62708C28"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178; 27%</w:t>
            </w:r>
          </w:p>
        </w:tc>
        <w:tc>
          <w:tcPr>
            <w:tcW w:w="1024" w:type="dxa"/>
            <w:tcBorders>
              <w:top w:val="nil"/>
              <w:left w:val="nil"/>
              <w:bottom w:val="single" w:sz="6" w:space="0" w:color="BFBFBF"/>
              <w:right w:val="single" w:sz="6" w:space="0" w:color="BFBFBF"/>
            </w:tcBorders>
            <w:tcMar>
              <w:top w:w="0" w:type="dxa"/>
              <w:left w:w="100" w:type="dxa"/>
              <w:bottom w:w="0" w:type="dxa"/>
              <w:right w:w="100" w:type="dxa"/>
            </w:tcMar>
          </w:tcPr>
          <w:p w14:paraId="12BDCB60"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Cardo" w:hAnsi="Times New Roman" w:cs="Times New Roman"/>
                <w:sz w:val="18"/>
                <w:szCs w:val="18"/>
              </w:rPr>
              <w:t>Biopsy DCIS → surgical invasive</w:t>
            </w:r>
          </w:p>
        </w:tc>
        <w:tc>
          <w:tcPr>
            <w:tcW w:w="1133" w:type="dxa"/>
            <w:tcBorders>
              <w:top w:val="nil"/>
              <w:left w:val="nil"/>
              <w:bottom w:val="single" w:sz="6" w:space="0" w:color="BFBFBF"/>
              <w:right w:val="single" w:sz="6" w:space="0" w:color="BFBFBF"/>
            </w:tcBorders>
            <w:tcMar>
              <w:top w:w="0" w:type="dxa"/>
              <w:left w:w="100" w:type="dxa"/>
              <w:bottom w:w="0" w:type="dxa"/>
              <w:right w:w="100" w:type="dxa"/>
            </w:tcMar>
          </w:tcPr>
          <w:p w14:paraId="162FEA7C"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MG/Clinical</w:t>
            </w:r>
          </w:p>
        </w:tc>
        <w:tc>
          <w:tcPr>
            <w:tcW w:w="983" w:type="dxa"/>
            <w:tcBorders>
              <w:top w:val="nil"/>
              <w:left w:val="nil"/>
              <w:bottom w:val="single" w:sz="6" w:space="0" w:color="BFBFBF"/>
              <w:right w:val="single" w:sz="6" w:space="0" w:color="BFBFBF"/>
            </w:tcBorders>
            <w:tcMar>
              <w:top w:w="0" w:type="dxa"/>
              <w:left w:w="100" w:type="dxa"/>
              <w:bottom w:w="0" w:type="dxa"/>
              <w:right w:w="100" w:type="dxa"/>
            </w:tcMar>
          </w:tcPr>
          <w:p w14:paraId="47434AE6"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Deep learning + fusion</w:t>
            </w:r>
          </w:p>
        </w:tc>
        <w:tc>
          <w:tcPr>
            <w:tcW w:w="1160" w:type="dxa"/>
            <w:tcBorders>
              <w:top w:val="nil"/>
              <w:left w:val="nil"/>
              <w:bottom w:val="single" w:sz="6" w:space="0" w:color="BFBFBF"/>
              <w:right w:val="single" w:sz="6" w:space="0" w:color="BFBFBF"/>
            </w:tcBorders>
            <w:tcMar>
              <w:top w:w="0" w:type="dxa"/>
              <w:left w:w="100" w:type="dxa"/>
              <w:bottom w:w="0" w:type="dxa"/>
              <w:right w:w="100" w:type="dxa"/>
            </w:tcMar>
          </w:tcPr>
          <w:p w14:paraId="7B9D27B4"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LR fusion</w:t>
            </w:r>
          </w:p>
        </w:tc>
        <w:tc>
          <w:tcPr>
            <w:tcW w:w="1119" w:type="dxa"/>
            <w:tcBorders>
              <w:top w:val="nil"/>
              <w:left w:val="nil"/>
              <w:bottom w:val="single" w:sz="6" w:space="0" w:color="BFBFBF"/>
              <w:right w:val="single" w:sz="6" w:space="0" w:color="BFBFBF"/>
            </w:tcBorders>
            <w:tcMar>
              <w:top w:w="0" w:type="dxa"/>
              <w:left w:w="100" w:type="dxa"/>
              <w:bottom w:w="0" w:type="dxa"/>
              <w:right w:w="100" w:type="dxa"/>
            </w:tcMar>
          </w:tcPr>
          <w:p w14:paraId="57090F89"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fixed matched split + paired bootstrap</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11A5F162"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0.833</w:t>
            </w:r>
          </w:p>
        </w:tc>
        <w:tc>
          <w:tcPr>
            <w:tcW w:w="614" w:type="dxa"/>
            <w:tcBorders>
              <w:top w:val="nil"/>
              <w:left w:val="nil"/>
              <w:bottom w:val="single" w:sz="6" w:space="0" w:color="BFBFBF"/>
              <w:right w:val="single" w:sz="6" w:space="0" w:color="BFBFBF"/>
            </w:tcBorders>
            <w:tcMar>
              <w:top w:w="0" w:type="dxa"/>
              <w:left w:w="100" w:type="dxa"/>
              <w:bottom w:w="0" w:type="dxa"/>
              <w:right w:w="100" w:type="dxa"/>
            </w:tcMar>
          </w:tcPr>
          <w:p w14:paraId="262A04AF" w14:textId="77777777" w:rsidR="000867D5" w:rsidRPr="00A86722" w:rsidRDefault="000867D5" w:rsidP="005559F8">
            <w:pPr>
              <w:spacing w:before="260"/>
              <w:jc w:val="both"/>
              <w:rPr>
                <w:rFonts w:ascii="Times New Roman" w:eastAsia="Times New Roman" w:hAnsi="Times New Roman" w:cs="Times New Roman"/>
                <w:sz w:val="18"/>
                <w:szCs w:val="18"/>
              </w:rPr>
            </w:pPr>
            <w:r w:rsidRPr="00A86722">
              <w:rPr>
                <w:rFonts w:ascii="Times New Roman" w:eastAsia="Times New Roman" w:hAnsi="Times New Roman" w:cs="Times New Roman"/>
                <w:sz w:val="18"/>
                <w:szCs w:val="18"/>
              </w:rPr>
              <w:t>0.829</w:t>
            </w:r>
          </w:p>
        </w:tc>
      </w:tr>
      <w:tr w:rsidR="000867D5" w:rsidRPr="00A86722" w14:paraId="3370B580" w14:textId="77777777" w:rsidTr="005559F8">
        <w:trPr>
          <w:trHeight w:val="363"/>
        </w:trPr>
        <w:tc>
          <w:tcPr>
            <w:tcW w:w="9022" w:type="dxa"/>
            <w:gridSpan w:val="9"/>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3B909083" w14:textId="77777777" w:rsidR="000867D5" w:rsidRPr="00A86722" w:rsidRDefault="000867D5"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Published studies differ in cohort composition, endpoint definition, imaging modality, and validation strategy; therefore, performance metrics are not directly comparable.</w:t>
            </w:r>
          </w:p>
          <w:p w14:paraId="3404B3C1" w14:textId="77777777" w:rsidR="000867D5" w:rsidRPr="00A86722" w:rsidRDefault="000867D5" w:rsidP="005559F8">
            <w:pPr>
              <w:spacing w:before="260"/>
              <w:jc w:val="both"/>
              <w:rPr>
                <w:rFonts w:ascii="Times New Roman" w:eastAsia="Times New Roman" w:hAnsi="Times New Roman" w:cs="Times New Roman"/>
              </w:rPr>
            </w:pPr>
            <w:r w:rsidRPr="00A86722">
              <w:rPr>
                <w:rFonts w:ascii="Times New Roman" w:eastAsia="Times New Roman" w:hAnsi="Times New Roman" w:cs="Times New Roman"/>
              </w:rPr>
              <w:t>AUC = area under the receiver operating characteristic curve; ACC = accuracy; NR = not reported.</w:t>
            </w:r>
          </w:p>
        </w:tc>
      </w:tr>
    </w:tbl>
    <w:p w14:paraId="3C43BEE6" w14:textId="77777777" w:rsidR="000867D5" w:rsidRPr="00A86722" w:rsidRDefault="000867D5">
      <w:pPr>
        <w:rPr>
          <w:rFonts w:ascii="Times New Roman" w:hAnsi="Times New Roman" w:cs="Times New Roman"/>
        </w:rPr>
      </w:pPr>
    </w:p>
    <w:sectPr w:rsidR="000867D5" w:rsidRPr="00A8672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30F3" w14:textId="77777777" w:rsidR="0046604F" w:rsidRDefault="0046604F" w:rsidP="00A86722">
      <w:pPr>
        <w:spacing w:after="0" w:line="240" w:lineRule="auto"/>
      </w:pPr>
      <w:r>
        <w:separator/>
      </w:r>
    </w:p>
  </w:endnote>
  <w:endnote w:type="continuationSeparator" w:id="0">
    <w:p w14:paraId="611F9376" w14:textId="77777777" w:rsidR="0046604F" w:rsidRDefault="0046604F" w:rsidP="00A8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d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6B49" w14:textId="77777777" w:rsidR="0046604F" w:rsidRDefault="0046604F" w:rsidP="00A86722">
      <w:pPr>
        <w:spacing w:after="0" w:line="240" w:lineRule="auto"/>
      </w:pPr>
      <w:r>
        <w:separator/>
      </w:r>
    </w:p>
  </w:footnote>
  <w:footnote w:type="continuationSeparator" w:id="0">
    <w:p w14:paraId="274F2DCE" w14:textId="77777777" w:rsidR="0046604F" w:rsidRDefault="0046604F" w:rsidP="00A86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79"/>
    <w:rsid w:val="00063A9E"/>
    <w:rsid w:val="000867D5"/>
    <w:rsid w:val="0046604F"/>
    <w:rsid w:val="00875614"/>
    <w:rsid w:val="00A86722"/>
    <w:rsid w:val="00BF0679"/>
    <w:rsid w:val="00CA182F"/>
    <w:rsid w:val="00E27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40F1"/>
  <w15:chartTrackingRefBased/>
  <w15:docId w15:val="{D34A2D11-F99A-4CDF-9D48-56D32EF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679"/>
    <w:pPr>
      <w:widowControl w:val="0"/>
    </w:pPr>
  </w:style>
  <w:style w:type="paragraph" w:styleId="1">
    <w:name w:val="heading 1"/>
    <w:basedOn w:val="a"/>
    <w:next w:val="a"/>
    <w:link w:val="10"/>
    <w:uiPriority w:val="9"/>
    <w:qFormat/>
    <w:rsid w:val="00BF06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06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067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F067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F06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067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F067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67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F067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F067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F067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F067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F067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F0679"/>
    <w:rPr>
      <w:rFonts w:eastAsiaTheme="majorEastAsia" w:cstheme="majorBidi"/>
      <w:color w:val="0F4761" w:themeColor="accent1" w:themeShade="BF"/>
    </w:rPr>
  </w:style>
  <w:style w:type="character" w:customStyle="1" w:styleId="60">
    <w:name w:val="標題 6 字元"/>
    <w:basedOn w:val="a0"/>
    <w:link w:val="6"/>
    <w:uiPriority w:val="9"/>
    <w:semiHidden/>
    <w:rsid w:val="00BF0679"/>
    <w:rPr>
      <w:rFonts w:eastAsiaTheme="majorEastAsia" w:cstheme="majorBidi"/>
      <w:color w:val="595959" w:themeColor="text1" w:themeTint="A6"/>
    </w:rPr>
  </w:style>
  <w:style w:type="character" w:customStyle="1" w:styleId="70">
    <w:name w:val="標題 7 字元"/>
    <w:basedOn w:val="a0"/>
    <w:link w:val="7"/>
    <w:uiPriority w:val="9"/>
    <w:semiHidden/>
    <w:rsid w:val="00BF0679"/>
    <w:rPr>
      <w:rFonts w:eastAsiaTheme="majorEastAsia" w:cstheme="majorBidi"/>
      <w:color w:val="595959" w:themeColor="text1" w:themeTint="A6"/>
    </w:rPr>
  </w:style>
  <w:style w:type="character" w:customStyle="1" w:styleId="80">
    <w:name w:val="標題 8 字元"/>
    <w:basedOn w:val="a0"/>
    <w:link w:val="8"/>
    <w:uiPriority w:val="9"/>
    <w:semiHidden/>
    <w:rsid w:val="00BF0679"/>
    <w:rPr>
      <w:rFonts w:eastAsiaTheme="majorEastAsia" w:cstheme="majorBidi"/>
      <w:color w:val="272727" w:themeColor="text1" w:themeTint="D8"/>
    </w:rPr>
  </w:style>
  <w:style w:type="character" w:customStyle="1" w:styleId="90">
    <w:name w:val="標題 9 字元"/>
    <w:basedOn w:val="a0"/>
    <w:link w:val="9"/>
    <w:uiPriority w:val="9"/>
    <w:semiHidden/>
    <w:rsid w:val="00BF0679"/>
    <w:rPr>
      <w:rFonts w:eastAsiaTheme="majorEastAsia" w:cstheme="majorBidi"/>
      <w:color w:val="272727" w:themeColor="text1" w:themeTint="D8"/>
    </w:rPr>
  </w:style>
  <w:style w:type="paragraph" w:styleId="a3">
    <w:name w:val="Title"/>
    <w:basedOn w:val="a"/>
    <w:next w:val="a"/>
    <w:link w:val="a4"/>
    <w:uiPriority w:val="10"/>
    <w:qFormat/>
    <w:rsid w:val="00BF06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F0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6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F0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679"/>
    <w:pPr>
      <w:spacing w:before="160"/>
      <w:jc w:val="center"/>
    </w:pPr>
    <w:rPr>
      <w:i/>
      <w:iCs/>
      <w:color w:val="404040" w:themeColor="text1" w:themeTint="BF"/>
    </w:rPr>
  </w:style>
  <w:style w:type="character" w:customStyle="1" w:styleId="a8">
    <w:name w:val="引文 字元"/>
    <w:basedOn w:val="a0"/>
    <w:link w:val="a7"/>
    <w:uiPriority w:val="29"/>
    <w:rsid w:val="00BF0679"/>
    <w:rPr>
      <w:i/>
      <w:iCs/>
      <w:color w:val="404040" w:themeColor="text1" w:themeTint="BF"/>
    </w:rPr>
  </w:style>
  <w:style w:type="paragraph" w:styleId="a9">
    <w:name w:val="List Paragraph"/>
    <w:basedOn w:val="a"/>
    <w:uiPriority w:val="34"/>
    <w:qFormat/>
    <w:rsid w:val="00BF0679"/>
    <w:pPr>
      <w:ind w:left="720"/>
      <w:contextualSpacing/>
    </w:pPr>
  </w:style>
  <w:style w:type="character" w:styleId="aa">
    <w:name w:val="Intense Emphasis"/>
    <w:basedOn w:val="a0"/>
    <w:uiPriority w:val="21"/>
    <w:qFormat/>
    <w:rsid w:val="00BF0679"/>
    <w:rPr>
      <w:i/>
      <w:iCs/>
      <w:color w:val="0F4761" w:themeColor="accent1" w:themeShade="BF"/>
    </w:rPr>
  </w:style>
  <w:style w:type="paragraph" w:styleId="ab">
    <w:name w:val="Intense Quote"/>
    <w:basedOn w:val="a"/>
    <w:next w:val="a"/>
    <w:link w:val="ac"/>
    <w:uiPriority w:val="30"/>
    <w:qFormat/>
    <w:rsid w:val="00BF0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F0679"/>
    <w:rPr>
      <w:i/>
      <w:iCs/>
      <w:color w:val="0F4761" w:themeColor="accent1" w:themeShade="BF"/>
    </w:rPr>
  </w:style>
  <w:style w:type="character" w:styleId="ad">
    <w:name w:val="Intense Reference"/>
    <w:basedOn w:val="a0"/>
    <w:uiPriority w:val="32"/>
    <w:qFormat/>
    <w:rsid w:val="00BF0679"/>
    <w:rPr>
      <w:b/>
      <w:bCs/>
      <w:smallCaps/>
      <w:color w:val="0F4761" w:themeColor="accent1" w:themeShade="BF"/>
      <w:spacing w:val="5"/>
    </w:rPr>
  </w:style>
  <w:style w:type="paragraph" w:styleId="ae">
    <w:name w:val="header"/>
    <w:basedOn w:val="a"/>
    <w:link w:val="af"/>
    <w:uiPriority w:val="99"/>
    <w:unhideWhenUsed/>
    <w:rsid w:val="00A86722"/>
    <w:pPr>
      <w:tabs>
        <w:tab w:val="center" w:pos="4153"/>
        <w:tab w:val="right" w:pos="8306"/>
      </w:tabs>
      <w:snapToGrid w:val="0"/>
    </w:pPr>
    <w:rPr>
      <w:sz w:val="20"/>
      <w:szCs w:val="20"/>
    </w:rPr>
  </w:style>
  <w:style w:type="character" w:customStyle="1" w:styleId="af">
    <w:name w:val="頁首 字元"/>
    <w:basedOn w:val="a0"/>
    <w:link w:val="ae"/>
    <w:uiPriority w:val="99"/>
    <w:rsid w:val="00A86722"/>
    <w:rPr>
      <w:sz w:val="20"/>
      <w:szCs w:val="20"/>
    </w:rPr>
  </w:style>
  <w:style w:type="paragraph" w:styleId="af0">
    <w:name w:val="footer"/>
    <w:basedOn w:val="a"/>
    <w:link w:val="af1"/>
    <w:uiPriority w:val="99"/>
    <w:unhideWhenUsed/>
    <w:rsid w:val="00A86722"/>
    <w:pPr>
      <w:tabs>
        <w:tab w:val="center" w:pos="4153"/>
        <w:tab w:val="right" w:pos="8306"/>
      </w:tabs>
      <w:snapToGrid w:val="0"/>
    </w:pPr>
    <w:rPr>
      <w:sz w:val="20"/>
      <w:szCs w:val="20"/>
    </w:rPr>
  </w:style>
  <w:style w:type="character" w:customStyle="1" w:styleId="af1">
    <w:name w:val="頁尾 字元"/>
    <w:basedOn w:val="a0"/>
    <w:link w:val="af0"/>
    <w:uiPriority w:val="99"/>
    <w:rsid w:val="00A867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閔傑 楊</dc:creator>
  <cp:keywords/>
  <dc:description/>
  <cp:lastModifiedBy>閔傑 楊</cp:lastModifiedBy>
  <cp:revision>3</cp:revision>
  <dcterms:created xsi:type="dcterms:W3CDTF">2026-05-02T09:35:00Z</dcterms:created>
  <dcterms:modified xsi:type="dcterms:W3CDTF">2026-05-31T16:43:00Z</dcterms:modified>
</cp:coreProperties>
</file>