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Times New Roman" w:hAnsi="Times New Roman" w:cs="Times New Roman"/>
          <w:b/>
          <w:sz w:val="22"/>
        </w:rPr>
        <w:t>Additional file 2. Sensitivity Analysis: Sleep Sub-Cohort Restricted to Participants with ≥7 Days of Monitoring (n = 15)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Cohort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n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Patient-days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Events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Model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AUROC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PRAUC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b/>
                <w:sz w:val="20"/>
              </w:rPr>
              <w:t>Brier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Primary sleep sub-cohort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17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767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Model B (PIR + SLR)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0.881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0.244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0.151</w:t>
            </w:r>
          </w:p>
        </w:tc>
      </w:tr>
      <w:tr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≥7-day sensitivity sub-cohort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760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31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Model B (PIR + SLR)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0.881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0.245</w:t>
            </w:r>
          </w:p>
        </w:tc>
        <w:tc>
          <w:tcPr>
            <w:tcW w:type="dxa" w:w="1080"/>
          </w:tcPr>
          <w:p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t>0.152</w:t>
            </w:r>
          </w:p>
        </w:tc>
      </w:tr>
    </w:tbl>
    <w:p>
      <w:r>
        <w:rPr>
          <w:rFonts w:ascii="Times New Roman" w:hAnsi="Times New Roman" w:cs="Times New Roman"/>
          <w:sz w:val="22"/>
        </w:rPr>
        <w:t>LOPO-CV, leave-one-patient-out cross-validation; PRAUC, area under the precision-recall curve; SLR, self-loop ratio. The primary sleep sub-cohort analysis retained all 17 participants with concurrent sleep recording (767 patient-days, 31 events). As a sensitivity analysis, the sub-cohort was restricted to the 15 participants with at least seven days of monitoring (760 patient-days), excluding two participants with 5 and 6 days. Model B performance was essentially identical between the two definitions, confirming that the short-observation participants did not influence the results. Performance estimates are shown without confidence intervals, as this appendix is a sensitivity check of the sleep sub-cohort definition.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