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Times New Roman" w:hAnsi="Times New Roman" w:cs="Times New Roman"/>
          <w:b/>
          <w:sz w:val="22"/>
        </w:rPr>
        <w:t>Additional file 3. Per-Patient Model Performance</w:t>
      </w:r>
    </w:p>
    <w:p>
      <w:r>
        <w:rPr>
          <w:rFonts w:ascii="Times New Roman" w:hAnsi="Times New Roman" w:cs="Times New Roman"/>
          <w:sz w:val="20"/>
        </w:rPr>
        <w:t>Figure A3-1. Per-patient discrimination in the agitation-present sub-cohort (n=27). Box plots (median, IQR) with individual patients overlaid show per-patient AUROC (left) and PRAUC (right) for Models A, B, and C. The dashed line in the AUROC panel marks chance (0.5). Substantial between-patient variability reflects the small number of agitation events per patient. Pooled out-of-fold performance with patient-level cluster-bootstrap confidence intervals is reported in the main text (Table 3).</w:t>
      </w:r>
    </w:p>
    <w:p>
      <w:pPr>
        <w:jc w:val="center"/>
      </w:pPr>
      <w:r>
        <w:rPr>
          <w:rFonts w:ascii="Times New Roman" w:hAnsi="Times New Roman" w:cs="Times New Roman"/>
          <w:sz w:val="22"/>
        </w:rPr>
        <w:drawing>
          <wp:inline xmlns:a="http://schemas.openxmlformats.org/drawingml/2006/main" xmlns:pic="http://schemas.openxmlformats.org/drawingml/2006/picture">
            <wp:extent cx="5760720" cy="248016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eS1_per_patient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80166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