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3669A" w14:textId="77777777" w:rsidR="007A7788" w:rsidRDefault="007A7788" w:rsidP="006515C6">
      <w:pPr>
        <w:pStyle w:val="1"/>
        <w:pageBreakBefore/>
        <w:snapToGrid w:val="0"/>
        <w:spacing w:beforeLines="0" w:before="0" w:afterLines="0" w:after="120" w:line="240" w:lineRule="auto"/>
      </w:pPr>
      <w:r>
        <w:t>Supporting Information</w:t>
      </w:r>
    </w:p>
    <w:p w14:paraId="49A4139C" w14:textId="77777777" w:rsidR="00933E9A" w:rsidRPr="00F2285A" w:rsidRDefault="00933E9A" w:rsidP="006515C6">
      <w:pPr>
        <w:snapToGrid w:val="0"/>
        <w:spacing w:beforeLines="0" w:before="0" w:afterLines="0" w:after="120" w:line="240" w:lineRule="auto"/>
        <w:ind w:firstLineChars="0" w:firstLine="0"/>
      </w:pPr>
      <w:r w:rsidRPr="00933E9A">
        <w:rPr>
          <w:b/>
          <w:bCs/>
        </w:rPr>
        <w:t xml:space="preserve">Supporting </w:t>
      </w:r>
      <w:r>
        <w:rPr>
          <w:rFonts w:hint="eastAsia"/>
          <w:b/>
          <w:bCs/>
        </w:rPr>
        <w:t>Figures</w:t>
      </w:r>
    </w:p>
    <w:p w14:paraId="36913691" w14:textId="4334E2B6" w:rsidR="007A7788" w:rsidRDefault="004B38A6" w:rsidP="006515C6">
      <w:pPr>
        <w:snapToGrid w:val="0"/>
        <w:spacing w:beforeLines="0" w:before="0" w:afterLines="0" w:after="120" w:line="240" w:lineRule="auto"/>
        <w:ind w:firstLineChars="0" w:firstLine="0"/>
      </w:pPr>
      <w:r>
        <w:rPr>
          <w:rFonts w:hint="eastAsia"/>
          <w:noProof/>
        </w:rPr>
        <w:drawing>
          <wp:inline distT="0" distB="0" distL="0" distR="0" wp14:anchorId="008ADD39" wp14:editId="5EEA2653">
            <wp:extent cx="5747385" cy="5008880"/>
            <wp:effectExtent l="0" t="0" r="5715" b="1270"/>
            <wp:docPr id="174125456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5747385" cy="5008880"/>
                    </a:xfrm>
                    <a:prstGeom prst="rect">
                      <a:avLst/>
                    </a:prstGeom>
                    <a:noFill/>
                    <a:ln>
                      <a:noFill/>
                    </a:ln>
                  </pic:spPr>
                </pic:pic>
              </a:graphicData>
            </a:graphic>
          </wp:inline>
        </w:drawing>
      </w:r>
    </w:p>
    <w:p w14:paraId="7BE72BEB" w14:textId="77777777" w:rsidR="00E03AA5" w:rsidRDefault="00DD65B0" w:rsidP="006515C6">
      <w:pPr>
        <w:snapToGrid w:val="0"/>
        <w:spacing w:beforeLines="0" w:before="0" w:afterLines="0" w:after="120" w:line="240" w:lineRule="auto"/>
        <w:ind w:firstLineChars="0" w:firstLine="0"/>
      </w:pPr>
      <w:r w:rsidRPr="00567357">
        <w:rPr>
          <w:b/>
          <w:bCs/>
        </w:rPr>
        <w:t>Figure S1 | Regional SSC retrieval framework using in situ measurements from Plum Island Ecosystems (PIE) and the Virginia Coast Reserve (VCR).</w:t>
      </w:r>
      <w:r>
        <w:t xml:space="preserve"> (a) Map of sampling stations along the U.S. East Coast. (b) Relationship between in situ remote-sensing reflectance at 665 nm and turbidity. (c) Relationship between turbidity and SSC.</w:t>
      </w:r>
    </w:p>
    <w:p w14:paraId="6E8CCF01" w14:textId="77777777" w:rsidR="002F4965" w:rsidRDefault="002F4965" w:rsidP="006515C6">
      <w:pPr>
        <w:snapToGrid w:val="0"/>
        <w:spacing w:beforeLines="0" w:before="0" w:afterLines="0" w:after="120" w:line="240" w:lineRule="auto"/>
        <w:ind w:firstLineChars="0" w:firstLine="0"/>
      </w:pPr>
    </w:p>
    <w:p w14:paraId="2AEE444A" w14:textId="77777777" w:rsidR="002F4965" w:rsidRDefault="002F4965" w:rsidP="006515C6">
      <w:pPr>
        <w:snapToGrid w:val="0"/>
        <w:spacing w:beforeLines="0" w:before="0" w:afterLines="0" w:after="120" w:line="240" w:lineRule="auto"/>
        <w:ind w:firstLineChars="0" w:firstLine="0"/>
      </w:pPr>
    </w:p>
    <w:p w14:paraId="11BE8627" w14:textId="09C16BBA" w:rsidR="002F4965" w:rsidRDefault="004B38A6" w:rsidP="006515C6">
      <w:pPr>
        <w:snapToGrid w:val="0"/>
        <w:spacing w:beforeLines="0" w:before="0" w:afterLines="0" w:after="120" w:line="240" w:lineRule="auto"/>
        <w:ind w:firstLineChars="0" w:firstLine="0"/>
      </w:pPr>
      <w:r>
        <w:rPr>
          <w:rFonts w:hint="eastAsia"/>
          <w:noProof/>
        </w:rPr>
        <w:lastRenderedPageBreak/>
        <w:drawing>
          <wp:inline distT="0" distB="0" distL="0" distR="0" wp14:anchorId="1B917641" wp14:editId="5C4E6B73">
            <wp:extent cx="5737860" cy="2597785"/>
            <wp:effectExtent l="0" t="0" r="0" b="0"/>
            <wp:docPr id="21319404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5737860" cy="2597785"/>
                    </a:xfrm>
                    <a:prstGeom prst="rect">
                      <a:avLst/>
                    </a:prstGeom>
                    <a:noFill/>
                    <a:ln>
                      <a:noFill/>
                    </a:ln>
                  </pic:spPr>
                </pic:pic>
              </a:graphicData>
            </a:graphic>
          </wp:inline>
        </w:drawing>
      </w:r>
    </w:p>
    <w:p w14:paraId="552D53A5" w14:textId="77777777" w:rsidR="002F4965" w:rsidRPr="00602496" w:rsidRDefault="002F4965" w:rsidP="006515C6">
      <w:pPr>
        <w:snapToGrid w:val="0"/>
        <w:spacing w:beforeLines="0" w:before="0" w:afterLines="0" w:after="120" w:line="240" w:lineRule="auto"/>
        <w:ind w:firstLineChars="0" w:firstLine="0"/>
      </w:pPr>
      <w:r w:rsidRPr="00567357">
        <w:rPr>
          <w:b/>
          <w:bCs/>
        </w:rPr>
        <w:t>Figure S2 | Validation of satellite-derived products against in situ measurements.</w:t>
      </w:r>
      <w:r>
        <w:t xml:space="preserve"> (a) Comparison between Landsat red-band reflectance and spectrally matched in situ reflectance. (b) Comparison between satellite-estimated SSC and field-measured SSC. Points are colored by sampling region. The solid black line shows the fitted regression, the gray band indicates the 95% confidence interval of the mean prediction, and the dashed line is the 1:1 reference.</w:t>
      </w:r>
    </w:p>
    <w:p w14:paraId="46EEB3BD" w14:textId="77777777" w:rsidR="00A77711" w:rsidRDefault="00262A34" w:rsidP="006515C6">
      <w:pPr>
        <w:snapToGrid w:val="0"/>
        <w:spacing w:beforeLines="0" w:before="0" w:afterLines="0" w:after="120" w:line="240" w:lineRule="auto"/>
        <w:ind w:firstLineChars="0" w:firstLine="0"/>
      </w:pPr>
      <w:r>
        <w:rPr>
          <w:noProof/>
        </w:rPr>
        <w:drawing>
          <wp:inline distT="0" distB="0" distL="0" distR="0" wp14:anchorId="5B4C9F55" wp14:editId="2A2AC0A0">
            <wp:extent cx="5747385" cy="2381250"/>
            <wp:effectExtent l="0" t="0" r="5715" b="0"/>
            <wp:docPr id="10398023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5747385" cy="2381250"/>
                    </a:xfrm>
                    <a:prstGeom prst="rect">
                      <a:avLst/>
                    </a:prstGeom>
                    <a:noFill/>
                    <a:ln>
                      <a:noFill/>
                    </a:ln>
                  </pic:spPr>
                </pic:pic>
              </a:graphicData>
            </a:graphic>
          </wp:inline>
        </w:drawing>
      </w:r>
    </w:p>
    <w:p w14:paraId="4E72287C" w14:textId="77777777" w:rsidR="00980668" w:rsidRDefault="00F2285A" w:rsidP="006515C6">
      <w:pPr>
        <w:snapToGrid w:val="0"/>
        <w:spacing w:beforeLines="0" w:before="0" w:afterLines="0" w:after="120" w:line="240" w:lineRule="auto"/>
        <w:ind w:firstLineChars="0" w:firstLine="0"/>
      </w:pPr>
      <w:r w:rsidRPr="00F2285A">
        <w:rPr>
          <w:b/>
          <w:bCs/>
        </w:rPr>
        <w:t xml:space="preserve">Figure </w:t>
      </w:r>
      <w:r>
        <w:rPr>
          <w:rFonts w:hint="eastAsia"/>
          <w:b/>
          <w:bCs/>
        </w:rPr>
        <w:t>S3</w:t>
      </w:r>
      <w:r w:rsidRPr="00F2285A">
        <w:rPr>
          <w:b/>
          <w:bCs/>
        </w:rPr>
        <w:t xml:space="preserve"> | Landsat red-band consistency across in situ hyperspectral spectra</w:t>
      </w:r>
      <w:r>
        <w:rPr>
          <w:rFonts w:hint="eastAsia"/>
          <w:b/>
          <w:bCs/>
        </w:rPr>
        <w:t>.</w:t>
      </w:r>
      <w:r>
        <w:rPr>
          <w:rFonts w:hint="eastAsia"/>
        </w:rPr>
        <w:t xml:space="preserve"> </w:t>
      </w:r>
      <w:r w:rsidRPr="00567357">
        <w:rPr>
          <w:b/>
          <w:bCs/>
        </w:rPr>
        <w:t xml:space="preserve">(a) </w:t>
      </w:r>
      <w:r w:rsidRPr="00F2285A">
        <w:t>Measured hyperspectral remote-sensing reflectance spectra (</w:t>
      </w:r>
      <m:oMath>
        <m:sSub>
          <m:sSubPr>
            <m:ctrlPr>
              <w:rPr>
                <w:rFonts w:ascii="Cambria Math" w:hAnsi="Cambria Math"/>
              </w:rPr>
            </m:ctrlPr>
          </m:sSubPr>
          <m:e>
            <m:r>
              <w:rPr>
                <w:rFonts w:ascii="Cambria Math" w:hAnsi="Cambria Math"/>
              </w:rPr>
              <m:t>R</m:t>
            </m:r>
          </m:e>
          <m:sub>
            <m:r>
              <w:rPr>
                <w:rFonts w:ascii="Cambria Math" w:hAnsi="Cambria Math"/>
              </w:rPr>
              <m:t>rs</m:t>
            </m:r>
          </m:sub>
        </m:sSub>
      </m:oMath>
      <w:r w:rsidRPr="00F2285A">
        <w:t xml:space="preserve">) from the two study areas, Plum Island and the Virginia Coast Reserve (VCR), with individual samples shown as thin lines and group median spectra overlaid as thick lines. This panel shows the spectral shape and magnitude of the field observations used for sensor-response convolution. </w:t>
      </w:r>
      <w:r w:rsidRPr="00567357">
        <w:rPr>
          <w:b/>
          <w:bCs/>
        </w:rPr>
        <w:t>(b)</w:t>
      </w:r>
      <w:r w:rsidRPr="00F2285A">
        <w:t xml:space="preserve"> Scatter comparison between TM/ETM+-equivalent red-band reflectance and OLI-equivalent red-band reflectance derived by convolving the measured hyperspectral spectra with the official Landsat spectral response functions. Points are colored by study area; the dashed line indicates the 1:1 relationship and the solid line </w:t>
      </w:r>
      <w:proofErr w:type="gramStart"/>
      <w:r w:rsidRPr="00F2285A">
        <w:t>shows</w:t>
      </w:r>
      <w:proofErr w:type="gramEnd"/>
      <w:r w:rsidRPr="00F2285A">
        <w:t xml:space="preserve"> the linear fit. The close agreement indicates that differences in red-band reflectance attributable solely to the Landsat sensor spectral response are small across the sampled optical conditions.</w:t>
      </w:r>
    </w:p>
    <w:p w14:paraId="0C87FA30" w14:textId="77777777" w:rsidR="00A77711" w:rsidRDefault="00A77711" w:rsidP="006515C6">
      <w:pPr>
        <w:snapToGrid w:val="0"/>
        <w:spacing w:beforeLines="0" w:before="0" w:afterLines="0" w:after="120" w:line="240" w:lineRule="auto"/>
        <w:ind w:firstLineChars="0" w:firstLine="0"/>
      </w:pPr>
      <w:r>
        <w:rPr>
          <w:noProof/>
        </w:rPr>
        <w:lastRenderedPageBreak/>
        <w:drawing>
          <wp:inline distT="0" distB="0" distL="0" distR="0" wp14:anchorId="37372F05" wp14:editId="72A17C0A">
            <wp:extent cx="5745480" cy="2572385"/>
            <wp:effectExtent l="0" t="0" r="7620" b="0"/>
            <wp:docPr id="39467625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5480" cy="2572385"/>
                    </a:xfrm>
                    <a:prstGeom prst="rect">
                      <a:avLst/>
                    </a:prstGeom>
                    <a:noFill/>
                    <a:ln>
                      <a:noFill/>
                    </a:ln>
                  </pic:spPr>
                </pic:pic>
              </a:graphicData>
            </a:graphic>
          </wp:inline>
        </w:drawing>
      </w:r>
    </w:p>
    <w:p w14:paraId="5795AE72" w14:textId="77777777" w:rsidR="00A77711" w:rsidRDefault="00A77711" w:rsidP="006515C6">
      <w:pPr>
        <w:snapToGrid w:val="0"/>
        <w:spacing w:beforeLines="0" w:before="0" w:afterLines="0" w:after="120" w:line="240" w:lineRule="auto"/>
        <w:ind w:firstLineChars="0" w:firstLine="0"/>
      </w:pPr>
      <w:r w:rsidRPr="00567357">
        <w:rPr>
          <w:b/>
          <w:bCs/>
        </w:rPr>
        <w:t xml:space="preserve">Figure </w:t>
      </w:r>
      <w:r w:rsidR="00262A34" w:rsidRPr="00567357">
        <w:rPr>
          <w:b/>
          <w:bCs/>
        </w:rPr>
        <w:t>S</w:t>
      </w:r>
      <w:r w:rsidR="00262A34">
        <w:rPr>
          <w:rFonts w:hint="eastAsia"/>
          <w:b/>
          <w:bCs/>
        </w:rPr>
        <w:t>4</w:t>
      </w:r>
      <w:r w:rsidR="00262A34" w:rsidRPr="00567357">
        <w:rPr>
          <w:b/>
          <w:bCs/>
        </w:rPr>
        <w:t xml:space="preserve"> </w:t>
      </w:r>
      <w:r w:rsidRPr="00567357">
        <w:rPr>
          <w:b/>
          <w:bCs/>
        </w:rPr>
        <w:t xml:space="preserve">| Spatial patterns of the main forcing variables along the U.S. East Coast. (a) Mean tidal range. </w:t>
      </w:r>
      <w:r>
        <w:t>(b) Mean significant wave height. (c) Relative sea-level-rise rates and riverine sediment signals. Upward arrows indicate positive sea-level-rise rates, and river markers denote significant increases, significant decreases, or non-significant trends.</w:t>
      </w:r>
    </w:p>
    <w:p w14:paraId="24522F4C" w14:textId="77777777" w:rsidR="00A77711" w:rsidRDefault="00A77711" w:rsidP="006515C6">
      <w:pPr>
        <w:snapToGrid w:val="0"/>
        <w:spacing w:beforeLines="0" w:before="0" w:afterLines="0" w:after="120" w:line="240" w:lineRule="auto"/>
        <w:ind w:firstLineChars="0" w:firstLine="0"/>
      </w:pPr>
    </w:p>
    <w:p w14:paraId="7FED2EF4" w14:textId="77777777" w:rsidR="002F4965" w:rsidRDefault="00BB73E0" w:rsidP="006515C6">
      <w:pPr>
        <w:snapToGrid w:val="0"/>
        <w:spacing w:beforeLines="0" w:before="0" w:afterLines="0" w:after="120" w:line="240" w:lineRule="auto"/>
        <w:ind w:firstLineChars="0" w:firstLine="0"/>
      </w:pPr>
      <w:r>
        <w:rPr>
          <w:rFonts w:hint="eastAsia"/>
          <w:noProof/>
        </w:rPr>
        <w:drawing>
          <wp:inline distT="0" distB="0" distL="0" distR="0" wp14:anchorId="7AC60D4D" wp14:editId="789A2F71">
            <wp:extent cx="5745480" cy="2381250"/>
            <wp:effectExtent l="0" t="0" r="7620" b="0"/>
            <wp:docPr id="44617973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5480" cy="2381250"/>
                    </a:xfrm>
                    <a:prstGeom prst="rect">
                      <a:avLst/>
                    </a:prstGeom>
                    <a:noFill/>
                    <a:ln>
                      <a:noFill/>
                    </a:ln>
                  </pic:spPr>
                </pic:pic>
              </a:graphicData>
            </a:graphic>
          </wp:inline>
        </w:drawing>
      </w:r>
    </w:p>
    <w:p w14:paraId="492F3742" w14:textId="53493599" w:rsidR="00A858D0" w:rsidRPr="00E820A2" w:rsidRDefault="00A858D0" w:rsidP="006515C6">
      <w:pPr>
        <w:snapToGrid w:val="0"/>
        <w:spacing w:beforeLines="0" w:before="0" w:afterLines="0" w:after="120" w:line="240" w:lineRule="auto"/>
        <w:ind w:firstLineChars="0" w:firstLine="0"/>
      </w:pPr>
      <w:r w:rsidRPr="00567357">
        <w:rPr>
          <w:b/>
          <w:bCs/>
        </w:rPr>
        <w:t xml:space="preserve">Figure </w:t>
      </w:r>
      <w:r w:rsidR="00262A34" w:rsidRPr="00567357">
        <w:rPr>
          <w:b/>
          <w:bCs/>
        </w:rPr>
        <w:t>S</w:t>
      </w:r>
      <w:r w:rsidR="00262A34">
        <w:rPr>
          <w:rFonts w:hint="eastAsia"/>
          <w:b/>
          <w:bCs/>
        </w:rPr>
        <w:t>5</w:t>
      </w:r>
      <w:r w:rsidR="00262A34" w:rsidRPr="00567357">
        <w:rPr>
          <w:b/>
          <w:bCs/>
        </w:rPr>
        <w:t xml:space="preserve"> </w:t>
      </w:r>
      <w:r w:rsidRPr="00567357">
        <w:rPr>
          <w:b/>
          <w:bCs/>
        </w:rPr>
        <w:t>| Monte Carlo validation of the BREW-MALT separation between bay response modes.</w:t>
      </w:r>
      <w:r>
        <w:t xml:space="preserve"> (a) Distribution of Type-1 and Type-2 bays in BREW-MALT space. The observed centroid separation between the two groups is labele</w:t>
      </w:r>
      <w:r w:rsidR="00CE0EA8">
        <w:rPr>
          <w:rFonts w:hint="eastAsia"/>
        </w:rPr>
        <w:t>d</w:t>
      </w:r>
      <w:r>
        <w:t>. (b) Null distribution of centroid separation from 2,000 random permutations of bay attributes. The vertical red line marks the observed value, showing that the empirical separation is stronger than expected by chance.</w:t>
      </w:r>
    </w:p>
    <w:p w14:paraId="3367B91E" w14:textId="77777777" w:rsidR="00BB73E0" w:rsidRDefault="00BB73E0" w:rsidP="006515C6">
      <w:pPr>
        <w:snapToGrid w:val="0"/>
        <w:spacing w:beforeLines="0" w:before="0" w:afterLines="0" w:after="120" w:line="240" w:lineRule="auto"/>
        <w:ind w:firstLineChars="0" w:firstLine="0"/>
      </w:pPr>
    </w:p>
    <w:p w14:paraId="2D357B15" w14:textId="77777777" w:rsidR="00EB6583" w:rsidRDefault="00EB6583" w:rsidP="006515C6">
      <w:pPr>
        <w:snapToGrid w:val="0"/>
        <w:spacing w:beforeLines="0" w:before="0" w:afterLines="0" w:after="120" w:line="240" w:lineRule="auto"/>
        <w:ind w:firstLineChars="0" w:firstLine="0"/>
      </w:pPr>
    </w:p>
    <w:p w14:paraId="77BF9D88" w14:textId="77777777" w:rsidR="00EB6583" w:rsidRDefault="00262A34" w:rsidP="006515C6">
      <w:pPr>
        <w:snapToGrid w:val="0"/>
        <w:spacing w:beforeLines="0" w:before="0" w:afterLines="0" w:after="120" w:line="240" w:lineRule="auto"/>
        <w:ind w:firstLineChars="0" w:firstLine="0"/>
      </w:pPr>
      <w:r>
        <w:rPr>
          <w:noProof/>
        </w:rPr>
        <w:lastRenderedPageBreak/>
        <w:drawing>
          <wp:inline distT="0" distB="0" distL="0" distR="0" wp14:anchorId="7878F767" wp14:editId="177C9652">
            <wp:extent cx="5747385" cy="3432175"/>
            <wp:effectExtent l="0" t="0" r="5715" b="0"/>
            <wp:docPr id="1417593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5747385" cy="3432175"/>
                    </a:xfrm>
                    <a:prstGeom prst="rect">
                      <a:avLst/>
                    </a:prstGeom>
                    <a:noFill/>
                    <a:ln>
                      <a:noFill/>
                    </a:ln>
                  </pic:spPr>
                </pic:pic>
              </a:graphicData>
            </a:graphic>
          </wp:inline>
        </w:drawing>
      </w:r>
    </w:p>
    <w:p w14:paraId="0D0B607F" w14:textId="77777777" w:rsidR="00933E9A" w:rsidRDefault="00262A34" w:rsidP="006515C6">
      <w:pPr>
        <w:snapToGrid w:val="0"/>
        <w:spacing w:beforeLines="0" w:before="0" w:afterLines="0" w:after="120" w:line="240" w:lineRule="auto"/>
        <w:ind w:firstLineChars="0" w:firstLine="0"/>
      </w:pPr>
      <w:r w:rsidRPr="00262A34">
        <w:rPr>
          <w:b/>
          <w:bCs/>
        </w:rPr>
        <w:t>Figure S</w:t>
      </w:r>
      <w:r w:rsidR="001F6F9D">
        <w:rPr>
          <w:rFonts w:hint="eastAsia"/>
          <w:b/>
          <w:bCs/>
        </w:rPr>
        <w:t>6</w:t>
      </w:r>
      <w:r w:rsidRPr="00262A34">
        <w:rPr>
          <w:b/>
          <w:bCs/>
        </w:rPr>
        <w:t xml:space="preserve"> | Sea-level rise drives systematically different peak bed-shear responses offshore and inside bays across the depth–tidal-range space.</w:t>
      </w:r>
      <w:r>
        <w:rPr>
          <w:rFonts w:hint="eastAsia"/>
        </w:rPr>
        <w:t xml:space="preserve"> </w:t>
      </w:r>
      <w:r w:rsidRPr="00262A34">
        <w:t xml:space="preserve">Response surfaces show the percentage change in peak bed shear relative to the no-sea-level-rise baseline, plotted as a function of initial water depth and tidal range for offshore settings (top row) and bays (bottom row). Columns correspond to sea-level-rise rates of 3, 6, and 9 mm yr⁻¹. Warm colors indicate an increase in peak bed shear, whereas cool colors indicate a decrease. Black curves mark the zero-response boundary separating positive and negative sensitivity domains. Across the parameter space, offshore responses are more uniformly negative, consistent with shear reduction under deepening water, whereas bay responses remain more heterogeneous, indicating that sea-level rise in </w:t>
      </w:r>
      <w:proofErr w:type="spellStart"/>
      <w:r w:rsidRPr="00262A34">
        <w:t>embayments</w:t>
      </w:r>
      <w:proofErr w:type="spellEnd"/>
      <w:r w:rsidRPr="00262A34">
        <w:t xml:space="preserve"> can either weaken or enhance peak bed shear depending on the initial hydro-geomorphic setting.</w:t>
      </w:r>
    </w:p>
    <w:p w14:paraId="0881A5CE" w14:textId="77777777" w:rsidR="00262A34" w:rsidRDefault="00262A34" w:rsidP="006515C6">
      <w:pPr>
        <w:snapToGrid w:val="0"/>
        <w:spacing w:beforeLines="0" w:before="0" w:afterLines="0" w:after="120" w:line="240" w:lineRule="auto"/>
        <w:ind w:firstLineChars="0" w:firstLine="0"/>
      </w:pPr>
      <w:r>
        <w:rPr>
          <w:noProof/>
        </w:rPr>
        <w:drawing>
          <wp:inline distT="0" distB="0" distL="0" distR="0" wp14:anchorId="6C66EF61" wp14:editId="57957B63">
            <wp:extent cx="5753735" cy="1739900"/>
            <wp:effectExtent l="0" t="0" r="0" b="0"/>
            <wp:docPr id="180657038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5753735" cy="1739900"/>
                    </a:xfrm>
                    <a:prstGeom prst="rect">
                      <a:avLst/>
                    </a:prstGeom>
                    <a:noFill/>
                    <a:ln>
                      <a:noFill/>
                    </a:ln>
                  </pic:spPr>
                </pic:pic>
              </a:graphicData>
            </a:graphic>
          </wp:inline>
        </w:drawing>
      </w:r>
    </w:p>
    <w:p w14:paraId="70C2961E" w14:textId="77777777" w:rsidR="00971298" w:rsidRDefault="00262A34" w:rsidP="006515C6">
      <w:pPr>
        <w:snapToGrid w:val="0"/>
        <w:spacing w:beforeLines="0" w:before="0" w:afterLines="0" w:after="120" w:line="240" w:lineRule="auto"/>
        <w:ind w:firstLineChars="0" w:firstLine="0"/>
      </w:pPr>
      <w:r w:rsidRPr="00262A34">
        <w:rPr>
          <w:b/>
          <w:bCs/>
        </w:rPr>
        <w:t>Figure S</w:t>
      </w:r>
      <w:r w:rsidR="001F6F9D">
        <w:rPr>
          <w:rFonts w:hint="eastAsia"/>
          <w:b/>
          <w:bCs/>
        </w:rPr>
        <w:t>7</w:t>
      </w:r>
      <w:r w:rsidRPr="00262A34">
        <w:rPr>
          <w:b/>
          <w:bCs/>
        </w:rPr>
        <w:t xml:space="preserve"> | </w:t>
      </w:r>
      <w:r w:rsidR="00971298" w:rsidRPr="00971298">
        <w:rPr>
          <w:b/>
          <w:bCs/>
        </w:rPr>
        <w:t>Response surfaces and zero-response boundaries used to diagnose how geometry feedback alters the bay shear response to sea-level rise across depth–tidal-range space.</w:t>
      </w:r>
      <w:r w:rsidR="00971298">
        <w:rPr>
          <w:rFonts w:hint="eastAsia"/>
          <w:b/>
          <w:bCs/>
        </w:rPr>
        <w:t xml:space="preserve"> </w:t>
      </w:r>
      <w:r w:rsidR="00971298" w:rsidRPr="00971298">
        <w:rPr>
          <w:b/>
          <w:bCs/>
        </w:rPr>
        <w:t xml:space="preserve">(a–c) </w:t>
      </w:r>
      <w:r w:rsidR="00971298" w:rsidRPr="00567357">
        <w:t>Response surfaces show the percentage change in peak bed shear in bays at a sea-level-rise rate of 9 mm</w:t>
      </w:r>
      <w:r w:rsidR="00971298">
        <w:rPr>
          <w:rFonts w:hint="eastAsia"/>
        </w:rPr>
        <w:t>/</w:t>
      </w:r>
      <w:r w:rsidR="00971298" w:rsidRPr="00567357">
        <w:t xml:space="preserve">yr for three geometry-feedback scenarios parameterized by </w:t>
      </w:r>
      <m:oMath>
        <m:r>
          <w:rPr>
            <w:rFonts w:ascii="Cambria Math" w:hAnsi="Cambria Math"/>
          </w:rPr>
          <m:t>α=0</m:t>
        </m:r>
      </m:oMath>
      <w:r w:rsidR="00971298" w:rsidRPr="00567357">
        <w:t xml:space="preserve">, 1, and 2. Axes show initial water depth and tidal range; warm colors indicate increasing peak bed shear and cool colors indicate decreasing peak bed shear. Black curves denote the zero-response </w:t>
      </w:r>
      <w:r w:rsidR="00971298" w:rsidRPr="00567357">
        <w:lastRenderedPageBreak/>
        <w:t xml:space="preserve">boundary. Here, </w:t>
      </w:r>
      <m:oMath>
        <m:r>
          <w:rPr>
            <w:rFonts w:ascii="Cambria Math" w:hAnsi="Cambria Math"/>
          </w:rPr>
          <m:t>α=0</m:t>
        </m:r>
      </m:oMath>
      <w:r w:rsidR="00971298" w:rsidRPr="00567357">
        <w:t xml:space="preserve">represents a laterally confined basin with negligible expansion of flooded </w:t>
      </w:r>
      <w:proofErr w:type="gramStart"/>
      <w:r w:rsidR="00971298" w:rsidRPr="00567357">
        <w:t>area</w:t>
      </w:r>
      <w:proofErr w:type="gramEnd"/>
      <w:r w:rsidR="00971298" w:rsidRPr="00567357">
        <w:t xml:space="preserve"> as depth increases, </w:t>
      </w:r>
      <m:oMath>
        <m:r>
          <w:rPr>
            <w:rFonts w:ascii="Cambria Math" w:hAnsi="Cambria Math"/>
          </w:rPr>
          <m:t>α=1</m:t>
        </m:r>
      </m:oMath>
      <w:r w:rsidR="00971298" w:rsidRPr="00567357">
        <w:t xml:space="preserve">represents an intermediate case with moderate depth-dependent storage growth, and </w:t>
      </w:r>
      <m:oMath>
        <m:r>
          <w:rPr>
            <w:rFonts w:ascii="Cambria Math" w:hAnsi="Cambria Math"/>
          </w:rPr>
          <m:t>α=2</m:t>
        </m:r>
      </m:oMath>
      <w:r w:rsidR="00971298" w:rsidRPr="00567357">
        <w:t>represents a low-relief system in which rising water levels inundate broad adjacent surfaces and generate strong geometric feedback.</w:t>
      </w:r>
      <w:r w:rsidR="00971298">
        <w:rPr>
          <w:rFonts w:hint="eastAsia"/>
        </w:rPr>
        <w:t xml:space="preserve"> </w:t>
      </w:r>
      <w:r w:rsidR="00971298" w:rsidRPr="00971298">
        <w:rPr>
          <w:b/>
          <w:bCs/>
        </w:rPr>
        <w:t>(d)</w:t>
      </w:r>
      <w:r w:rsidR="00971298" w:rsidRPr="00567357">
        <w:t xml:space="preserve"> Overlay of the zero-response boundaries for the three </w:t>
      </w:r>
      <m:oMath>
        <m:r>
          <w:rPr>
            <w:rFonts w:ascii="Cambria Math" w:hAnsi="Cambria Math"/>
          </w:rPr>
          <m:t>α</m:t>
        </m:r>
      </m:oMath>
      <w:r w:rsidR="00971298">
        <w:rPr>
          <w:rFonts w:hint="eastAsia"/>
        </w:rPr>
        <w:t xml:space="preserve"> </w:t>
      </w:r>
      <w:r w:rsidR="00971298" w:rsidRPr="00567357">
        <w:t>scenarios.</w:t>
      </w:r>
    </w:p>
    <w:p w14:paraId="7405E545" w14:textId="77777777" w:rsidR="001F6F9D" w:rsidRDefault="001F6F9D" w:rsidP="006515C6">
      <w:pPr>
        <w:snapToGrid w:val="0"/>
        <w:spacing w:beforeLines="0" w:before="0" w:afterLines="0" w:after="120" w:line="240" w:lineRule="auto"/>
        <w:ind w:firstLineChars="0" w:firstLine="0"/>
        <w:jc w:val="center"/>
      </w:pPr>
      <w:r>
        <w:rPr>
          <w:noProof/>
        </w:rPr>
        <w:lastRenderedPageBreak/>
        <w:drawing>
          <wp:inline distT="0" distB="0" distL="0" distR="0" wp14:anchorId="7CCAD2A1" wp14:editId="57C20C70">
            <wp:extent cx="4023360" cy="7774423"/>
            <wp:effectExtent l="0" t="0" r="2540" b="0"/>
            <wp:docPr id="968897442" name="图片 5" descr="地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92659" name="图片 5" descr="地图&#10;&#10;AI 生成的内容可能不正确。"/>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4023360" cy="7774423"/>
                    </a:xfrm>
                    <a:prstGeom prst="rect">
                      <a:avLst/>
                    </a:prstGeom>
                    <a:noFill/>
                    <a:ln>
                      <a:noFill/>
                    </a:ln>
                  </pic:spPr>
                </pic:pic>
              </a:graphicData>
            </a:graphic>
          </wp:inline>
        </w:drawing>
      </w:r>
    </w:p>
    <w:p w14:paraId="21398952" w14:textId="77777777" w:rsidR="001F6F9D" w:rsidRPr="00E820A2" w:rsidRDefault="001F6F9D" w:rsidP="006515C6">
      <w:pPr>
        <w:snapToGrid w:val="0"/>
        <w:spacing w:beforeLines="0" w:before="0" w:afterLines="0" w:after="120" w:line="240" w:lineRule="auto"/>
        <w:ind w:firstLineChars="0" w:firstLine="0"/>
      </w:pPr>
      <w:r w:rsidRPr="001D47CE">
        <w:rPr>
          <w:b/>
          <w:bCs/>
        </w:rPr>
        <w:t>Figure S</w:t>
      </w:r>
      <w:r>
        <w:rPr>
          <w:rFonts w:hint="eastAsia"/>
          <w:b/>
          <w:bCs/>
        </w:rPr>
        <w:t>8</w:t>
      </w:r>
      <w:r w:rsidRPr="001D47CE">
        <w:rPr>
          <w:b/>
          <w:bCs/>
        </w:rPr>
        <w:t xml:space="preserve"> | Salt-marsh extent and change across U.S. East Coast </w:t>
      </w:r>
      <w:proofErr w:type="spellStart"/>
      <w:r w:rsidRPr="001D47CE">
        <w:rPr>
          <w:b/>
          <w:bCs/>
        </w:rPr>
        <w:t>embayments</w:t>
      </w:r>
      <w:proofErr w:type="spellEnd"/>
      <w:r w:rsidRPr="001D47CE">
        <w:rPr>
          <w:b/>
          <w:bCs/>
        </w:rPr>
        <w:t>.</w:t>
      </w:r>
      <w:r>
        <w:t xml:space="preserve"> (</w:t>
      </w:r>
      <w:proofErr w:type="spellStart"/>
      <w:proofErr w:type="gramStart"/>
      <w:r>
        <w:t>a,b</w:t>
      </w:r>
      <w:proofErr w:type="spellEnd"/>
      <w:proofErr w:type="gramEnd"/>
      <w:r>
        <w:t>) Spatial and latitudinal patterns of marsh area. (</w:t>
      </w:r>
      <w:proofErr w:type="spellStart"/>
      <w:proofErr w:type="gramStart"/>
      <w:r>
        <w:t>c,d</w:t>
      </w:r>
      <w:proofErr w:type="spellEnd"/>
      <w:proofErr w:type="gramEnd"/>
      <w:r>
        <w:t>) Spatial and latitudinal patterns of marsh area change rate. (</w:t>
      </w:r>
      <w:proofErr w:type="spellStart"/>
      <w:proofErr w:type="gramStart"/>
      <w:r>
        <w:t>e,f</w:t>
      </w:r>
      <w:proofErr w:type="spellEnd"/>
      <w:proofErr w:type="gramEnd"/>
      <w:r>
        <w:t>) Spatial and latitudinal patterns of normalized marsh change rate.</w:t>
      </w:r>
    </w:p>
    <w:p w14:paraId="3755CF01" w14:textId="77777777" w:rsidR="001F6F9D" w:rsidRDefault="001F6F9D" w:rsidP="006515C6">
      <w:pPr>
        <w:snapToGrid w:val="0"/>
        <w:spacing w:beforeLines="0" w:before="0" w:afterLines="0" w:after="120" w:line="240" w:lineRule="auto"/>
        <w:ind w:firstLineChars="0" w:firstLine="0"/>
      </w:pPr>
    </w:p>
    <w:p w14:paraId="71F32663" w14:textId="77777777" w:rsidR="001F6F9D" w:rsidRDefault="001F6F9D" w:rsidP="006515C6">
      <w:pPr>
        <w:snapToGrid w:val="0"/>
        <w:spacing w:beforeLines="0" w:before="0" w:afterLines="0" w:after="120" w:line="240" w:lineRule="auto"/>
        <w:ind w:firstLineChars="0" w:firstLine="0"/>
      </w:pPr>
      <w:r>
        <w:rPr>
          <w:noProof/>
        </w:rPr>
        <w:drawing>
          <wp:inline distT="0" distB="0" distL="0" distR="0" wp14:anchorId="60849BDB" wp14:editId="5A5C143F">
            <wp:extent cx="5753100" cy="2654300"/>
            <wp:effectExtent l="0" t="0" r="0" b="0"/>
            <wp:docPr id="1894105163" name="图片 11"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193382" name="图片 11" descr="图表, 箱线图&#10;&#10;AI 生成的内容可能不正确。"/>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5753100" cy="2654300"/>
                    </a:xfrm>
                    <a:prstGeom prst="rect">
                      <a:avLst/>
                    </a:prstGeom>
                    <a:noFill/>
                    <a:ln>
                      <a:noFill/>
                    </a:ln>
                  </pic:spPr>
                </pic:pic>
              </a:graphicData>
            </a:graphic>
          </wp:inline>
        </w:drawing>
      </w:r>
    </w:p>
    <w:p w14:paraId="181499AE" w14:textId="77777777" w:rsidR="001F6F9D" w:rsidRDefault="001F6F9D" w:rsidP="006515C6">
      <w:pPr>
        <w:snapToGrid w:val="0"/>
        <w:spacing w:beforeLines="0" w:before="0" w:afterLines="0" w:after="120" w:line="240" w:lineRule="auto"/>
        <w:ind w:firstLineChars="0" w:firstLine="0"/>
      </w:pPr>
      <w:r w:rsidRPr="001D47CE">
        <w:rPr>
          <w:b/>
          <w:bCs/>
        </w:rPr>
        <w:t>Figure S</w:t>
      </w:r>
      <w:r>
        <w:rPr>
          <w:rFonts w:hint="eastAsia"/>
          <w:b/>
          <w:bCs/>
        </w:rPr>
        <w:t>9</w:t>
      </w:r>
      <w:r w:rsidRPr="001D47CE">
        <w:rPr>
          <w:b/>
          <w:bCs/>
        </w:rPr>
        <w:t xml:space="preserve"> | Normalized marsh </w:t>
      </w:r>
      <w:proofErr w:type="gramStart"/>
      <w:r w:rsidRPr="001D47CE">
        <w:rPr>
          <w:b/>
          <w:bCs/>
        </w:rPr>
        <w:t>change</w:t>
      </w:r>
      <w:proofErr w:type="gramEnd"/>
      <w:r w:rsidRPr="001D47CE">
        <w:rPr>
          <w:b/>
          <w:bCs/>
        </w:rPr>
        <w:t xml:space="preserve"> rates in the two bay response modes.</w:t>
      </w:r>
      <w:r>
        <w:t xml:space="preserve"> Boxplots compare Type-1 and Type-2 bays. The central line marks the median, boxes indicate the interquartile range, and significance is evaluated with a Mann-Whitney U test.</w:t>
      </w:r>
    </w:p>
    <w:p w14:paraId="69586979" w14:textId="77777777" w:rsidR="001F6F9D" w:rsidRPr="00971298" w:rsidRDefault="001F6F9D" w:rsidP="006515C6">
      <w:pPr>
        <w:snapToGrid w:val="0"/>
        <w:spacing w:beforeLines="0" w:before="0" w:afterLines="0" w:after="120" w:line="240" w:lineRule="auto"/>
        <w:ind w:firstLineChars="0" w:firstLine="0"/>
      </w:pPr>
    </w:p>
    <w:p w14:paraId="7FD328CF" w14:textId="77777777" w:rsidR="00971298" w:rsidRDefault="00971298" w:rsidP="006515C6">
      <w:pPr>
        <w:widowControl/>
        <w:autoSpaceDE/>
        <w:autoSpaceDN/>
        <w:adjustRightInd/>
        <w:snapToGrid w:val="0"/>
        <w:spacing w:beforeLines="0" w:before="0" w:afterLines="0" w:after="120" w:line="240" w:lineRule="auto"/>
        <w:ind w:firstLineChars="0" w:firstLine="0"/>
        <w:jc w:val="left"/>
      </w:pPr>
      <w:r>
        <w:br w:type="page"/>
      </w:r>
    </w:p>
    <w:p w14:paraId="62D195F1" w14:textId="77777777" w:rsidR="00933E9A" w:rsidRDefault="00933E9A" w:rsidP="006515C6">
      <w:pPr>
        <w:snapToGrid w:val="0"/>
        <w:spacing w:beforeLines="0" w:before="0" w:afterLines="0" w:after="120" w:line="240" w:lineRule="auto"/>
        <w:ind w:firstLineChars="0" w:firstLine="0"/>
        <w:rPr>
          <w:b/>
          <w:bCs/>
        </w:rPr>
      </w:pPr>
      <w:r w:rsidRPr="00933E9A">
        <w:rPr>
          <w:b/>
          <w:bCs/>
        </w:rPr>
        <w:lastRenderedPageBreak/>
        <w:t xml:space="preserve">Supporting </w:t>
      </w:r>
      <w:r>
        <w:rPr>
          <w:rFonts w:hint="eastAsia"/>
          <w:b/>
          <w:bCs/>
        </w:rPr>
        <w:t>Text</w:t>
      </w:r>
    </w:p>
    <w:p w14:paraId="1D722B6D" w14:textId="77777777" w:rsidR="00933E9A" w:rsidRDefault="00933E9A" w:rsidP="006515C6">
      <w:pPr>
        <w:snapToGrid w:val="0"/>
        <w:spacing w:beforeLines="0" w:before="0" w:afterLines="0" w:after="120" w:line="240" w:lineRule="auto"/>
        <w:ind w:firstLineChars="0" w:firstLine="0"/>
        <w:rPr>
          <w:b/>
          <w:bCs/>
        </w:rPr>
      </w:pPr>
      <w:r>
        <w:rPr>
          <w:rFonts w:hint="eastAsia"/>
          <w:b/>
          <w:bCs/>
        </w:rPr>
        <w:t>Text S1</w:t>
      </w:r>
      <w:r w:rsidR="00626A85">
        <w:rPr>
          <w:rFonts w:hint="eastAsia"/>
          <w:b/>
          <w:bCs/>
        </w:rPr>
        <w:t xml:space="preserve"> </w:t>
      </w:r>
      <w:r w:rsidR="00626A85" w:rsidRPr="00626A85">
        <w:rPr>
          <w:b/>
          <w:bCs/>
        </w:rPr>
        <w:t>hydrodynamic framework for sea-level-rise sensitivity of peak bed shear in offshore waters and coastal bays</w:t>
      </w:r>
    </w:p>
    <w:p w14:paraId="3FF8A527" w14:textId="77777777" w:rsidR="00626A85" w:rsidRPr="00567357" w:rsidRDefault="00626A85" w:rsidP="006515C6">
      <w:pPr>
        <w:snapToGrid w:val="0"/>
        <w:spacing w:beforeLines="0" w:before="0" w:afterLines="0" w:after="120" w:line="240" w:lineRule="auto"/>
        <w:ind w:firstLineChars="0" w:firstLine="0"/>
      </w:pPr>
      <w:r w:rsidRPr="00567357">
        <w:t>This note documents the reduced-order model structure, governing equations, parameter choices, numerical procedure, and interpretation used to support the theoretical sensitivity analysis of sea-level-rise (SLR) effects on bottom shear stress.</w:t>
      </w:r>
      <w:r>
        <w:rPr>
          <w:vertAlign w:val="superscript"/>
        </w:rPr>
        <w:t>13,20</w:t>
      </w:r>
      <w:r>
        <w:t xml:space="preserve"> The framework is diagnostic rather than predictive of suspended sediment concentration (SSC) itself, and isolates how deepening, wave limitation, inlet friction, and basin geometry alter the </w:t>
      </w:r>
      <w:r w:rsidRPr="00567357">
        <w:rPr>
          <w:i/>
          <w:iCs/>
        </w:rPr>
        <w:t>capacity</w:t>
      </w:r>
      <w:r w:rsidRPr="00567357">
        <w:t xml:space="preserve"> of a system to mobilize sediment from the bed across a two-dimensional parameter space of initial water depth and tidal range.</w:t>
      </w:r>
    </w:p>
    <w:p w14:paraId="40E4979E" w14:textId="77777777" w:rsidR="00626A85" w:rsidRPr="00567357" w:rsidRDefault="00626A85" w:rsidP="006515C6">
      <w:pPr>
        <w:snapToGrid w:val="0"/>
        <w:spacing w:beforeLines="0" w:before="0" w:afterLines="0" w:after="120" w:line="240" w:lineRule="auto"/>
        <w:ind w:firstLineChars="0" w:firstLine="0"/>
        <w:rPr>
          <w:i/>
          <w:iCs/>
        </w:rPr>
      </w:pPr>
      <w:bookmarkStart w:id="0" w:name="governing-framework"/>
      <w:r w:rsidRPr="00567357">
        <w:rPr>
          <w:i/>
          <w:iCs/>
        </w:rPr>
        <w:t>Governing framework</w:t>
      </w:r>
    </w:p>
    <w:p w14:paraId="1C99690F" w14:textId="77777777" w:rsidR="00626A85" w:rsidRPr="00567357" w:rsidRDefault="00626A85" w:rsidP="006515C6">
      <w:pPr>
        <w:snapToGrid w:val="0"/>
        <w:spacing w:beforeLines="0" w:before="0" w:afterLines="0" w:after="120" w:line="240" w:lineRule="auto"/>
        <w:ind w:firstLineChars="0" w:firstLine="0"/>
      </w:pPr>
      <w:r w:rsidRPr="00567357">
        <w:t xml:space="preserve">The parameter space is defined by initial </w:t>
      </w:r>
      <w:proofErr w:type="gramStart"/>
      <w:r w:rsidRPr="00567357">
        <w:t>mean</w:t>
      </w:r>
      <w:proofErr w:type="gramEnd"/>
      <w:r w:rsidRPr="00567357">
        <w:t xml:space="preserve"> water depth </w:t>
      </w:r>
      <m:oMath>
        <m:sSub>
          <m:sSubPr>
            <m:ctrlPr>
              <w:rPr>
                <w:rFonts w:ascii="Cambria Math" w:hAnsi="Cambria Math"/>
              </w:rPr>
            </m:ctrlPr>
          </m:sSubPr>
          <m:e>
            <m:r>
              <w:rPr>
                <w:rFonts w:ascii="Cambria Math" w:hAnsi="Cambria Math"/>
              </w:rPr>
              <m:t>h</m:t>
            </m:r>
          </m:e>
          <m:sub>
            <m:r>
              <w:rPr>
                <w:rFonts w:ascii="Cambria Math" w:hAnsi="Cambria Math"/>
              </w:rPr>
              <m:t>0</m:t>
            </m:r>
          </m:sub>
        </m:sSub>
      </m:oMath>
      <w:r w:rsidRPr="00567357">
        <w:t xml:space="preserve"> and tidal range </w:t>
      </w:r>
      <m:oMath>
        <m:r>
          <w:rPr>
            <w:rFonts w:ascii="Cambria Math" w:hAnsi="Cambria Math"/>
          </w:rPr>
          <m:t>R</m:t>
        </m:r>
      </m:oMath>
      <w:r w:rsidRPr="00567357">
        <w:t xml:space="preserve">. The external tide is prescribed as a semidiurnal oscillation with period </w:t>
      </w:r>
      <m:oMath>
        <m:r>
          <w:rPr>
            <w:rFonts w:ascii="Cambria Math" w:hAnsi="Cambria Math"/>
          </w:rPr>
          <m:t>T</m:t>
        </m:r>
      </m:oMath>
      <w:r w:rsidRPr="00567357">
        <w:t xml:space="preserve"> and angular frequency</w:t>
      </w:r>
    </w:p>
    <w:p w14:paraId="44602410" w14:textId="77777777" w:rsidR="00626A85" w:rsidRPr="00567357" w:rsidRDefault="00626A85" w:rsidP="006515C6">
      <w:pPr>
        <w:snapToGrid w:val="0"/>
        <w:spacing w:beforeLines="0" w:before="0" w:afterLines="0" w:after="120" w:line="240" w:lineRule="auto"/>
        <w:ind w:firstLineChars="0" w:firstLine="0"/>
      </w:pPr>
      <m:oMathPara>
        <m:oMathParaPr>
          <m:jc m:val="center"/>
        </m:oMathParaPr>
        <m:oMath>
          <m:r>
            <w:rPr>
              <w:rFonts w:ascii="Cambria Math" w:hAnsi="Cambria Math"/>
            </w:rPr>
            <m:t>σ</m:t>
          </m:r>
          <m:r>
            <m:rPr>
              <m:sty m:val="p"/>
            </m:rPr>
            <w:rPr>
              <w:rFonts w:ascii="Cambria Math" w:hAnsi="Cambria Math"/>
            </w:rPr>
            <m:t>=</m:t>
          </m:r>
          <m:f>
            <m:fPr>
              <m:ctrlPr>
                <w:rPr>
                  <w:rFonts w:ascii="Cambria Math" w:hAnsi="Cambria Math"/>
                </w:rPr>
              </m:ctrlPr>
            </m:fPr>
            <m:num>
              <m:r>
                <w:rPr>
                  <w:rFonts w:ascii="Cambria Math" w:hAnsi="Cambria Math"/>
                </w:rPr>
                <m:t>2π</m:t>
              </m:r>
            </m:num>
            <m:den>
              <m:r>
                <w:rPr>
                  <w:rFonts w:ascii="Cambria Math" w:hAnsi="Cambria Math"/>
                </w:rPr>
                <m:t>T</m:t>
              </m:r>
            </m:den>
          </m:f>
          <m:r>
            <m:rPr>
              <m:sty m:val="p"/>
            </m:rPr>
            <w:rPr>
              <w:rFonts w:ascii="Cambria Math" w:hAnsi="Cambria Math"/>
            </w:rPr>
            <m:t>.</m:t>
          </m:r>
        </m:oMath>
      </m:oMathPara>
    </w:p>
    <w:p w14:paraId="37545BD2" w14:textId="77777777" w:rsidR="00626A85" w:rsidRPr="00567357" w:rsidRDefault="00626A85" w:rsidP="006515C6">
      <w:pPr>
        <w:snapToGrid w:val="0"/>
        <w:spacing w:beforeLines="0" w:before="0" w:afterLines="0" w:after="120" w:line="240" w:lineRule="auto"/>
        <w:ind w:firstLineChars="0" w:firstLine="0"/>
      </w:pPr>
      <w:r w:rsidRPr="00567357">
        <w:t>The ocean-side water level is</w:t>
      </w:r>
    </w:p>
    <w:p w14:paraId="3A53513E"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η</m:t>
              </m:r>
            </m:e>
            <m:sub>
              <m:r>
                <w:rPr>
                  <w:rFonts w:ascii="Cambria Math" w:hAnsi="Cambria Math"/>
                </w:rPr>
                <m:t>o</m:t>
              </m:r>
            </m:sub>
          </m:sSub>
          <m:d>
            <m:dPr>
              <m:ctrlPr>
                <w:rPr>
                  <w:rFonts w:ascii="Cambria Math" w:hAnsi="Cambria Math"/>
                </w:rPr>
              </m:ctrlPr>
            </m:dPr>
            <m:e>
              <m:r>
                <w:rPr>
                  <w:rFonts w:ascii="Cambria Math" w:hAnsi="Cambria Math"/>
                </w:rPr>
                <m:t>t</m:t>
              </m:r>
            </m:e>
          </m:d>
          <m:r>
            <m:rPr>
              <m:sty m:val="p"/>
            </m:rPr>
            <w:rPr>
              <w:rFonts w:ascii="Cambria Math" w:hAnsi="Cambria Math"/>
            </w:rPr>
            <m:t>=</m:t>
          </m:r>
          <m:f>
            <m:fPr>
              <m:ctrlPr>
                <w:rPr>
                  <w:rFonts w:ascii="Cambria Math" w:hAnsi="Cambria Math"/>
                </w:rPr>
              </m:ctrlPr>
            </m:fPr>
            <m:num>
              <m:r>
                <w:rPr>
                  <w:rFonts w:ascii="Cambria Math" w:hAnsi="Cambria Math"/>
                </w:rPr>
                <m:t>R</m:t>
              </m:r>
            </m:num>
            <m:den>
              <m:r>
                <w:rPr>
                  <w:rFonts w:ascii="Cambria Math" w:hAnsi="Cambria Math"/>
                </w:rPr>
                <m:t>2</m:t>
              </m:r>
            </m:den>
          </m:f>
          <m:r>
            <m:rPr>
              <m:sty m:val="p"/>
            </m:rPr>
            <w:rPr>
              <w:rFonts w:ascii="Cambria Math" w:hAnsi="Cambria Math"/>
            </w:rPr>
            <m:t>sin</m:t>
          </m:r>
          <m:d>
            <m:dPr>
              <m:ctrlPr>
                <w:rPr>
                  <w:rFonts w:ascii="Cambria Math" w:hAnsi="Cambria Math"/>
                </w:rPr>
              </m:ctrlPr>
            </m:dPr>
            <m:e>
              <m:r>
                <w:rPr>
                  <w:rFonts w:ascii="Cambria Math" w:hAnsi="Cambria Math"/>
                </w:rPr>
                <m:t>σt</m:t>
              </m:r>
            </m:e>
          </m:d>
          <m:r>
            <m:rPr>
              <m:sty m:val="p"/>
            </m:rPr>
            <w:rPr>
              <w:rFonts w:ascii="Cambria Math" w:hAnsi="Cambria Math"/>
            </w:rPr>
            <m:t>,</m:t>
          </m:r>
        </m:oMath>
      </m:oMathPara>
    </w:p>
    <w:p w14:paraId="29609C14" w14:textId="77777777" w:rsidR="00626A85" w:rsidRPr="00567357" w:rsidRDefault="00626A85" w:rsidP="006515C6">
      <w:pPr>
        <w:snapToGrid w:val="0"/>
        <w:spacing w:beforeLines="0" w:before="0" w:afterLines="0" w:after="120" w:line="240" w:lineRule="auto"/>
        <w:ind w:firstLineChars="0" w:firstLine="0"/>
      </w:pPr>
      <w:r w:rsidRPr="00567357">
        <w:t>so that</w:t>
      </w:r>
    </w:p>
    <w:p w14:paraId="7A507BF6"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η</m:t>
                  </m:r>
                </m:e>
                <m:sub>
                  <m:r>
                    <w:rPr>
                      <w:rFonts w:ascii="Cambria Math" w:hAnsi="Cambria Math"/>
                    </w:rPr>
                    <m:t>o</m:t>
                  </m:r>
                </m:sub>
              </m:sSub>
            </m:num>
            <m:den>
              <m:r>
                <w:rPr>
                  <w:rFonts w:ascii="Cambria Math" w:hAnsi="Cambria Math"/>
                </w:rPr>
                <m:t>dt</m:t>
              </m:r>
            </m:den>
          </m:f>
          <m:r>
            <m:rPr>
              <m:sty m:val="p"/>
            </m:rPr>
            <w:rPr>
              <w:rFonts w:ascii="Cambria Math" w:hAnsi="Cambria Math"/>
            </w:rPr>
            <m:t>=</m:t>
          </m:r>
          <m:f>
            <m:fPr>
              <m:ctrlPr>
                <w:rPr>
                  <w:rFonts w:ascii="Cambria Math" w:hAnsi="Cambria Math"/>
                </w:rPr>
              </m:ctrlPr>
            </m:fPr>
            <m:num>
              <m:r>
                <w:rPr>
                  <w:rFonts w:ascii="Cambria Math" w:hAnsi="Cambria Math"/>
                </w:rPr>
                <m:t>Rσ</m:t>
              </m:r>
            </m:num>
            <m:den>
              <m:r>
                <w:rPr>
                  <w:rFonts w:ascii="Cambria Math" w:hAnsi="Cambria Math"/>
                </w:rPr>
                <m:t>2</m:t>
              </m:r>
            </m:den>
          </m:f>
          <m:r>
            <m:rPr>
              <m:sty m:val="p"/>
            </m:rPr>
            <w:rPr>
              <w:rFonts w:ascii="Cambria Math" w:hAnsi="Cambria Math"/>
            </w:rPr>
            <m:t>cos</m:t>
          </m:r>
          <m:d>
            <m:dPr>
              <m:ctrlPr>
                <w:rPr>
                  <w:rFonts w:ascii="Cambria Math" w:hAnsi="Cambria Math"/>
                </w:rPr>
              </m:ctrlPr>
            </m:dPr>
            <m:e>
              <m:r>
                <w:rPr>
                  <w:rFonts w:ascii="Cambria Math" w:hAnsi="Cambria Math"/>
                </w:rPr>
                <m:t>σt</m:t>
              </m:r>
            </m:e>
          </m:d>
          <m:r>
            <m:rPr>
              <m:sty m:val="p"/>
            </m:rPr>
            <w:rPr>
              <w:rFonts w:ascii="Cambria Math" w:hAnsi="Cambria Math"/>
            </w:rPr>
            <m:t>.</m:t>
          </m:r>
        </m:oMath>
      </m:oMathPara>
    </w:p>
    <w:p w14:paraId="7CB07E41" w14:textId="77777777" w:rsidR="00626A85" w:rsidRPr="00567357" w:rsidRDefault="00626A85" w:rsidP="006515C6">
      <w:pPr>
        <w:snapToGrid w:val="0"/>
        <w:spacing w:beforeLines="0" w:before="0" w:afterLines="0" w:after="120" w:line="240" w:lineRule="auto"/>
        <w:ind w:firstLineChars="0" w:firstLine="0"/>
      </w:pPr>
      <w:r w:rsidRPr="00567357">
        <w:t xml:space="preserve">For a prescribed sea-level-rise increment </w:t>
      </w:r>
      <m:oMath>
        <m:r>
          <m:rPr>
            <m:sty m:val="p"/>
          </m:rPr>
          <w:rPr>
            <w:rFonts w:ascii="Cambria Math" w:hAnsi="Cambria Math"/>
          </w:rPr>
          <m:t>SLR</m:t>
        </m:r>
      </m:oMath>
      <w:r w:rsidRPr="00567357">
        <w:t>, the instantaneous water depth is written as</w:t>
      </w:r>
    </w:p>
    <w:p w14:paraId="19E8876A" w14:textId="77777777" w:rsidR="00626A85" w:rsidRPr="00567357" w:rsidRDefault="00626A85" w:rsidP="006515C6">
      <w:pPr>
        <w:snapToGrid w:val="0"/>
        <w:spacing w:beforeLines="0" w:before="0" w:afterLines="0" w:after="120" w:line="240" w:lineRule="auto"/>
        <w:ind w:firstLineChars="0" w:firstLine="0"/>
      </w:pPr>
      <m:oMathPara>
        <m:oMathParaPr>
          <m:jc m:val="center"/>
        </m:oMathParaPr>
        <m:oMath>
          <m:r>
            <w:rPr>
              <w:rFonts w:ascii="Cambria Math" w:hAnsi="Cambria Math"/>
            </w:rPr>
            <m:t>h</m:t>
          </m:r>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0</m:t>
              </m:r>
            </m:sub>
          </m:sSub>
          <m:r>
            <m:rPr>
              <m:sty m:val="p"/>
            </m:rPr>
            <w:rPr>
              <w:rFonts w:ascii="Cambria Math" w:hAnsi="Cambria Math"/>
            </w:rPr>
            <m:t>+SLR+</m:t>
          </m:r>
          <m:r>
            <w:rPr>
              <w:rFonts w:ascii="Cambria Math" w:hAnsi="Cambria Math"/>
            </w:rPr>
            <m:t>η</m:t>
          </m:r>
          <m:d>
            <m:dPr>
              <m:ctrlPr>
                <w:rPr>
                  <w:rFonts w:ascii="Cambria Math" w:hAnsi="Cambria Math"/>
                </w:rPr>
              </m:ctrlPr>
            </m:dPr>
            <m:e>
              <m:r>
                <w:rPr>
                  <w:rFonts w:ascii="Cambria Math" w:hAnsi="Cambria Math"/>
                </w:rPr>
                <m:t>t</m:t>
              </m:r>
            </m:e>
          </m:d>
          <m:r>
            <m:rPr>
              <m:sty m:val="p"/>
            </m:rPr>
            <w:rPr>
              <w:rFonts w:ascii="Cambria Math" w:hAnsi="Cambria Math"/>
            </w:rPr>
            <m:t>,</m:t>
          </m:r>
        </m:oMath>
      </m:oMathPara>
    </w:p>
    <w:p w14:paraId="089FB478" w14:textId="77777777" w:rsidR="00626A85" w:rsidRPr="00567357" w:rsidRDefault="00626A85" w:rsidP="006515C6">
      <w:pPr>
        <w:snapToGrid w:val="0"/>
        <w:spacing w:beforeLines="0" w:before="0" w:afterLines="0" w:after="120" w:line="240" w:lineRule="auto"/>
        <w:ind w:firstLineChars="0" w:firstLine="0"/>
      </w:pPr>
      <w:r w:rsidRPr="00567357">
        <w:t xml:space="preserve">where </w:t>
      </w:r>
      <m:oMath>
        <m:r>
          <w:rPr>
            <w:rFonts w:ascii="Cambria Math" w:hAnsi="Cambria Math"/>
          </w:rPr>
          <m:t>η</m:t>
        </m:r>
        <m:d>
          <m:dPr>
            <m:ctrlPr>
              <w:rPr>
                <w:rFonts w:ascii="Cambria Math" w:hAnsi="Cambria Math"/>
              </w:rPr>
            </m:ctrlPr>
          </m:dPr>
          <m:e>
            <m:r>
              <w:rPr>
                <w:rFonts w:ascii="Cambria Math" w:hAnsi="Cambria Math"/>
              </w:rPr>
              <m:t>t</m:t>
            </m:r>
          </m:e>
        </m:d>
      </m:oMath>
      <w:r w:rsidRPr="00567357">
        <w:t xml:space="preserve"> is either the imposed offshore elevation </w:t>
      </w:r>
      <m:oMath>
        <m:sSub>
          <m:sSubPr>
            <m:ctrlPr>
              <w:rPr>
                <w:rFonts w:ascii="Cambria Math" w:hAnsi="Cambria Math"/>
              </w:rPr>
            </m:ctrlPr>
          </m:sSubPr>
          <m:e>
            <m:r>
              <w:rPr>
                <w:rFonts w:ascii="Cambria Math" w:hAnsi="Cambria Math"/>
              </w:rPr>
              <m:t>η</m:t>
            </m:r>
          </m:e>
          <m:sub>
            <m:r>
              <w:rPr>
                <w:rFonts w:ascii="Cambria Math" w:hAnsi="Cambria Math"/>
              </w:rPr>
              <m:t>o</m:t>
            </m:r>
          </m:sub>
        </m:sSub>
        <m:d>
          <m:dPr>
            <m:ctrlPr>
              <w:rPr>
                <w:rFonts w:ascii="Cambria Math" w:hAnsi="Cambria Math"/>
              </w:rPr>
            </m:ctrlPr>
          </m:dPr>
          <m:e>
            <m:r>
              <w:rPr>
                <w:rFonts w:ascii="Cambria Math" w:hAnsi="Cambria Math"/>
              </w:rPr>
              <m:t>t</m:t>
            </m:r>
          </m:e>
        </m:d>
      </m:oMath>
      <w:r w:rsidRPr="00567357">
        <w:t xml:space="preserve"> or, in the bay branch, the prognostic interior elevation </w:t>
      </w:r>
      <m:oMath>
        <m:sSub>
          <m:sSubPr>
            <m:ctrlPr>
              <w:rPr>
                <w:rFonts w:ascii="Cambria Math" w:hAnsi="Cambria Math"/>
              </w:rPr>
            </m:ctrlPr>
          </m:sSubPr>
          <m:e>
            <m:r>
              <w:rPr>
                <w:rFonts w:ascii="Cambria Math" w:hAnsi="Cambria Math"/>
              </w:rPr>
              <m:t>η</m:t>
            </m:r>
          </m:e>
          <m:sub>
            <m:r>
              <w:rPr>
                <w:rFonts w:ascii="Cambria Math" w:hAnsi="Cambria Math"/>
              </w:rPr>
              <m:t>b</m:t>
            </m:r>
          </m:sub>
        </m:sSub>
        <m:d>
          <m:dPr>
            <m:ctrlPr>
              <w:rPr>
                <w:rFonts w:ascii="Cambria Math" w:hAnsi="Cambria Math"/>
              </w:rPr>
            </m:ctrlPr>
          </m:dPr>
          <m:e>
            <m:r>
              <w:rPr>
                <w:rFonts w:ascii="Cambria Math" w:hAnsi="Cambria Math"/>
              </w:rPr>
              <m:t>t</m:t>
            </m:r>
          </m:e>
        </m:d>
      </m:oMath>
      <w:r w:rsidRPr="00567357">
        <w:t xml:space="preserve">. A grid cell is retained only if the minimum depth over the analyzed tidal cycle remains larger than the dry-cell cutoff </w:t>
      </w:r>
      <m:oMath>
        <m:sSub>
          <m:sSubPr>
            <m:ctrlPr>
              <w:rPr>
                <w:rFonts w:ascii="Cambria Math" w:hAnsi="Cambria Math"/>
              </w:rPr>
            </m:ctrlPr>
          </m:sSubPr>
          <m:e>
            <m:r>
              <w:rPr>
                <w:rFonts w:ascii="Cambria Math" w:hAnsi="Cambria Math"/>
              </w:rPr>
              <m:t>h</m:t>
            </m:r>
          </m:e>
          <m:sub>
            <m:r>
              <m:rPr>
                <m:sty m:val="p"/>
              </m:rPr>
              <w:rPr>
                <w:rFonts w:ascii="Cambria Math" w:hAnsi="Cambria Math"/>
              </w:rPr>
              <m:t>min</m:t>
            </m:r>
          </m:sub>
        </m:sSub>
      </m:oMath>
      <w:r w:rsidRPr="00567357">
        <w:t>. The principal diagnostic is the peak combined bed shear over one saved tidal cycle,</w:t>
      </w:r>
    </w:p>
    <w:p w14:paraId="71DB1397"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τ</m:t>
              </m:r>
            </m:e>
            <m:sub>
              <m:r>
                <m:rPr>
                  <m:sty m:val="p"/>
                </m:rPr>
                <w:rPr>
                  <w:rFonts w:ascii="Cambria Math" w:hAnsi="Cambria Math"/>
                </w:rPr>
                <m:t>peak</m:t>
              </m:r>
            </m:sub>
          </m:sSub>
          <m:r>
            <m:rPr>
              <m:sty m:val="p"/>
            </m:rPr>
            <w:rPr>
              <w:rFonts w:ascii="Cambria Math" w:hAnsi="Cambria Math"/>
            </w:rPr>
            <m:t>=</m:t>
          </m:r>
          <m:limLow>
            <m:limLowPr>
              <m:ctrlPr>
                <w:rPr>
                  <w:rFonts w:ascii="Cambria Math" w:hAnsi="Cambria Math"/>
                </w:rPr>
              </m:ctrlPr>
            </m:limLowPr>
            <m:e>
              <m:r>
                <m:rPr>
                  <m:sty m:val="p"/>
                </m:rPr>
                <w:rPr>
                  <w:rFonts w:ascii="Cambria Math" w:hAnsi="Cambria Math"/>
                </w:rPr>
                <m:t>max</m:t>
              </m:r>
            </m:e>
            <m:lim>
              <m:r>
                <w:rPr>
                  <w:rFonts w:ascii="Cambria Math" w:hAnsi="Cambria Math"/>
                </w:rPr>
                <m:t>t</m:t>
              </m:r>
            </m:lim>
          </m:limLow>
          <m:d>
            <m:dPr>
              <m:begChr m:val="["/>
              <m:endChr m:val="]"/>
              <m:ctrlPr>
                <w:rPr>
                  <w:rFonts w:ascii="Cambria Math" w:hAnsi="Cambria Math"/>
                </w:rPr>
              </m:ctrlPr>
            </m:dPr>
            <m:e>
              <m:sSub>
                <m:sSubPr>
                  <m:ctrlPr>
                    <w:rPr>
                      <w:rFonts w:ascii="Cambria Math" w:hAnsi="Cambria Math"/>
                    </w:rPr>
                  </m:ctrlPr>
                </m:sSubPr>
                <m:e>
                  <m:r>
                    <w:rPr>
                      <w:rFonts w:ascii="Cambria Math" w:hAnsi="Cambria Math"/>
                    </w:rPr>
                    <m:t>τ</m:t>
                  </m:r>
                </m:e>
                <m:sub>
                  <m:r>
                    <m:rPr>
                      <m:sty m:val="p"/>
                    </m:rPr>
                    <w:rPr>
                      <w:rFonts w:ascii="Cambria Math" w:hAnsi="Cambria Math"/>
                    </w:rPr>
                    <m:t>max</m:t>
                  </m:r>
                </m:sub>
              </m:sSub>
              <m:d>
                <m:dPr>
                  <m:ctrlPr>
                    <w:rPr>
                      <w:rFonts w:ascii="Cambria Math" w:hAnsi="Cambria Math"/>
                    </w:rPr>
                  </m:ctrlPr>
                </m:dPr>
                <m:e>
                  <m:r>
                    <w:rPr>
                      <w:rFonts w:ascii="Cambria Math" w:hAnsi="Cambria Math"/>
                    </w:rPr>
                    <m:t>t</m:t>
                  </m:r>
                </m:e>
              </m:d>
            </m:e>
          </m:d>
          <m:r>
            <m:rPr>
              <m:sty m:val="p"/>
            </m:rPr>
            <w:rPr>
              <w:rFonts w:ascii="Cambria Math" w:hAnsi="Cambria Math"/>
            </w:rPr>
            <m:t>.</m:t>
          </m:r>
        </m:oMath>
      </m:oMathPara>
    </w:p>
    <w:p w14:paraId="7C8B8A4D" w14:textId="77777777" w:rsidR="00626A85" w:rsidRPr="00567357" w:rsidRDefault="00626A85" w:rsidP="006515C6">
      <w:pPr>
        <w:snapToGrid w:val="0"/>
        <w:spacing w:beforeLines="0" w:before="0" w:afterLines="0" w:after="120" w:line="240" w:lineRule="auto"/>
        <w:ind w:firstLineChars="0" w:firstLine="0"/>
        <w:rPr>
          <w:i/>
          <w:iCs/>
        </w:rPr>
      </w:pPr>
      <w:bookmarkStart w:id="1" w:name="wave-module"/>
      <w:r w:rsidRPr="00567357">
        <w:rPr>
          <w:i/>
          <w:iCs/>
        </w:rPr>
        <w:t>Wave module</w:t>
      </w:r>
    </w:p>
    <w:p w14:paraId="1045B552" w14:textId="77777777" w:rsidR="00626A85" w:rsidRPr="00567357" w:rsidRDefault="00626A85" w:rsidP="006515C6">
      <w:pPr>
        <w:snapToGrid w:val="0"/>
        <w:spacing w:beforeLines="0" w:before="0" w:afterLines="0" w:after="120" w:line="240" w:lineRule="auto"/>
        <w:ind w:firstLineChars="0" w:firstLine="0"/>
      </w:pPr>
      <w:r w:rsidRPr="00567357">
        <w:t xml:space="preserve">Wave-bottom coupling is evaluated with linear wave theory. For a wave period </w:t>
      </w:r>
      <m:oMath>
        <m:sSub>
          <m:sSubPr>
            <m:ctrlPr>
              <w:rPr>
                <w:rFonts w:ascii="Cambria Math" w:hAnsi="Cambria Math"/>
              </w:rPr>
            </m:ctrlPr>
          </m:sSubPr>
          <m:e>
            <m:r>
              <w:rPr>
                <w:rFonts w:ascii="Cambria Math" w:hAnsi="Cambria Math"/>
              </w:rPr>
              <m:t>T</m:t>
            </m:r>
          </m:e>
          <m:sub>
            <m:r>
              <w:rPr>
                <w:rFonts w:ascii="Cambria Math" w:hAnsi="Cambria Math"/>
              </w:rPr>
              <m:t>p</m:t>
            </m:r>
          </m:sub>
        </m:sSub>
      </m:oMath>
      <w:r w:rsidRPr="00567357">
        <w:t>, the angular frequency is</w:t>
      </w:r>
    </w:p>
    <w:p w14:paraId="5D49BC51" w14:textId="77777777" w:rsidR="00626A85" w:rsidRPr="00567357" w:rsidRDefault="00626A85" w:rsidP="006515C6">
      <w:pPr>
        <w:snapToGrid w:val="0"/>
        <w:spacing w:beforeLines="0" w:before="0" w:afterLines="0" w:after="120" w:line="240" w:lineRule="auto"/>
        <w:ind w:firstLineChars="0" w:firstLine="0"/>
      </w:pPr>
      <m:oMathPara>
        <m:oMathParaPr>
          <m:jc m:val="center"/>
        </m:oMathParaPr>
        <m:oMath>
          <m:r>
            <w:rPr>
              <w:rFonts w:ascii="Cambria Math" w:hAnsi="Cambria Math"/>
            </w:rPr>
            <m:t>ω</m:t>
          </m:r>
          <m:r>
            <m:rPr>
              <m:sty m:val="p"/>
            </m:rPr>
            <w:rPr>
              <w:rFonts w:ascii="Cambria Math" w:hAnsi="Cambria Math"/>
            </w:rPr>
            <m:t>=</m:t>
          </m:r>
          <m:f>
            <m:fPr>
              <m:ctrlPr>
                <w:rPr>
                  <w:rFonts w:ascii="Cambria Math" w:hAnsi="Cambria Math"/>
                </w:rPr>
              </m:ctrlPr>
            </m:fPr>
            <m:num>
              <m:r>
                <w:rPr>
                  <w:rFonts w:ascii="Cambria Math" w:hAnsi="Cambria Math"/>
                </w:rPr>
                <m:t>2π</m:t>
              </m:r>
            </m:num>
            <m:den>
              <m:sSub>
                <m:sSubPr>
                  <m:ctrlPr>
                    <w:rPr>
                      <w:rFonts w:ascii="Cambria Math" w:hAnsi="Cambria Math"/>
                    </w:rPr>
                  </m:ctrlPr>
                </m:sSubPr>
                <m:e>
                  <m:r>
                    <w:rPr>
                      <w:rFonts w:ascii="Cambria Math" w:hAnsi="Cambria Math"/>
                    </w:rPr>
                    <m:t>T</m:t>
                  </m:r>
                </m:e>
                <m:sub>
                  <m:r>
                    <w:rPr>
                      <w:rFonts w:ascii="Cambria Math" w:hAnsi="Cambria Math"/>
                    </w:rPr>
                    <m:t>p</m:t>
                  </m:r>
                </m:sub>
              </m:sSub>
            </m:den>
          </m:f>
          <m:r>
            <m:rPr>
              <m:sty m:val="p"/>
            </m:rPr>
            <w:rPr>
              <w:rFonts w:ascii="Cambria Math" w:hAnsi="Cambria Math"/>
            </w:rPr>
            <m:t>,</m:t>
          </m:r>
        </m:oMath>
      </m:oMathPara>
    </w:p>
    <w:p w14:paraId="70CA4BBC" w14:textId="77777777" w:rsidR="00626A85" w:rsidRPr="00567357" w:rsidRDefault="00626A85" w:rsidP="006515C6">
      <w:pPr>
        <w:snapToGrid w:val="0"/>
        <w:spacing w:beforeLines="0" w:before="0" w:afterLines="0" w:after="120" w:line="240" w:lineRule="auto"/>
        <w:ind w:firstLineChars="0" w:firstLine="0"/>
      </w:pPr>
      <w:r w:rsidRPr="00567357">
        <w:t xml:space="preserve">and the wavenumber </w:t>
      </w:r>
      <m:oMath>
        <m:r>
          <w:rPr>
            <w:rFonts w:ascii="Cambria Math" w:hAnsi="Cambria Math"/>
          </w:rPr>
          <m:t>k</m:t>
        </m:r>
      </m:oMath>
      <w:r w:rsidRPr="00567357">
        <w:t xml:space="preserve"> satisfies the dispersion relation</w:t>
      </w:r>
    </w:p>
    <w:p w14:paraId="1BC8631C"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p>
            <m:sSupPr>
              <m:ctrlPr>
                <w:rPr>
                  <w:rFonts w:ascii="Cambria Math" w:hAnsi="Cambria Math"/>
                </w:rPr>
              </m:ctrlPr>
            </m:sSupPr>
            <m:e>
              <m:r>
                <w:rPr>
                  <w:rFonts w:ascii="Cambria Math" w:hAnsi="Cambria Math"/>
                </w:rPr>
                <m:t>ω</m:t>
              </m:r>
            </m:e>
            <m:sup>
              <m:r>
                <w:rPr>
                  <w:rFonts w:ascii="Cambria Math" w:hAnsi="Cambria Math"/>
                </w:rPr>
                <m:t>2</m:t>
              </m:r>
            </m:sup>
          </m:sSup>
          <m:r>
            <m:rPr>
              <m:sty m:val="p"/>
            </m:rPr>
            <w:rPr>
              <w:rFonts w:ascii="Cambria Math" w:hAnsi="Cambria Math"/>
            </w:rPr>
            <m:t>=</m:t>
          </m:r>
          <m:r>
            <w:rPr>
              <w:rFonts w:ascii="Cambria Math" w:hAnsi="Cambria Math"/>
            </w:rPr>
            <m:t>gk</m:t>
          </m:r>
          <m:r>
            <m:rPr>
              <m:sty m:val="p"/>
            </m:rPr>
            <w:rPr>
              <w:rFonts w:ascii="Cambria Math" w:hAnsi="Cambria Math"/>
            </w:rPr>
            <m:t>tanh</m:t>
          </m:r>
          <m:d>
            <m:dPr>
              <m:ctrlPr>
                <w:rPr>
                  <w:rFonts w:ascii="Cambria Math" w:hAnsi="Cambria Math"/>
                </w:rPr>
              </m:ctrlPr>
            </m:dPr>
            <m:e>
              <m:r>
                <w:rPr>
                  <w:rFonts w:ascii="Cambria Math" w:hAnsi="Cambria Math"/>
                </w:rPr>
                <m:t>kh</m:t>
              </m:r>
            </m:e>
          </m:d>
          <m:r>
            <m:rPr>
              <m:sty m:val="p"/>
            </m:rPr>
            <w:rPr>
              <w:rFonts w:ascii="Cambria Math" w:hAnsi="Cambria Math"/>
            </w:rPr>
            <m:t>.</m:t>
          </m:r>
        </m:oMath>
      </m:oMathPara>
    </w:p>
    <w:p w14:paraId="718EEDBB" w14:textId="77777777" w:rsidR="00626A85" w:rsidRPr="00567357" w:rsidRDefault="00626A85" w:rsidP="006515C6">
      <w:pPr>
        <w:snapToGrid w:val="0"/>
        <w:spacing w:beforeLines="0" w:before="0" w:afterLines="0" w:after="120" w:line="240" w:lineRule="auto"/>
        <w:ind w:firstLineChars="0" w:firstLine="0"/>
      </w:pPr>
      <w:r w:rsidRPr="00567357">
        <w:t>The near-bed orbital velocity amplitude is then</w:t>
      </w:r>
    </w:p>
    <w:p w14:paraId="1343007E"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U</m:t>
              </m:r>
            </m:e>
            <m:sub>
              <m:r>
                <w:rPr>
                  <w:rFonts w:ascii="Cambria Math" w:hAnsi="Cambria Math"/>
                </w:rPr>
                <m:t>w</m:t>
              </m:r>
            </m:sub>
          </m:sSub>
          <m:r>
            <m:rPr>
              <m:sty m:val="p"/>
            </m:rPr>
            <w:rPr>
              <w:rFonts w:ascii="Cambria Math" w:hAnsi="Cambria Math"/>
            </w:rPr>
            <m:t>=</m:t>
          </m:r>
          <m:f>
            <m:fPr>
              <m:ctrlPr>
                <w:rPr>
                  <w:rFonts w:ascii="Cambria Math" w:hAnsi="Cambria Math"/>
                </w:rPr>
              </m:ctrlPr>
            </m:fPr>
            <m:num>
              <m:r>
                <w:rPr>
                  <w:rFonts w:ascii="Cambria Math" w:hAnsi="Cambria Math"/>
                </w:rPr>
                <m:t>π</m:t>
              </m:r>
              <m:sSub>
                <m:sSubPr>
                  <m:ctrlPr>
                    <w:rPr>
                      <w:rFonts w:ascii="Cambria Math" w:hAnsi="Cambria Math"/>
                    </w:rPr>
                  </m:ctrlPr>
                </m:sSubPr>
                <m:e>
                  <m:r>
                    <w:rPr>
                      <w:rFonts w:ascii="Cambria Math" w:hAnsi="Cambria Math"/>
                    </w:rPr>
                    <m:t>H</m:t>
                  </m:r>
                </m:e>
                <m:sub>
                  <m:r>
                    <w:rPr>
                      <w:rFonts w:ascii="Cambria Math" w:hAnsi="Cambria Math"/>
                    </w:rPr>
                    <m:t>s</m:t>
                  </m:r>
                </m:sub>
              </m:sSub>
            </m:num>
            <m:den>
              <m:sSub>
                <m:sSubPr>
                  <m:ctrlPr>
                    <w:rPr>
                      <w:rFonts w:ascii="Cambria Math" w:hAnsi="Cambria Math"/>
                    </w:rPr>
                  </m:ctrlPr>
                </m:sSubPr>
                <m:e>
                  <m:r>
                    <w:rPr>
                      <w:rFonts w:ascii="Cambria Math" w:hAnsi="Cambria Math"/>
                    </w:rPr>
                    <m:t>T</m:t>
                  </m:r>
                </m:e>
                <m:sub>
                  <m:r>
                    <w:rPr>
                      <w:rFonts w:ascii="Cambria Math" w:hAnsi="Cambria Math"/>
                    </w:rPr>
                    <m:t>p</m:t>
                  </m:r>
                </m:sub>
              </m:sSub>
              <m:r>
                <m:rPr>
                  <m:sty m:val="p"/>
                </m:rPr>
                <w:rPr>
                  <w:rFonts w:ascii="Cambria Math" w:hAnsi="Cambria Math"/>
                </w:rPr>
                <m:t>sinh</m:t>
              </m:r>
              <m:d>
                <m:dPr>
                  <m:ctrlPr>
                    <w:rPr>
                      <w:rFonts w:ascii="Cambria Math" w:hAnsi="Cambria Math"/>
                    </w:rPr>
                  </m:ctrlPr>
                </m:dPr>
                <m:e>
                  <m:r>
                    <w:rPr>
                      <w:rFonts w:ascii="Cambria Math" w:hAnsi="Cambria Math"/>
                    </w:rPr>
                    <m:t>kh</m:t>
                  </m:r>
                </m:e>
              </m:d>
            </m:den>
          </m:f>
          <m:r>
            <m:rPr>
              <m:sty m:val="p"/>
            </m:rPr>
            <w:rPr>
              <w:rFonts w:ascii="Cambria Math" w:hAnsi="Cambria Math"/>
            </w:rPr>
            <m:t>.</m:t>
          </m:r>
        </m:oMath>
      </m:oMathPara>
    </w:p>
    <w:p w14:paraId="0C76A86F" w14:textId="77777777" w:rsidR="00626A85" w:rsidRPr="00567357" w:rsidRDefault="00626A85" w:rsidP="006515C6">
      <w:pPr>
        <w:snapToGrid w:val="0"/>
        <w:spacing w:beforeLines="0" w:before="0" w:afterLines="0" w:after="120" w:line="240" w:lineRule="auto"/>
        <w:ind w:firstLineChars="0" w:firstLine="0"/>
      </w:pPr>
      <w:r w:rsidRPr="00567357">
        <w:lastRenderedPageBreak/>
        <w:t>Wave friction is represented with a rough-turbulent Soulsby-style parameterization.</w:t>
      </w:r>
      <w:r>
        <w:rPr>
          <w:vertAlign w:val="superscript"/>
        </w:rPr>
        <w:t>20</w:t>
      </w:r>
      <w:r>
        <w:t xml:space="preserve"> Defining the orbital excursion amplitude</w:t>
      </w:r>
    </w:p>
    <w:p w14:paraId="3F2868D1" w14:textId="77777777" w:rsidR="00626A85" w:rsidRPr="00567357" w:rsidRDefault="00626A85" w:rsidP="006515C6">
      <w:pPr>
        <w:snapToGrid w:val="0"/>
        <w:spacing w:beforeLines="0" w:before="0" w:afterLines="0" w:after="120" w:line="240" w:lineRule="auto"/>
        <w:ind w:firstLineChars="0" w:firstLine="0"/>
      </w:pPr>
      <m:oMathPara>
        <m:oMathParaPr>
          <m:jc m:val="center"/>
        </m:oMathParaPr>
        <m:oMath>
          <m:r>
            <w:rPr>
              <w:rFonts w:ascii="Cambria Math" w:hAnsi="Cambria Math"/>
            </w:rPr>
            <m:t>A</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U</m:t>
                  </m:r>
                </m:e>
                <m:sub>
                  <m:r>
                    <w:rPr>
                      <w:rFonts w:ascii="Cambria Math" w:hAnsi="Cambria Math"/>
                    </w:rPr>
                    <m:t>w</m:t>
                  </m:r>
                </m:sub>
              </m:sSub>
              <m:sSub>
                <m:sSubPr>
                  <m:ctrlPr>
                    <w:rPr>
                      <w:rFonts w:ascii="Cambria Math" w:hAnsi="Cambria Math"/>
                    </w:rPr>
                  </m:ctrlPr>
                </m:sSubPr>
                <m:e>
                  <m:r>
                    <w:rPr>
                      <w:rFonts w:ascii="Cambria Math" w:hAnsi="Cambria Math"/>
                    </w:rPr>
                    <m:t>T</m:t>
                  </m:r>
                </m:e>
                <m:sub>
                  <m:r>
                    <w:rPr>
                      <w:rFonts w:ascii="Cambria Math" w:hAnsi="Cambria Math"/>
                    </w:rPr>
                    <m:t>p</m:t>
                  </m:r>
                </m:sub>
              </m:sSub>
            </m:num>
            <m:den>
              <m:r>
                <w:rPr>
                  <w:rFonts w:ascii="Cambria Math" w:hAnsi="Cambria Math"/>
                </w:rPr>
                <m:t>2π</m:t>
              </m:r>
            </m:den>
          </m:f>
          <m:r>
            <m:rPr>
              <m:sty m:val="p"/>
            </m:rPr>
            <w:rPr>
              <w:rFonts w:ascii="Cambria Math" w:hAnsi="Cambria Math"/>
            </w:rPr>
            <m:t>,</m:t>
          </m:r>
          <m:r>
            <w:rPr>
              <w:rFonts w:ascii="Cambria Math" w:hAnsi="Cambria Math"/>
            </w:rPr>
            <m:t>  r</m:t>
          </m:r>
          <m:r>
            <m:rPr>
              <m:sty m:val="p"/>
            </m:rPr>
            <w:rPr>
              <w:rFonts w:ascii="Cambria Math" w:hAnsi="Cambria Math"/>
            </w:rPr>
            <m:t>=</m:t>
          </m:r>
          <m:f>
            <m:fPr>
              <m:ctrlPr>
                <w:rPr>
                  <w:rFonts w:ascii="Cambria Math" w:hAnsi="Cambria Math"/>
                </w:rPr>
              </m:ctrlPr>
            </m:fPr>
            <m:num>
              <m:r>
                <w:rPr>
                  <w:rFonts w:ascii="Cambria Math" w:hAnsi="Cambria Math"/>
                </w:rPr>
                <m:t>A</m:t>
              </m:r>
            </m:num>
            <m:den>
              <m:sSub>
                <m:sSubPr>
                  <m:ctrlPr>
                    <w:rPr>
                      <w:rFonts w:ascii="Cambria Math" w:hAnsi="Cambria Math"/>
                    </w:rPr>
                  </m:ctrlPr>
                </m:sSubPr>
                <m:e>
                  <m:r>
                    <w:rPr>
                      <w:rFonts w:ascii="Cambria Math" w:hAnsi="Cambria Math"/>
                    </w:rPr>
                    <m:t>k</m:t>
                  </m:r>
                </m:e>
                <m:sub>
                  <m:r>
                    <w:rPr>
                      <w:rFonts w:ascii="Cambria Math" w:hAnsi="Cambria Math"/>
                    </w:rPr>
                    <m:t>s</m:t>
                  </m:r>
                  <m:r>
                    <m:rPr>
                      <m:sty m:val="p"/>
                    </m:rPr>
                    <w:rPr>
                      <w:rFonts w:ascii="Cambria Math" w:hAnsi="Cambria Math"/>
                    </w:rPr>
                    <m:t>,</m:t>
                  </m:r>
                  <m:r>
                    <w:rPr>
                      <w:rFonts w:ascii="Cambria Math" w:hAnsi="Cambria Math"/>
                    </w:rPr>
                    <m:t>w</m:t>
                  </m:r>
                </m:sub>
              </m:sSub>
            </m:den>
          </m:f>
          <m:r>
            <m:rPr>
              <m:sty m:val="p"/>
            </m:rPr>
            <w:rPr>
              <w:rFonts w:ascii="Cambria Math" w:hAnsi="Cambria Math"/>
            </w:rPr>
            <m:t>,</m:t>
          </m:r>
        </m:oMath>
      </m:oMathPara>
    </w:p>
    <w:p w14:paraId="0C49E023" w14:textId="77777777" w:rsidR="00626A85" w:rsidRPr="00567357" w:rsidRDefault="00626A85" w:rsidP="006515C6">
      <w:pPr>
        <w:snapToGrid w:val="0"/>
        <w:spacing w:beforeLines="0" w:before="0" w:afterLines="0" w:after="120" w:line="240" w:lineRule="auto"/>
        <w:ind w:firstLineChars="0" w:firstLine="0"/>
      </w:pPr>
      <w:proofErr w:type="gramStart"/>
      <w:r w:rsidRPr="00567357">
        <w:t>the</w:t>
      </w:r>
      <w:proofErr w:type="gramEnd"/>
      <w:r w:rsidRPr="00567357">
        <w:t xml:space="preserve"> wave friction factor is</w:t>
      </w:r>
    </w:p>
    <w:p w14:paraId="092859C3"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w</m:t>
              </m:r>
            </m:sub>
          </m:sSub>
          <m:r>
            <m:rPr>
              <m:sty m:val="p"/>
            </m:rPr>
            <w:rPr>
              <w:rFonts w:ascii="Cambria Math" w:hAnsi="Cambria Math"/>
            </w:rPr>
            <m:t>=</m:t>
          </m:r>
          <m:d>
            <m:dPr>
              <m:begChr m:val="{"/>
              <m:endChr m:val=""/>
              <m:ctrlPr>
                <w:rPr>
                  <w:rFonts w:ascii="Cambria Math" w:hAnsi="Cambria Math"/>
                </w:rPr>
              </m:ctrlPr>
            </m:dPr>
            <m:e>
              <m:m>
                <m:mPr>
                  <m:plcHide m:val="1"/>
                  <m:mcs>
                    <m:mc>
                      <m:mcPr>
                        <m:count m:val="2"/>
                        <m:mcJc m:val="left"/>
                      </m:mcPr>
                    </m:mc>
                  </m:mcs>
                  <m:ctrlPr>
                    <w:rPr>
                      <w:rFonts w:ascii="Cambria Math" w:hAnsi="Cambria Math"/>
                    </w:rPr>
                  </m:ctrlPr>
                </m:mPr>
                <m:mr>
                  <m:e>
                    <m:r>
                      <w:rPr>
                        <w:rFonts w:ascii="Cambria Math" w:hAnsi="Cambria Math"/>
                      </w:rPr>
                      <m:t>0.30</m:t>
                    </m:r>
                    <m:r>
                      <m:rPr>
                        <m:sty m:val="p"/>
                      </m:rPr>
                      <w:rPr>
                        <w:rFonts w:ascii="Cambria Math" w:hAnsi="Cambria Math"/>
                      </w:rPr>
                      <m:t>,</m:t>
                    </m:r>
                  </m:e>
                  <m:e>
                    <m:r>
                      <w:rPr>
                        <w:rFonts w:ascii="Cambria Math" w:hAnsi="Cambria Math"/>
                      </w:rPr>
                      <m:t>r</m:t>
                    </m:r>
                    <m:r>
                      <m:rPr>
                        <m:sty m:val="p"/>
                      </m:rPr>
                      <w:rPr>
                        <w:rFonts w:ascii="Cambria Math" w:hAnsi="Cambria Math"/>
                      </w:rPr>
                      <m:t>≤</m:t>
                    </m:r>
                    <m:r>
                      <w:rPr>
                        <w:rFonts w:ascii="Cambria Math" w:hAnsi="Cambria Math"/>
                      </w:rPr>
                      <m:t>1.57</m:t>
                    </m:r>
                    <m:r>
                      <m:rPr>
                        <m:sty m:val="p"/>
                      </m:rPr>
                      <w:rPr>
                        <w:rFonts w:ascii="Cambria Math" w:hAnsi="Cambria Math"/>
                      </w:rPr>
                      <m:t>,</m:t>
                    </m:r>
                  </m:e>
                </m:mr>
                <m:mr>
                  <m:e>
                    <m:r>
                      <w:rPr>
                        <w:rFonts w:ascii="Cambria Math" w:hAnsi="Cambria Math"/>
                      </w:rPr>
                      <m:t>0.00251</m:t>
                    </m:r>
                    <m:r>
                      <m:rPr>
                        <m:sty m:val="p"/>
                      </m:rPr>
                      <w:rPr>
                        <w:rFonts w:ascii="Cambria Math" w:hAnsi="Cambria Math"/>
                      </w:rPr>
                      <m:t>exp</m:t>
                    </m:r>
                    <m:d>
                      <m:dPr>
                        <m:ctrlPr>
                          <w:rPr>
                            <w:rFonts w:ascii="Cambria Math" w:hAnsi="Cambria Math"/>
                          </w:rPr>
                        </m:ctrlPr>
                      </m:dPr>
                      <m:e>
                        <m:r>
                          <w:rPr>
                            <w:rFonts w:ascii="Cambria Math" w:hAnsi="Cambria Math"/>
                          </w:rPr>
                          <m:t>5.21 </m:t>
                        </m:r>
                        <m:sSup>
                          <m:sSupPr>
                            <m:ctrlPr>
                              <w:rPr>
                                <w:rFonts w:ascii="Cambria Math" w:hAnsi="Cambria Math"/>
                              </w:rPr>
                            </m:ctrlPr>
                          </m:sSupPr>
                          <m:e>
                            <m:r>
                              <w:rPr>
                                <w:rFonts w:ascii="Cambria Math" w:hAnsi="Cambria Math"/>
                              </w:rPr>
                              <m:t>r</m:t>
                            </m:r>
                          </m:e>
                          <m:sup>
                            <m:r>
                              <m:rPr>
                                <m:sty m:val="p"/>
                              </m:rPr>
                              <w:rPr>
                                <w:rFonts w:ascii="Cambria Math" w:hAnsi="Cambria Math"/>
                              </w:rPr>
                              <m:t>-</m:t>
                            </m:r>
                            <m:r>
                              <w:rPr>
                                <w:rFonts w:ascii="Cambria Math" w:hAnsi="Cambria Math"/>
                              </w:rPr>
                              <m:t>0.19</m:t>
                            </m:r>
                          </m:sup>
                        </m:sSup>
                      </m:e>
                    </m:d>
                    <m:r>
                      <m:rPr>
                        <m:sty m:val="p"/>
                      </m:rPr>
                      <w:rPr>
                        <w:rFonts w:ascii="Cambria Math" w:hAnsi="Cambria Math"/>
                      </w:rPr>
                      <m:t>,</m:t>
                    </m:r>
                  </m:e>
                  <m:e>
                    <m:r>
                      <w:rPr>
                        <w:rFonts w:ascii="Cambria Math" w:hAnsi="Cambria Math"/>
                      </w:rPr>
                      <m:t>r</m:t>
                    </m:r>
                    <m:r>
                      <m:rPr>
                        <m:sty m:val="p"/>
                      </m:rPr>
                      <w:rPr>
                        <w:rFonts w:ascii="Cambria Math" w:hAnsi="Cambria Math"/>
                      </w:rPr>
                      <m:t>&gt;</m:t>
                    </m:r>
                    <m:r>
                      <w:rPr>
                        <w:rFonts w:ascii="Cambria Math" w:hAnsi="Cambria Math"/>
                      </w:rPr>
                      <m:t>1.57</m:t>
                    </m:r>
                    <m:r>
                      <m:rPr>
                        <m:sty m:val="p"/>
                      </m:rPr>
                      <w:rPr>
                        <w:rFonts w:ascii="Cambria Math" w:hAnsi="Cambria Math"/>
                      </w:rPr>
                      <m:t>,</m:t>
                    </m:r>
                  </m:e>
                </m:mr>
              </m:m>
            </m:e>
          </m:d>
        </m:oMath>
      </m:oMathPara>
    </w:p>
    <w:p w14:paraId="6C084669" w14:textId="77777777" w:rsidR="00626A85" w:rsidRPr="00567357" w:rsidRDefault="00626A85" w:rsidP="006515C6">
      <w:pPr>
        <w:snapToGrid w:val="0"/>
        <w:spacing w:beforeLines="0" w:before="0" w:afterLines="0" w:after="120" w:line="240" w:lineRule="auto"/>
        <w:ind w:firstLineChars="0" w:firstLine="0"/>
      </w:pPr>
      <w:r w:rsidRPr="00567357">
        <w:t xml:space="preserve">clipped in the implementation to </w:t>
      </w:r>
      <m:oMath>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w</m:t>
            </m:r>
          </m:sub>
        </m:sSub>
        <m:r>
          <m:rPr>
            <m:sty m:val="p"/>
          </m:rPr>
          <w:rPr>
            <w:rFonts w:ascii="Cambria Math" w:hAnsi="Cambria Math"/>
          </w:rPr>
          <m:t>≤</m:t>
        </m:r>
        <m:r>
          <w:rPr>
            <w:rFonts w:ascii="Cambria Math" w:hAnsi="Cambria Math"/>
          </w:rPr>
          <m:t>0.30</m:t>
        </m:r>
      </m:oMath>
      <w:r w:rsidRPr="00567357">
        <w:t>. The wave-induced bed shear stress is</w:t>
      </w:r>
    </w:p>
    <w:p w14:paraId="1482094E"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τ</m:t>
              </m:r>
            </m:e>
            <m:sub>
              <m:r>
                <w:rPr>
                  <w:rFonts w:ascii="Cambria Math" w:hAnsi="Cambria Math"/>
                </w:rPr>
                <m:t>w</m:t>
              </m:r>
            </m:sub>
          </m:sSub>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ρ</m:t>
          </m:r>
          <m:sSub>
            <m:sSubPr>
              <m:ctrlPr>
                <w:rPr>
                  <w:rFonts w:ascii="Cambria Math" w:hAnsi="Cambria Math"/>
                </w:rPr>
              </m:ctrlPr>
            </m:sSubPr>
            <m:e>
              <m:r>
                <w:rPr>
                  <w:rFonts w:ascii="Cambria Math" w:hAnsi="Cambria Math"/>
                </w:rPr>
                <m:t>f</m:t>
              </m:r>
            </m:e>
            <m:sub>
              <m:r>
                <w:rPr>
                  <w:rFonts w:ascii="Cambria Math" w:hAnsi="Cambria Math"/>
                </w:rPr>
                <m:t>w</m:t>
              </m:r>
            </m:sub>
          </m:sSub>
          <m:sSubSup>
            <m:sSubSupPr>
              <m:ctrlPr>
                <w:rPr>
                  <w:rFonts w:ascii="Cambria Math" w:hAnsi="Cambria Math"/>
                </w:rPr>
              </m:ctrlPr>
            </m:sSubSupPr>
            <m:e>
              <m:r>
                <w:rPr>
                  <w:rFonts w:ascii="Cambria Math" w:hAnsi="Cambria Math"/>
                </w:rPr>
                <m:t>U</m:t>
              </m:r>
            </m:e>
            <m:sub>
              <m:r>
                <w:rPr>
                  <w:rFonts w:ascii="Cambria Math" w:hAnsi="Cambria Math"/>
                </w:rPr>
                <m:t>w</m:t>
              </m:r>
            </m:sub>
            <m:sup>
              <m:r>
                <w:rPr>
                  <w:rFonts w:ascii="Cambria Math" w:hAnsi="Cambria Math"/>
                </w:rPr>
                <m:t>2</m:t>
              </m:r>
            </m:sup>
          </m:sSubSup>
          <m:r>
            <m:rPr>
              <m:sty m:val="p"/>
            </m:rPr>
            <w:rPr>
              <w:rFonts w:ascii="Cambria Math" w:hAnsi="Cambria Math"/>
            </w:rPr>
            <m:t>.</m:t>
          </m:r>
        </m:oMath>
      </m:oMathPara>
    </w:p>
    <w:p w14:paraId="5BABC32F" w14:textId="77777777" w:rsidR="00626A85" w:rsidRPr="00567357" w:rsidRDefault="00626A85" w:rsidP="006515C6">
      <w:pPr>
        <w:snapToGrid w:val="0"/>
        <w:spacing w:beforeLines="0" w:before="0" w:afterLines="0" w:after="120" w:line="240" w:lineRule="auto"/>
        <w:ind w:firstLineChars="0" w:firstLine="0"/>
      </w:pPr>
      <w:r w:rsidRPr="00567357">
        <w:t>In both offshore and bay settings, wave height is limited by depth-induced breaking. The breaking-limited height is</w:t>
      </w:r>
    </w:p>
    <w:p w14:paraId="676BD7B6"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H</m:t>
              </m:r>
            </m:e>
            <m:sub>
              <m:r>
                <m:rPr>
                  <m:sty m:val="p"/>
                </m:rPr>
                <w:rPr>
                  <w:rFonts w:ascii="Cambria Math" w:hAnsi="Cambria Math"/>
                </w:rPr>
                <m:t>break</m:t>
              </m:r>
            </m:sub>
          </m:sSub>
          <m:r>
            <m:rPr>
              <m:sty m:val="p"/>
            </m:rPr>
            <w:rPr>
              <w:rFonts w:ascii="Cambria Math" w:hAnsi="Cambria Math"/>
            </w:rPr>
            <m:t>=</m:t>
          </m:r>
          <m:r>
            <w:rPr>
              <w:rFonts w:ascii="Cambria Math" w:hAnsi="Cambria Math"/>
            </w:rPr>
            <m:t>γh</m:t>
          </m:r>
          <m:r>
            <m:rPr>
              <m:sty m:val="p"/>
            </m:rPr>
            <w:rPr>
              <w:rFonts w:ascii="Cambria Math" w:hAnsi="Cambria Math"/>
            </w:rPr>
            <m:t>,</m:t>
          </m:r>
        </m:oMath>
      </m:oMathPara>
    </w:p>
    <w:p w14:paraId="2F3F41B3" w14:textId="77777777" w:rsidR="00626A85" w:rsidRPr="00567357" w:rsidRDefault="00626A85" w:rsidP="006515C6">
      <w:pPr>
        <w:snapToGrid w:val="0"/>
        <w:spacing w:beforeLines="0" w:before="0" w:afterLines="0" w:after="120" w:line="240" w:lineRule="auto"/>
        <w:ind w:firstLineChars="0" w:firstLine="0"/>
      </w:pPr>
      <w:r w:rsidRPr="00567357">
        <w:t>and the effective significant wave height is smoothed as</w:t>
      </w:r>
    </w:p>
    <w:p w14:paraId="28C84F0A"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H</m:t>
              </m:r>
            </m:e>
            <m:sub>
              <m:r>
                <w:rPr>
                  <w:rFonts w:ascii="Cambria Math" w:hAnsi="Cambria Math"/>
                </w:rPr>
                <m:t>s</m:t>
              </m:r>
              <m:r>
                <m:rPr>
                  <m:sty m:val="p"/>
                </m:rPr>
                <w:rPr>
                  <w:rFonts w:ascii="Cambria Math" w:hAnsi="Cambria Math"/>
                </w:rPr>
                <m:t>,eff</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break</m:t>
              </m:r>
            </m:sub>
          </m:sSub>
          <m:r>
            <m:rPr>
              <m:sty m:val="p"/>
            </m:rPr>
            <w:rPr>
              <w:rFonts w:ascii="Cambria Math" w:hAnsi="Cambria Math"/>
            </w:rPr>
            <m:t>tanh</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s</m:t>
                      </m:r>
                      <m:r>
                        <m:rPr>
                          <m:sty m:val="p"/>
                        </m:rPr>
                        <w:rPr>
                          <w:rFonts w:ascii="Cambria Math" w:hAnsi="Cambria Math"/>
                        </w:rPr>
                        <m:t>,raw</m:t>
                      </m:r>
                    </m:sub>
                  </m:sSub>
                </m:num>
                <m:den>
                  <m:sSub>
                    <m:sSubPr>
                      <m:ctrlPr>
                        <w:rPr>
                          <w:rFonts w:ascii="Cambria Math" w:hAnsi="Cambria Math"/>
                        </w:rPr>
                      </m:ctrlPr>
                    </m:sSubPr>
                    <m:e>
                      <m:r>
                        <w:rPr>
                          <w:rFonts w:ascii="Cambria Math" w:hAnsi="Cambria Math"/>
                        </w:rPr>
                        <m:t>H</m:t>
                      </m:r>
                    </m:e>
                    <m:sub>
                      <m:r>
                        <m:rPr>
                          <m:sty m:val="p"/>
                        </m:rPr>
                        <w:rPr>
                          <w:rFonts w:ascii="Cambria Math" w:hAnsi="Cambria Math"/>
                        </w:rPr>
                        <m:t>break</m:t>
                      </m:r>
                    </m:sub>
                  </m:sSub>
                </m:den>
              </m:f>
            </m:e>
          </m:d>
          <m:r>
            <m:rPr>
              <m:sty m:val="p"/>
            </m:rPr>
            <w:rPr>
              <w:rFonts w:ascii="Cambria Math" w:hAnsi="Cambria Math"/>
            </w:rPr>
            <m:t>.</m:t>
          </m:r>
        </m:oMath>
      </m:oMathPara>
    </w:p>
    <w:p w14:paraId="278CF266" w14:textId="77777777" w:rsidR="00626A85" w:rsidRPr="00567357" w:rsidRDefault="00626A85" w:rsidP="006515C6">
      <w:pPr>
        <w:snapToGrid w:val="0"/>
        <w:spacing w:beforeLines="0" w:before="0" w:afterLines="0" w:after="120" w:line="240" w:lineRule="auto"/>
        <w:ind w:firstLineChars="0" w:firstLine="0"/>
      </w:pPr>
      <w:r w:rsidRPr="00567357">
        <w:t>This form prevents unphysical growth of wave height in shallow water while avoiding a discontinuous hard cutoff.</w:t>
      </w:r>
    </w:p>
    <w:p w14:paraId="653BFCA2" w14:textId="77777777" w:rsidR="00626A85" w:rsidRPr="00567357" w:rsidRDefault="00626A85" w:rsidP="006515C6">
      <w:pPr>
        <w:snapToGrid w:val="0"/>
        <w:spacing w:beforeLines="0" w:before="0" w:afterLines="0" w:after="120" w:line="240" w:lineRule="auto"/>
        <w:ind w:firstLineChars="0" w:firstLine="0"/>
        <w:rPr>
          <w:i/>
          <w:iCs/>
        </w:rPr>
      </w:pPr>
      <w:bookmarkStart w:id="2" w:name="current-module"/>
      <w:bookmarkEnd w:id="1"/>
      <w:r w:rsidRPr="00567357">
        <w:rPr>
          <w:i/>
          <w:iCs/>
        </w:rPr>
        <w:t>Current module</w:t>
      </w:r>
    </w:p>
    <w:p w14:paraId="4957BAED" w14:textId="77777777" w:rsidR="00626A85" w:rsidRPr="00567357" w:rsidRDefault="00626A85" w:rsidP="006515C6">
      <w:pPr>
        <w:snapToGrid w:val="0"/>
        <w:spacing w:beforeLines="0" w:before="0" w:afterLines="0" w:after="120" w:line="240" w:lineRule="auto"/>
        <w:ind w:firstLineChars="0" w:firstLine="0"/>
      </w:pPr>
      <w:r w:rsidRPr="00567357">
        <w:t>Depth-averaged current drag is represented with a quadratic law based on a log-profile closure,</w:t>
      </w:r>
    </w:p>
    <w:p w14:paraId="45AAFB67"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C</m:t>
              </m:r>
            </m:e>
            <m:sub>
              <m:r>
                <w:rPr>
                  <w:rFonts w:ascii="Cambria Math" w:hAnsi="Cambria Math"/>
                </w:rPr>
                <m:t>D</m:t>
              </m:r>
            </m:sub>
          </m:sSub>
          <m:r>
            <m:rPr>
              <m:sty m:val="p"/>
            </m:rPr>
            <w:rPr>
              <w:rFonts w:ascii="Cambria Math" w:hAnsi="Cambria Math"/>
            </w:rPr>
            <m:t>=</m:t>
          </m:r>
          <m:sSup>
            <m:sSupPr>
              <m:ctrlPr>
                <w:rPr>
                  <w:rFonts w:ascii="Cambria Math" w:hAnsi="Cambria Math"/>
                </w:rPr>
              </m:ctrlPr>
            </m:sSupPr>
            <m:e>
              <m:d>
                <m:dPr>
                  <m:begChr m:val="["/>
                  <m:endChr m:val="]"/>
                  <m:ctrlPr>
                    <w:rPr>
                      <w:rFonts w:ascii="Cambria Math" w:hAnsi="Cambria Math"/>
                    </w:rPr>
                  </m:ctrlPr>
                </m:dPr>
                <m:e>
                  <m:f>
                    <m:fPr>
                      <m:ctrlPr>
                        <w:rPr>
                          <w:rFonts w:ascii="Cambria Math" w:hAnsi="Cambria Math"/>
                        </w:rPr>
                      </m:ctrlPr>
                    </m:fPr>
                    <m:num>
                      <m:r>
                        <w:rPr>
                          <w:rFonts w:ascii="Cambria Math" w:hAnsi="Cambria Math"/>
                        </w:rPr>
                        <m:t>κ</m:t>
                      </m:r>
                    </m:num>
                    <m:den>
                      <m:r>
                        <m:rPr>
                          <m:sty m:val="p"/>
                        </m:rPr>
                        <w:rPr>
                          <w:rFonts w:ascii="Cambria Math" w:hAnsi="Cambria Math"/>
                        </w:rPr>
                        <m:t>ln</m:t>
                      </m:r>
                      <m:d>
                        <m:dPr>
                          <m:ctrlPr>
                            <w:rPr>
                              <w:rFonts w:ascii="Cambria Math" w:hAnsi="Cambria Math"/>
                            </w:rPr>
                          </m:ctrlPr>
                        </m:dPr>
                        <m:e>
                          <m:r>
                            <w:rPr>
                              <w:rFonts w:ascii="Cambria Math" w:hAnsi="Cambria Math"/>
                            </w:rPr>
                            <m:t>30</m:t>
                          </m:r>
                          <m:r>
                            <w:rPr>
                              <w:rFonts w:ascii="Cambria Math" w:hAnsi="Cambria Math"/>
                            </w:rPr>
                            <m:t>h</m:t>
                          </m:r>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s</m:t>
                              </m:r>
                              <m:r>
                                <m:rPr>
                                  <m:sty m:val="p"/>
                                </m:rPr>
                                <w:rPr>
                                  <w:rFonts w:ascii="Cambria Math" w:hAnsi="Cambria Math"/>
                                </w:rPr>
                                <m:t>,</m:t>
                              </m:r>
                              <m:r>
                                <w:rPr>
                                  <w:rFonts w:ascii="Cambria Math" w:hAnsi="Cambria Math"/>
                                </w:rPr>
                                <m:t>c</m:t>
                              </m:r>
                            </m:sub>
                          </m:sSub>
                        </m:e>
                      </m:d>
                      <m:r>
                        <m:rPr>
                          <m:sty m:val="p"/>
                        </m:rPr>
                        <w:rPr>
                          <w:rFonts w:ascii="Cambria Math" w:hAnsi="Cambria Math"/>
                        </w:rPr>
                        <m:t>-</m:t>
                      </m:r>
                      <m:r>
                        <w:rPr>
                          <w:rFonts w:ascii="Cambria Math" w:hAnsi="Cambria Math"/>
                        </w:rPr>
                        <m:t>1</m:t>
                      </m:r>
                    </m:den>
                  </m:f>
                </m:e>
              </m:d>
            </m:e>
            <m:sup>
              <m:r>
                <w:rPr>
                  <w:rFonts w:ascii="Cambria Math" w:hAnsi="Cambria Math"/>
                </w:rPr>
                <m:t>2</m:t>
              </m:r>
            </m:sup>
          </m:sSup>
          <m:r>
            <m:rPr>
              <m:sty m:val="p"/>
            </m:rPr>
            <w:rPr>
              <w:rFonts w:ascii="Cambria Math" w:hAnsi="Cambria Math"/>
            </w:rPr>
            <m:t>,</m:t>
          </m:r>
        </m:oMath>
      </m:oMathPara>
    </w:p>
    <w:p w14:paraId="4B7B6812" w14:textId="77777777" w:rsidR="00626A85" w:rsidRPr="00567357" w:rsidRDefault="00626A85" w:rsidP="006515C6">
      <w:pPr>
        <w:snapToGrid w:val="0"/>
        <w:spacing w:beforeLines="0" w:before="0" w:afterLines="0" w:after="120" w:line="240" w:lineRule="auto"/>
        <w:ind w:firstLineChars="0" w:firstLine="0"/>
      </w:pPr>
      <w:r w:rsidRPr="00567357">
        <w:t xml:space="preserve">where </w:t>
      </w:r>
      <m:oMath>
        <m:r>
          <w:rPr>
            <w:rFonts w:ascii="Cambria Math" w:hAnsi="Cambria Math"/>
          </w:rPr>
          <m:t>κ</m:t>
        </m:r>
      </m:oMath>
      <w:r w:rsidRPr="00567357">
        <w:t xml:space="preserve"> is the von Karman constant and </w:t>
      </w:r>
      <m:oMath>
        <m:sSub>
          <m:sSubPr>
            <m:ctrlPr>
              <w:rPr>
                <w:rFonts w:ascii="Cambria Math" w:hAnsi="Cambria Math"/>
              </w:rPr>
            </m:ctrlPr>
          </m:sSubPr>
          <m:e>
            <m:r>
              <w:rPr>
                <w:rFonts w:ascii="Cambria Math" w:hAnsi="Cambria Math"/>
              </w:rPr>
              <m:t>k</m:t>
            </m:r>
          </m:e>
          <m:sub>
            <m:r>
              <w:rPr>
                <w:rFonts w:ascii="Cambria Math" w:hAnsi="Cambria Math"/>
              </w:rPr>
              <m:t>s</m:t>
            </m:r>
            <m:r>
              <m:rPr>
                <m:sty m:val="p"/>
              </m:rPr>
              <w:rPr>
                <w:rFonts w:ascii="Cambria Math" w:hAnsi="Cambria Math"/>
              </w:rPr>
              <m:t>,</m:t>
            </m:r>
            <m:r>
              <w:rPr>
                <w:rFonts w:ascii="Cambria Math" w:hAnsi="Cambria Math"/>
              </w:rPr>
              <m:t>c</m:t>
            </m:r>
          </m:sub>
        </m:sSub>
      </m:oMath>
      <w:r w:rsidRPr="00567357">
        <w:t xml:space="preserve"> is the current roughness height. The current-only bed shear stress is</w:t>
      </w:r>
    </w:p>
    <w:p w14:paraId="58546995"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τ</m:t>
              </m:r>
            </m:e>
            <m:sub>
              <m:r>
                <w:rPr>
                  <w:rFonts w:ascii="Cambria Math" w:hAnsi="Cambria Math"/>
                </w:rPr>
                <m:t>c</m:t>
              </m:r>
            </m:sub>
          </m:sSub>
          <m:r>
            <m:rPr>
              <m:sty m:val="p"/>
            </m:rPr>
            <w:rPr>
              <w:rFonts w:ascii="Cambria Math" w:hAnsi="Cambria Math"/>
            </w:rPr>
            <m:t>=</m:t>
          </m:r>
          <m:r>
            <w:rPr>
              <w:rFonts w:ascii="Cambria Math" w:hAnsi="Cambria Math"/>
            </w:rPr>
            <m:t>ρ</m:t>
          </m:r>
          <m:sSub>
            <m:sSubPr>
              <m:ctrlPr>
                <w:rPr>
                  <w:rFonts w:ascii="Cambria Math" w:hAnsi="Cambria Math"/>
                </w:rPr>
              </m:ctrlPr>
            </m:sSubPr>
            <m:e>
              <m:r>
                <w:rPr>
                  <w:rFonts w:ascii="Cambria Math" w:hAnsi="Cambria Math"/>
                </w:rPr>
                <m:t>C</m:t>
              </m:r>
            </m:e>
            <m:sub>
              <m:r>
                <w:rPr>
                  <w:rFonts w:ascii="Cambria Math" w:hAnsi="Cambria Math"/>
                </w:rPr>
                <m:t>D</m:t>
              </m:r>
            </m:sub>
          </m:sSub>
          <m:sSubSup>
            <m:sSubSupPr>
              <m:ctrlPr>
                <w:rPr>
                  <w:rFonts w:ascii="Cambria Math" w:hAnsi="Cambria Math"/>
                </w:rPr>
              </m:ctrlPr>
            </m:sSubSupPr>
            <m:e>
              <m:r>
                <w:rPr>
                  <w:rFonts w:ascii="Cambria Math" w:hAnsi="Cambria Math"/>
                </w:rPr>
                <m:t>U</m:t>
              </m:r>
            </m:e>
            <m:sub>
              <m:r>
                <w:rPr>
                  <w:rFonts w:ascii="Cambria Math" w:hAnsi="Cambria Math"/>
                </w:rPr>
                <m:t>c</m:t>
              </m:r>
            </m:sub>
            <m:sup>
              <m:r>
                <w:rPr>
                  <w:rFonts w:ascii="Cambria Math" w:hAnsi="Cambria Math"/>
                </w:rPr>
                <m:t>2</m:t>
              </m:r>
            </m:sup>
          </m:sSubSup>
          <m:r>
            <m:rPr>
              <m:sty m:val="p"/>
            </m:rPr>
            <w:rPr>
              <w:rFonts w:ascii="Cambria Math" w:hAnsi="Cambria Math"/>
            </w:rPr>
            <m:t>.</m:t>
          </m:r>
        </m:oMath>
      </m:oMathPara>
    </w:p>
    <w:p w14:paraId="39635A50" w14:textId="77777777" w:rsidR="00626A85" w:rsidRPr="00567357" w:rsidRDefault="00626A85" w:rsidP="006515C6">
      <w:pPr>
        <w:snapToGrid w:val="0"/>
        <w:spacing w:beforeLines="0" w:before="0" w:afterLines="0" w:after="120" w:line="240" w:lineRule="auto"/>
        <w:ind w:firstLineChars="0" w:firstLine="0"/>
      </w:pPr>
      <w:r w:rsidRPr="00567357">
        <w:t>Wave-current interaction is then represented with a Soulsby-type combination</w:t>
      </w:r>
      <w:proofErr w:type="gramStart"/>
      <w:r w:rsidRPr="00567357">
        <w:t>.</w:t>
      </w:r>
      <w:r>
        <w:rPr>
          <w:vertAlign w:val="superscript"/>
        </w:rPr>
        <w:t>20</w:t>
      </w:r>
      <w:proofErr w:type="gramEnd"/>
      <w:r>
        <w:t xml:space="preserve"> If </w:t>
      </w:r>
      <m:oMath>
        <m:r>
          <w:rPr>
            <w:rFonts w:ascii="Cambria Math" w:hAnsi="Cambria Math"/>
          </w:rPr>
          <m:t>ϕ</m:t>
        </m:r>
      </m:oMath>
      <w:r w:rsidRPr="00567357">
        <w:t xml:space="preserve"> is the angle between current and wave directions, then</w:t>
      </w:r>
    </w:p>
    <w:p w14:paraId="338C7918"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τ</m:t>
              </m:r>
            </m:e>
            <m:sub>
              <m:r>
                <w:rPr>
                  <w:rFonts w:ascii="Cambria Math" w:hAnsi="Cambria Math"/>
                </w:rPr>
                <m:t>m</m:t>
              </m:r>
            </m:sub>
          </m:sSub>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c</m:t>
              </m:r>
            </m:sub>
          </m:sSub>
          <m:d>
            <m:dPr>
              <m:begChr m:val="["/>
              <m:endChr m:val="]"/>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1.2</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τ</m:t>
                              </m:r>
                            </m:e>
                            <m:sub>
                              <m:r>
                                <w:rPr>
                                  <w:rFonts w:ascii="Cambria Math" w:hAnsi="Cambria Math"/>
                                </w:rPr>
                                <m:t>w</m:t>
                              </m:r>
                            </m:sub>
                          </m:sSub>
                        </m:num>
                        <m:den>
                          <m:sSub>
                            <m:sSubPr>
                              <m:ctrlPr>
                                <w:rPr>
                                  <w:rFonts w:ascii="Cambria Math" w:hAnsi="Cambria Math"/>
                                </w:rPr>
                              </m:ctrlPr>
                            </m:sSubPr>
                            <m:e>
                              <m:r>
                                <w:rPr>
                                  <w:rFonts w:ascii="Cambria Math" w:hAnsi="Cambria Math"/>
                                </w:rPr>
                                <m:t>τ</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w</m:t>
                              </m:r>
                            </m:sub>
                          </m:sSub>
                        </m:den>
                      </m:f>
                    </m:e>
                  </m:d>
                </m:e>
                <m:sup>
                  <m:r>
                    <w:rPr>
                      <w:rFonts w:ascii="Cambria Math" w:hAnsi="Cambria Math"/>
                    </w:rPr>
                    <m:t>3.2</m:t>
                  </m:r>
                </m:sup>
              </m:sSup>
            </m:e>
          </m:d>
          <m:r>
            <m:rPr>
              <m:sty m:val="p"/>
            </m:rPr>
            <w:rPr>
              <w:rFonts w:ascii="Cambria Math" w:hAnsi="Cambria Math"/>
            </w:rPr>
            <m:t>,</m:t>
          </m:r>
        </m:oMath>
      </m:oMathPara>
    </w:p>
    <w:p w14:paraId="2F0E52E1" w14:textId="77777777" w:rsidR="00626A85" w:rsidRPr="00567357" w:rsidRDefault="00626A85" w:rsidP="006515C6">
      <w:pPr>
        <w:snapToGrid w:val="0"/>
        <w:spacing w:beforeLines="0" w:before="0" w:afterLines="0" w:after="120" w:line="240" w:lineRule="auto"/>
        <w:ind w:firstLineChars="0" w:firstLine="0"/>
      </w:pPr>
      <w:r w:rsidRPr="00567357">
        <w:t>and the instantaneous maximum combined stress is</w:t>
      </w:r>
    </w:p>
    <w:p w14:paraId="538E4E50"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τ</m:t>
              </m:r>
            </m:e>
            <m:sub>
              <m:r>
                <m:rPr>
                  <m:sty m:val="p"/>
                </m:rPr>
                <w:rPr>
                  <w:rFonts w:ascii="Cambria Math" w:hAnsi="Cambria Math"/>
                </w:rPr>
                <m:t>max</m:t>
              </m:r>
            </m:sub>
          </m:sSub>
          <m:r>
            <m:rPr>
              <m:sty m:val="p"/>
            </m:rPr>
            <w:rPr>
              <w:rFonts w:ascii="Cambria Math" w:hAnsi="Cambria Math"/>
            </w:rPr>
            <m:t>=</m:t>
          </m:r>
          <m:sSup>
            <m:sSupPr>
              <m:ctrlPr>
                <w:rPr>
                  <w:rFonts w:ascii="Cambria Math" w:hAnsi="Cambria Math"/>
                </w:rPr>
              </m:ctrlPr>
            </m:sSupPr>
            <m:e>
              <m:d>
                <m:dPr>
                  <m:begChr m:val="["/>
                  <m:endChr m:val="]"/>
                  <m:ctrlPr>
                    <w:rPr>
                      <w:rFonts w:ascii="Cambria Math" w:hAnsi="Cambria Math"/>
                    </w:rPr>
                  </m:ctrlPr>
                </m:dPr>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τ</m:t>
                              </m:r>
                            </m:e>
                            <m:sub>
                              <m:r>
                                <w:rPr>
                                  <w:rFonts w:ascii="Cambria Math" w:hAnsi="Cambria Math"/>
                                </w:rPr>
                                <m:t>m</m:t>
                              </m:r>
                            </m:sub>
                          </m:sSub>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w</m:t>
                              </m:r>
                            </m:sub>
                          </m:sSub>
                          <m:d>
                            <m:dPr>
                              <m:begChr m:val="|"/>
                              <m:endChr m:val="|"/>
                              <m:ctrlPr>
                                <w:rPr>
                                  <w:rFonts w:ascii="Cambria Math" w:hAnsi="Cambria Math"/>
                                </w:rPr>
                              </m:ctrlPr>
                            </m:dPr>
                            <m:e>
                              <m:r>
                                <m:rPr>
                                  <m:sty m:val="p"/>
                                </m:rPr>
                                <w:rPr>
                                  <w:rFonts w:ascii="Cambria Math" w:hAnsi="Cambria Math"/>
                                </w:rPr>
                                <m:t>cos</m:t>
                              </m:r>
                              <m:r>
                                <w:rPr>
                                  <w:rFonts w:ascii="Cambria Math" w:hAnsi="Cambria Math"/>
                                </w:rPr>
                                <m:t>ϕ</m:t>
                              </m:r>
                            </m:e>
                          </m:d>
                        </m:e>
                      </m:d>
                    </m:e>
                    <m:sup>
                      <m: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τ</m:t>
                              </m:r>
                            </m:e>
                            <m:sub>
                              <m:r>
                                <w:rPr>
                                  <w:rFonts w:ascii="Cambria Math" w:hAnsi="Cambria Math"/>
                                </w:rPr>
                                <m:t>w</m:t>
                              </m:r>
                            </m:sub>
                          </m:sSub>
                          <m:r>
                            <m:rPr>
                              <m:sty m:val="p"/>
                            </m:rPr>
                            <w:rPr>
                              <w:rFonts w:ascii="Cambria Math" w:hAnsi="Cambria Math"/>
                            </w:rPr>
                            <m:t>sin</m:t>
                          </m:r>
                          <m:r>
                            <w:rPr>
                              <w:rFonts w:ascii="Cambria Math" w:hAnsi="Cambria Math"/>
                            </w:rPr>
                            <m:t>ϕ</m:t>
                          </m:r>
                        </m:e>
                      </m:d>
                    </m:e>
                    <m:sup>
                      <m:r>
                        <w:rPr>
                          <w:rFonts w:ascii="Cambria Math" w:hAnsi="Cambria Math"/>
                        </w:rPr>
                        <m:t>2</m:t>
                      </m:r>
                    </m:sup>
                  </m:sSup>
                </m:e>
              </m:d>
            </m:e>
            <m:sup>
              <m:r>
                <w:rPr>
                  <w:rFonts w:ascii="Cambria Math" w:hAnsi="Cambria Math"/>
                </w:rPr>
                <m:t>1</m:t>
              </m:r>
              <m:r>
                <m:rPr>
                  <m:sty m:val="p"/>
                </m:rPr>
                <w:rPr>
                  <w:rFonts w:ascii="Cambria Math" w:hAnsi="Cambria Math"/>
                </w:rPr>
                <m:t>/</m:t>
              </m:r>
              <m:r>
                <w:rPr>
                  <w:rFonts w:ascii="Cambria Math" w:hAnsi="Cambria Math"/>
                </w:rPr>
                <m:t>2</m:t>
              </m:r>
            </m:sup>
          </m:sSup>
          <m:r>
            <m:rPr>
              <m:sty m:val="p"/>
            </m:rPr>
            <w:rPr>
              <w:rFonts w:ascii="Cambria Math" w:hAnsi="Cambria Math"/>
            </w:rPr>
            <m:t>.</m:t>
          </m:r>
        </m:oMath>
      </m:oMathPara>
    </w:p>
    <w:p w14:paraId="155F4555" w14:textId="77777777" w:rsidR="00626A85" w:rsidRPr="00567357" w:rsidRDefault="00626A85" w:rsidP="006515C6">
      <w:pPr>
        <w:snapToGrid w:val="0"/>
        <w:spacing w:beforeLines="0" w:before="0" w:afterLines="0" w:after="120" w:line="240" w:lineRule="auto"/>
        <w:ind w:firstLineChars="0" w:firstLine="0"/>
      </w:pPr>
      <w:r w:rsidRPr="00567357">
        <w:t xml:space="preserve">In the implementation, if </w:t>
      </w:r>
      <m:oMath>
        <m:sSub>
          <m:sSubPr>
            <m:ctrlPr>
              <w:rPr>
                <w:rFonts w:ascii="Cambria Math" w:hAnsi="Cambria Math"/>
              </w:rPr>
            </m:ctrlPr>
          </m:sSubPr>
          <m:e>
            <m:r>
              <w:rPr>
                <w:rFonts w:ascii="Cambria Math" w:hAnsi="Cambria Math"/>
              </w:rPr>
              <m:t>τ</m:t>
            </m:r>
          </m:e>
          <m:sub>
            <m:r>
              <w:rPr>
                <w:rFonts w:ascii="Cambria Math" w:hAnsi="Cambria Math"/>
              </w:rPr>
              <m:t>c</m:t>
            </m:r>
          </m:sub>
        </m:sSub>
      </m:oMath>
      <w:r w:rsidRPr="00567357">
        <w:t xml:space="preserve"> is numerically negligible, the model sets </w:t>
      </w:r>
      <m:oMath>
        <m:sSub>
          <m:sSubPr>
            <m:ctrlPr>
              <w:rPr>
                <w:rFonts w:ascii="Cambria Math" w:hAnsi="Cambria Math"/>
              </w:rPr>
            </m:ctrlPr>
          </m:sSubPr>
          <m:e>
            <m:r>
              <w:rPr>
                <w:rFonts w:ascii="Cambria Math" w:hAnsi="Cambria Math"/>
              </w:rPr>
              <m:t>τ</m:t>
            </m:r>
          </m:e>
          <m:sub>
            <m:r>
              <m:rPr>
                <m:sty m:val="p"/>
              </m:rPr>
              <w:rPr>
                <w:rFonts w:ascii="Cambria Math" w:hAnsi="Cambria Math"/>
              </w:rPr>
              <m:t>max</m:t>
            </m:r>
          </m:sub>
        </m:sSub>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w</m:t>
            </m:r>
          </m:sub>
        </m:sSub>
      </m:oMath>
      <w:r w:rsidRPr="00567357">
        <w:t>.</w:t>
      </w:r>
    </w:p>
    <w:p w14:paraId="02F3816F" w14:textId="77777777" w:rsidR="00626A85" w:rsidRPr="00567357" w:rsidRDefault="00626A85" w:rsidP="006515C6">
      <w:pPr>
        <w:snapToGrid w:val="0"/>
        <w:spacing w:beforeLines="0" w:before="0" w:afterLines="0" w:after="120" w:line="240" w:lineRule="auto"/>
        <w:ind w:firstLineChars="0" w:firstLine="0"/>
        <w:rPr>
          <w:i/>
          <w:iCs/>
        </w:rPr>
      </w:pPr>
      <w:bookmarkStart w:id="3" w:name="offshore-and-bay-branches"/>
      <w:bookmarkEnd w:id="0"/>
      <w:bookmarkEnd w:id="2"/>
      <w:r w:rsidRPr="00567357">
        <w:rPr>
          <w:i/>
          <w:iCs/>
        </w:rPr>
        <w:t>Offshore and bay branches</w:t>
      </w:r>
    </w:p>
    <w:p w14:paraId="52B9319A" w14:textId="77777777" w:rsidR="00626A85" w:rsidRPr="00567357" w:rsidRDefault="00626A85" w:rsidP="006515C6">
      <w:pPr>
        <w:snapToGrid w:val="0"/>
        <w:spacing w:beforeLines="0" w:before="0" w:afterLines="0" w:after="120" w:line="240" w:lineRule="auto"/>
        <w:ind w:firstLineChars="0" w:firstLine="0"/>
      </w:pPr>
      <w:r w:rsidRPr="00567357">
        <w:t>The two branches share the same stress formulation but differ in how wave and current forcing are obtained.</w:t>
      </w:r>
    </w:p>
    <w:p w14:paraId="25B0B638" w14:textId="77777777" w:rsidR="00626A85" w:rsidRPr="00567357" w:rsidRDefault="00626A85" w:rsidP="006515C6">
      <w:pPr>
        <w:snapToGrid w:val="0"/>
        <w:spacing w:beforeLines="0" w:before="0" w:afterLines="0" w:after="120" w:line="240" w:lineRule="auto"/>
        <w:ind w:firstLineChars="0" w:firstLine="0"/>
        <w:rPr>
          <w:i/>
          <w:iCs/>
        </w:rPr>
      </w:pPr>
      <w:bookmarkStart w:id="4" w:name="offshore-branch"/>
      <w:r w:rsidRPr="00567357">
        <w:rPr>
          <w:i/>
          <w:iCs/>
        </w:rPr>
        <w:t>Offshore branch</w:t>
      </w:r>
    </w:p>
    <w:p w14:paraId="074B4196" w14:textId="77777777" w:rsidR="00626A85" w:rsidRPr="00567357" w:rsidRDefault="00626A85" w:rsidP="006515C6">
      <w:pPr>
        <w:snapToGrid w:val="0"/>
        <w:spacing w:beforeLines="0" w:before="0" w:afterLines="0" w:after="120" w:line="240" w:lineRule="auto"/>
        <w:ind w:firstLineChars="0" w:firstLine="0"/>
      </w:pPr>
      <w:r w:rsidRPr="00567357">
        <w:lastRenderedPageBreak/>
        <w:t>The offshore branch is deliberately simple. Tidal current amplitude is prescribed rather than solved prognostically, and scales linearly with tidal range:</w:t>
      </w:r>
    </w:p>
    <w:p w14:paraId="6D1FD6A8"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U</m:t>
              </m:r>
            </m:e>
            <m:sub>
              <m:r>
                <w:rPr>
                  <w:rFonts w:ascii="Cambria Math" w:hAnsi="Cambria Math"/>
                </w:rPr>
                <m:t>a</m:t>
              </m:r>
              <m:r>
                <m:rPr>
                  <m:sty m:val="p"/>
                </m:rPr>
                <w:rPr>
                  <w:rFonts w:ascii="Cambria Math" w:hAnsi="Cambria Math"/>
                </w:rPr>
                <m:t>,off</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m:rPr>
                  <m:sty m:val="p"/>
                </m:rPr>
                <w:rPr>
                  <w:rFonts w:ascii="Cambria Math" w:hAnsi="Cambria Math"/>
                </w:rPr>
                <m:t>ref</m:t>
              </m:r>
            </m:sub>
          </m:sSub>
          <m:f>
            <m:fPr>
              <m:ctrlPr>
                <w:rPr>
                  <w:rFonts w:ascii="Cambria Math" w:hAnsi="Cambria Math"/>
                </w:rPr>
              </m:ctrlPr>
            </m:fPr>
            <m:num>
              <m:r>
                <w:rPr>
                  <w:rFonts w:ascii="Cambria Math" w:hAnsi="Cambria Math"/>
                </w:rPr>
                <m:t>R</m:t>
              </m:r>
            </m:num>
            <m:den>
              <m:sSub>
                <m:sSubPr>
                  <m:ctrlPr>
                    <w:rPr>
                      <w:rFonts w:ascii="Cambria Math" w:hAnsi="Cambria Math"/>
                    </w:rPr>
                  </m:ctrlPr>
                </m:sSubPr>
                <m:e>
                  <m:r>
                    <w:rPr>
                      <w:rFonts w:ascii="Cambria Math" w:hAnsi="Cambria Math"/>
                    </w:rPr>
                    <m:t>R</m:t>
                  </m:r>
                </m:e>
                <m:sub>
                  <m:r>
                    <m:rPr>
                      <m:sty m:val="p"/>
                    </m:rPr>
                    <w:rPr>
                      <w:rFonts w:ascii="Cambria Math" w:hAnsi="Cambria Math"/>
                    </w:rPr>
                    <m:t>ref</m:t>
                  </m:r>
                </m:sub>
              </m:sSub>
            </m:den>
          </m:f>
          <m:r>
            <m:rPr>
              <m:sty m:val="p"/>
            </m:rPr>
            <w:rPr>
              <w:rFonts w:ascii="Cambria Math" w:hAnsi="Cambria Math"/>
            </w:rPr>
            <m:t>.</m:t>
          </m:r>
        </m:oMath>
      </m:oMathPara>
    </w:p>
    <w:p w14:paraId="797AC996" w14:textId="77777777" w:rsidR="00626A85" w:rsidRPr="00567357" w:rsidRDefault="00626A85" w:rsidP="006515C6">
      <w:pPr>
        <w:snapToGrid w:val="0"/>
        <w:spacing w:beforeLines="0" w:before="0" w:afterLines="0" w:after="120" w:line="240" w:lineRule="auto"/>
        <w:ind w:firstLineChars="0" w:firstLine="0"/>
      </w:pPr>
      <w:r w:rsidRPr="00567357">
        <w:t xml:space="preserve">Because the code computes the current from the normalized stage rate, the offshore velocity is </w:t>
      </w:r>
      <w:proofErr w:type="gramStart"/>
      <w:r w:rsidRPr="00567357">
        <w:t>equivalently</w:t>
      </w:r>
      <w:proofErr w:type="gramEnd"/>
    </w:p>
    <w:p w14:paraId="769488AF"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U</m:t>
              </m:r>
            </m:e>
            <m:sub>
              <m:r>
                <w:rPr>
                  <w:rFonts w:ascii="Cambria Math" w:hAnsi="Cambria Math"/>
                </w:rPr>
                <m:t>c</m:t>
              </m:r>
              <m:r>
                <m:rPr>
                  <m:sty m:val="p"/>
                </m:rPr>
                <w:rPr>
                  <w:rFonts w:ascii="Cambria Math" w:hAnsi="Cambria Math"/>
                </w:rPr>
                <m:t>,off</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a</m:t>
              </m:r>
              <m:r>
                <m:rPr>
                  <m:sty m:val="p"/>
                </m:rPr>
                <w:rPr>
                  <w:rFonts w:ascii="Cambria Math" w:hAnsi="Cambria Math"/>
                </w:rPr>
                <m:t>,off</m:t>
              </m:r>
            </m:sub>
          </m:sSub>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η</m:t>
                  </m:r>
                </m:e>
                <m:sub>
                  <m:r>
                    <w:rPr>
                      <w:rFonts w:ascii="Cambria Math" w:hAnsi="Cambria Math"/>
                    </w:rPr>
                    <m:t>o</m:t>
                  </m:r>
                </m:sub>
              </m:sSub>
              <m:r>
                <m:rPr>
                  <m:sty m:val="p"/>
                </m:rPr>
                <w:rPr>
                  <w:rFonts w:ascii="Cambria Math" w:hAnsi="Cambria Math"/>
                </w:rPr>
                <m:t>/</m:t>
              </m:r>
              <m:r>
                <w:rPr>
                  <w:rFonts w:ascii="Cambria Math" w:hAnsi="Cambria Math"/>
                </w:rPr>
                <m:t>dt</m:t>
              </m:r>
            </m:num>
            <m:den>
              <m:r>
                <w:rPr>
                  <w:rFonts w:ascii="Cambria Math" w:hAnsi="Cambria Math"/>
                </w:rPr>
                <m:t>Rσ</m:t>
              </m:r>
              <m:r>
                <m:rPr>
                  <m:sty m:val="p"/>
                </m:rPr>
                <w:rPr>
                  <w:rFonts w:ascii="Cambria Math" w:hAnsi="Cambria Math"/>
                </w:rPr>
                <m:t>/</m:t>
              </m:r>
              <m:r>
                <w:rPr>
                  <w:rFonts w:ascii="Cambria Math" w:hAnsi="Cambria Math"/>
                </w:rPr>
                <m:t>2</m:t>
              </m:r>
            </m:den>
          </m:f>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a</m:t>
              </m:r>
              <m:r>
                <m:rPr>
                  <m:sty m:val="p"/>
                </m:rPr>
                <w:rPr>
                  <w:rFonts w:ascii="Cambria Math" w:hAnsi="Cambria Math"/>
                </w:rPr>
                <m:t>,off</m:t>
              </m:r>
            </m:sub>
          </m:sSub>
          <m:r>
            <m:rPr>
              <m:sty m:val="p"/>
            </m:rPr>
            <w:rPr>
              <w:rFonts w:ascii="Cambria Math" w:hAnsi="Cambria Math"/>
            </w:rPr>
            <m:t>cos</m:t>
          </m:r>
          <m:d>
            <m:dPr>
              <m:ctrlPr>
                <w:rPr>
                  <w:rFonts w:ascii="Cambria Math" w:hAnsi="Cambria Math"/>
                </w:rPr>
              </m:ctrlPr>
            </m:dPr>
            <m:e>
              <m:r>
                <w:rPr>
                  <w:rFonts w:ascii="Cambria Math" w:hAnsi="Cambria Math"/>
                </w:rPr>
                <m:t>σt</m:t>
              </m:r>
            </m:e>
          </m:d>
          <m:r>
            <m:rPr>
              <m:sty m:val="p"/>
            </m:rPr>
            <w:rPr>
              <w:rFonts w:ascii="Cambria Math" w:hAnsi="Cambria Math"/>
            </w:rPr>
            <m:t>.</m:t>
          </m:r>
        </m:oMath>
      </m:oMathPara>
    </w:p>
    <w:p w14:paraId="3B4C91E4" w14:textId="77777777" w:rsidR="00626A85" w:rsidRPr="00567357" w:rsidRDefault="00626A85" w:rsidP="006515C6">
      <w:pPr>
        <w:snapToGrid w:val="0"/>
        <w:spacing w:beforeLines="0" w:before="0" w:afterLines="0" w:after="120" w:line="240" w:lineRule="auto"/>
        <w:ind w:firstLineChars="0" w:firstLine="0"/>
      </w:pPr>
      <w:r w:rsidRPr="00567357">
        <w:t xml:space="preserve">Offshore waves are prescribed with incident height </w:t>
      </w:r>
      <m:oMath>
        <m:sSub>
          <m:sSubPr>
            <m:ctrlPr>
              <w:rPr>
                <w:rFonts w:ascii="Cambria Math" w:hAnsi="Cambria Math"/>
              </w:rPr>
            </m:ctrlPr>
          </m:sSubPr>
          <m:e>
            <m:r>
              <w:rPr>
                <w:rFonts w:ascii="Cambria Math" w:hAnsi="Cambria Math"/>
              </w:rPr>
              <m:t>H</m:t>
            </m:r>
          </m:e>
          <m:sub>
            <m:r>
              <w:rPr>
                <w:rFonts w:ascii="Cambria Math" w:hAnsi="Cambria Math"/>
              </w:rPr>
              <m:t>s</m:t>
            </m:r>
            <m:r>
              <m:rPr>
                <m:sty m:val="p"/>
              </m:rPr>
              <w:rPr>
                <w:rFonts w:ascii="Cambria Math" w:hAnsi="Cambria Math"/>
              </w:rPr>
              <m:t>,inc</m:t>
            </m:r>
          </m:sub>
        </m:sSub>
      </m:oMath>
      <w:r w:rsidRPr="00567357">
        <w:t xml:space="preserve"> and period </w:t>
      </w:r>
      <m:oMath>
        <m:sSub>
          <m:sSubPr>
            <m:ctrlPr>
              <w:rPr>
                <w:rFonts w:ascii="Cambria Math" w:hAnsi="Cambria Math"/>
              </w:rPr>
            </m:ctrlPr>
          </m:sSubPr>
          <m:e>
            <m:r>
              <w:rPr>
                <w:rFonts w:ascii="Cambria Math" w:hAnsi="Cambria Math"/>
              </w:rPr>
              <m:t>T</m:t>
            </m:r>
          </m:e>
          <m:sub>
            <m:r>
              <w:rPr>
                <w:rFonts w:ascii="Cambria Math" w:hAnsi="Cambria Math"/>
              </w:rPr>
              <m:t>p</m:t>
            </m:r>
            <m:r>
              <m:rPr>
                <m:sty m:val="p"/>
              </m:rPr>
              <w:rPr>
                <w:rFonts w:ascii="Cambria Math" w:hAnsi="Cambria Math"/>
              </w:rPr>
              <m:t>,inc</m:t>
            </m:r>
          </m:sub>
        </m:sSub>
      </m:oMath>
      <w:r w:rsidRPr="00567357">
        <w:t>, then reduced by the breaking limiter above,</w:t>
      </w:r>
    </w:p>
    <w:p w14:paraId="0385BC76"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H</m:t>
              </m:r>
            </m:e>
            <m:sub>
              <m:r>
                <w:rPr>
                  <w:rFonts w:ascii="Cambria Math" w:hAnsi="Cambria Math"/>
                </w:rPr>
                <m:t>s</m:t>
              </m:r>
              <m:r>
                <m:rPr>
                  <m:sty m:val="p"/>
                </m:rPr>
                <w:rPr>
                  <w:rFonts w:ascii="Cambria Math" w:hAnsi="Cambria Math"/>
                </w:rPr>
                <m:t>,raw</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s</m:t>
              </m:r>
              <m:r>
                <m:rPr>
                  <m:sty m:val="p"/>
                </m:rPr>
                <w:rPr>
                  <w:rFonts w:ascii="Cambria Math" w:hAnsi="Cambria Math"/>
                </w:rPr>
                <m:t>,inc</m:t>
              </m:r>
            </m:sub>
          </m:sSub>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T</m:t>
              </m:r>
            </m:e>
            <m:sub>
              <m:r>
                <w:rPr>
                  <w:rFonts w:ascii="Cambria Math" w:hAnsi="Cambria Math"/>
                </w:rPr>
                <m:t>p</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p</m:t>
              </m:r>
              <m:r>
                <m:rPr>
                  <m:sty m:val="p"/>
                </m:rPr>
                <w:rPr>
                  <w:rFonts w:ascii="Cambria Math" w:hAnsi="Cambria Math"/>
                </w:rPr>
                <m:t>,inc</m:t>
              </m:r>
            </m:sub>
          </m:sSub>
          <m:r>
            <m:rPr>
              <m:sty m:val="p"/>
            </m:rPr>
            <w:rPr>
              <w:rFonts w:ascii="Cambria Math" w:hAnsi="Cambria Math"/>
            </w:rPr>
            <m:t>.</m:t>
          </m:r>
        </m:oMath>
      </m:oMathPara>
    </w:p>
    <w:p w14:paraId="3C9BAC2C" w14:textId="77777777" w:rsidR="00626A85" w:rsidRPr="00567357" w:rsidRDefault="00626A85" w:rsidP="006515C6">
      <w:pPr>
        <w:snapToGrid w:val="0"/>
        <w:spacing w:beforeLines="0" w:before="0" w:afterLines="0" w:after="120" w:line="240" w:lineRule="auto"/>
        <w:ind w:firstLineChars="0" w:firstLine="0"/>
      </w:pPr>
      <w:r w:rsidRPr="00567357">
        <w:t>This branch therefore isolates the first-order effect of deepening on wave-bottom coupling and current drag without introducing channelized geometry or restricted exchange.</w:t>
      </w:r>
    </w:p>
    <w:p w14:paraId="3B28DB64" w14:textId="77777777" w:rsidR="00626A85" w:rsidRPr="00567357" w:rsidRDefault="00626A85" w:rsidP="006515C6">
      <w:pPr>
        <w:snapToGrid w:val="0"/>
        <w:spacing w:beforeLines="0" w:before="0" w:afterLines="0" w:after="120" w:line="240" w:lineRule="auto"/>
        <w:ind w:firstLineChars="0" w:firstLine="0"/>
        <w:rPr>
          <w:i/>
          <w:iCs/>
        </w:rPr>
      </w:pPr>
      <w:bookmarkStart w:id="5" w:name="bay-branch"/>
      <w:bookmarkEnd w:id="4"/>
      <w:r w:rsidRPr="00567357">
        <w:rPr>
          <w:i/>
          <w:iCs/>
        </w:rPr>
        <w:t>Bay branch</w:t>
      </w:r>
    </w:p>
    <w:p w14:paraId="29756924" w14:textId="77777777" w:rsidR="00626A85" w:rsidRPr="00567357" w:rsidRDefault="00626A85" w:rsidP="006515C6">
      <w:pPr>
        <w:snapToGrid w:val="0"/>
        <w:spacing w:beforeLines="0" w:before="0" w:afterLines="0" w:after="120" w:line="240" w:lineRule="auto"/>
        <w:ind w:firstLineChars="0" w:firstLine="0"/>
      </w:pPr>
      <w:r w:rsidRPr="00567357">
        <w:t>The bay branch is a friction-limited, single-inlet, single-basin box model. Its purpose is to capture the minimal additional physics required for semi-enclosed systems: restricted exchange, storage effects, and geometric feedback.</w:t>
      </w:r>
    </w:p>
    <w:p w14:paraId="184F4D71" w14:textId="77777777" w:rsidR="00626A85" w:rsidRPr="00567357" w:rsidRDefault="00626A85" w:rsidP="006515C6">
      <w:pPr>
        <w:snapToGrid w:val="0"/>
        <w:spacing w:beforeLines="0" w:before="0" w:afterLines="0" w:after="120" w:line="240" w:lineRule="auto"/>
        <w:ind w:firstLineChars="0" w:firstLine="0"/>
      </w:pPr>
      <w:r w:rsidRPr="00567357">
        <w:t>The basin-storage term is written in terms of basin area divided by inlet width,</w:t>
      </w:r>
    </w:p>
    <w:p w14:paraId="355AA6D7"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d>
            <m:dPr>
              <m:ctrlPr>
                <w:rPr>
                  <w:rFonts w:ascii="Cambria Math" w:hAnsi="Cambria Math"/>
                </w:rPr>
              </m:ctrlPr>
            </m:dPr>
            <m:e>
              <m:f>
                <m:fPr>
                  <m:ctrlPr>
                    <w:rPr>
                      <w:rFonts w:ascii="Cambria Math" w:hAnsi="Cambria Math"/>
                    </w:rPr>
                  </m:ctrlPr>
                </m:fPr>
                <m:num>
                  <m:r>
                    <w:rPr>
                      <w:rFonts w:ascii="Cambria Math" w:hAnsi="Cambria Math"/>
                    </w:rPr>
                    <m:t>A</m:t>
                  </m:r>
                </m:num>
                <m:den>
                  <m:r>
                    <w:rPr>
                      <w:rFonts w:ascii="Cambria Math" w:hAnsi="Cambria Math"/>
                    </w:rPr>
                    <m:t>B</m:t>
                  </m:r>
                </m:den>
              </m:f>
            </m:e>
          </m:d>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b</m:t>
                  </m:r>
                </m:sub>
              </m:sSub>
            </m:e>
          </m:d>
          <m:r>
            <m:rPr>
              <m:sty m:val="p"/>
            </m:rP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0</m:t>
                      </m:r>
                    </m:sub>
                  </m:sSub>
                </m:num>
                <m:den>
                  <m:r>
                    <w:rPr>
                      <w:rFonts w:ascii="Cambria Math" w:hAnsi="Cambria Math"/>
                    </w:rPr>
                    <m:t>B</m:t>
                  </m:r>
                </m:den>
              </m:f>
            </m:e>
          </m:d>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b</m:t>
                          </m:r>
                        </m:sub>
                      </m:sSub>
                    </m:num>
                    <m:den>
                      <m:sSub>
                        <m:sSubPr>
                          <m:ctrlPr>
                            <w:rPr>
                              <w:rFonts w:ascii="Cambria Math" w:hAnsi="Cambria Math"/>
                            </w:rPr>
                          </m:ctrlPr>
                        </m:sSubPr>
                        <m:e>
                          <m:r>
                            <w:rPr>
                              <w:rFonts w:ascii="Cambria Math" w:hAnsi="Cambria Math"/>
                            </w:rPr>
                            <m:t>h</m:t>
                          </m:r>
                        </m:e>
                        <m:sub>
                          <m:r>
                            <w:rPr>
                              <w:rFonts w:ascii="Cambria Math" w:hAnsi="Cambria Math"/>
                            </w:rPr>
                            <m:t>0</m:t>
                          </m:r>
                        </m:sub>
                      </m:sSub>
                    </m:den>
                  </m:f>
                </m:e>
              </m:d>
            </m:e>
            <m:sup>
              <m:r>
                <w:rPr>
                  <w:rFonts w:ascii="Cambria Math" w:hAnsi="Cambria Math"/>
                </w:rPr>
                <m:t>α</m:t>
              </m:r>
            </m:sup>
          </m:sSup>
          <m:r>
            <m:rPr>
              <m:sty m:val="p"/>
            </m:rPr>
            <w:rPr>
              <w:rFonts w:ascii="Cambria Math" w:hAnsi="Cambria Math"/>
            </w:rPr>
            <m:t>,</m:t>
          </m:r>
        </m:oMath>
      </m:oMathPara>
    </w:p>
    <w:p w14:paraId="71BF682F" w14:textId="511FC262" w:rsidR="00626A85" w:rsidRPr="00567357" w:rsidRDefault="00626A85" w:rsidP="006515C6">
      <w:pPr>
        <w:snapToGrid w:val="0"/>
        <w:spacing w:beforeLines="0" w:before="0" w:afterLines="0" w:after="120" w:line="240" w:lineRule="auto"/>
        <w:ind w:firstLineChars="0" w:firstLine="0"/>
      </w:pPr>
      <w:r w:rsidRPr="00567357">
        <w:t xml:space="preserve">where </w:t>
      </w:r>
      <m:oMath>
        <m:sSub>
          <m:sSubPr>
            <m:ctrlPr>
              <w:rPr>
                <w:rFonts w:ascii="Cambria Math" w:hAnsi="Cambria Math"/>
              </w:rPr>
            </m:ctrlPr>
          </m:sSubPr>
          <m:e>
            <m:r>
              <w:rPr>
                <w:rFonts w:ascii="Cambria Math" w:hAnsi="Cambria Math"/>
              </w:rPr>
              <m:t>A</m:t>
            </m:r>
          </m:e>
          <m:sub>
            <m:r>
              <w:rPr>
                <w:rFonts w:ascii="Cambria Math" w:hAnsi="Cambria Math"/>
              </w:rPr>
              <m:t>0</m:t>
            </m:r>
          </m:sub>
        </m:sSub>
        <m:r>
          <m:rPr>
            <m:sty m:val="p"/>
          </m:rPr>
          <w:rPr>
            <w:rFonts w:ascii="Cambria Math" w:hAnsi="Cambria Math"/>
          </w:rPr>
          <m:t>/</m:t>
        </m:r>
        <m:r>
          <w:rPr>
            <w:rFonts w:ascii="Cambria Math" w:hAnsi="Cambria Math"/>
          </w:rPr>
          <m:t>B</m:t>
        </m:r>
      </m:oMath>
      <w:r w:rsidRPr="00567357">
        <w:t xml:space="preserve"> is a reference storage scale, </w:t>
      </w:r>
      <m:oMath>
        <m:sSub>
          <m:sSubPr>
            <m:ctrlPr>
              <w:rPr>
                <w:rFonts w:ascii="Cambria Math" w:hAnsi="Cambria Math"/>
              </w:rPr>
            </m:ctrlPr>
          </m:sSubPr>
          <m:e>
            <m:r>
              <w:rPr>
                <w:rFonts w:ascii="Cambria Math" w:hAnsi="Cambria Math"/>
              </w:rPr>
              <m:t>h</m:t>
            </m:r>
          </m:e>
          <m:sub>
            <m:r>
              <w:rPr>
                <w:rFonts w:ascii="Cambria Math" w:hAnsi="Cambria Math"/>
              </w:rPr>
              <m:t>b</m:t>
            </m:r>
          </m:sub>
        </m:sSub>
      </m:oMath>
      <w:r w:rsidRPr="00567357">
        <w:t xml:space="preserve"> is the instantaneous bay depth, and </w:t>
      </w:r>
      <m:oMath>
        <m:r>
          <w:rPr>
            <w:rFonts w:ascii="Cambria Math" w:hAnsi="Cambria Math"/>
          </w:rPr>
          <m:t>α</m:t>
        </m:r>
      </m:oMath>
      <w:r w:rsidRPr="00567357">
        <w:t xml:space="preserve"> controls the strength of geometric expansion with depth. </w:t>
      </w:r>
      <w:r w:rsidR="00604425" w:rsidRPr="00604425">
        <w:t xml:space="preserve">This formulation is not intended to reproduce site-specific hypsometry, but to span a controlled range of geometric </w:t>
      </w:r>
      <w:proofErr w:type="gramStart"/>
      <w:r w:rsidR="00604425" w:rsidRPr="00604425">
        <w:t>feedbacks</w:t>
      </w:r>
      <w:proofErr w:type="gramEnd"/>
      <w:r w:rsidR="00604425" w:rsidRPr="00604425">
        <w:t xml:space="preserve"> from confined to laterally expansive basins.</w:t>
      </w:r>
      <w:r w:rsidR="00604425">
        <w:rPr>
          <w:rFonts w:hint="eastAsia"/>
        </w:rPr>
        <w:t xml:space="preserve"> </w:t>
      </w:r>
      <w:r w:rsidR="000E7034" w:rsidRPr="000E7034">
        <w:t xml:space="preserve">Here, </w:t>
      </w:r>
      <m:oMath>
        <m:r>
          <w:rPr>
            <w:rFonts w:ascii="Cambria Math" w:hAnsi="Cambria Math"/>
          </w:rPr>
          <m:t>α</m:t>
        </m:r>
      </m:oMath>
      <w:r w:rsidR="00604425">
        <w:rPr>
          <w:rFonts w:hint="eastAsia"/>
        </w:rPr>
        <w:t xml:space="preserve"> </w:t>
      </w:r>
      <w:r w:rsidR="000E7034" w:rsidRPr="000E7034">
        <w:t xml:space="preserve">parameterizes how strongly basin storage expands as water depth increases under sea-level rise. When </w:t>
      </w:r>
      <m:oMath>
        <m:r>
          <w:rPr>
            <w:rFonts w:ascii="Cambria Math" w:hAnsi="Cambria Math"/>
          </w:rPr>
          <m:t>α=0</m:t>
        </m:r>
      </m:oMath>
      <w:r w:rsidR="000E7034" w:rsidRPr="000E7034">
        <w:t xml:space="preserve">, the effective basin area-to-inlet-width ratio is depth-independent, representing a confined basin with little additional inundation of adjacent flats or marsh platforms. When </w:t>
      </w:r>
      <m:oMath>
        <m:r>
          <w:rPr>
            <w:rFonts w:ascii="Cambria Math" w:hAnsi="Cambria Math"/>
          </w:rPr>
          <m:t>α=1</m:t>
        </m:r>
      </m:oMath>
      <w:r w:rsidR="000E7034" w:rsidRPr="000E7034">
        <w:t xml:space="preserve">, storage increases approximately linearly with depth, representing an intermediate case in which rising water levels produce moderate lateral expansion of the flooded area. When </w:t>
      </w:r>
      <m:oMath>
        <m:r>
          <w:rPr>
            <w:rFonts w:ascii="Cambria Math" w:hAnsi="Cambria Math"/>
          </w:rPr>
          <m:t>α=2</m:t>
        </m:r>
      </m:oMath>
      <w:r w:rsidR="000E7034" w:rsidRPr="000E7034">
        <w:t>, storage increases super</w:t>
      </w:r>
      <w:r w:rsidR="00CC7943">
        <w:rPr>
          <w:rFonts w:hint="eastAsia"/>
        </w:rPr>
        <w:t xml:space="preserve"> </w:t>
      </w:r>
      <w:r w:rsidR="000E7034" w:rsidRPr="000E7034">
        <w:t>linearly with depth, representing a low-relief system in which small increases in water level inundate broad surrounding surfaces, such as tidal flats or marsh margins, and therefore generate strong geometric feedback on basin hydrodynamics.</w:t>
      </w:r>
      <w:r w:rsidR="000E7034">
        <w:rPr>
          <w:rFonts w:hint="eastAsia"/>
        </w:rPr>
        <w:t xml:space="preserve"> </w:t>
      </w:r>
      <w:r w:rsidRPr="00567357">
        <w:t>This is the key parameter linking the reduced-order model to accommodation-space feedback.</w:t>
      </w:r>
    </w:p>
    <w:p w14:paraId="570CCA5C" w14:textId="77777777" w:rsidR="00626A85" w:rsidRPr="00567357" w:rsidRDefault="00626A85" w:rsidP="006515C6">
      <w:pPr>
        <w:snapToGrid w:val="0"/>
        <w:spacing w:beforeLines="0" w:before="0" w:afterLines="0" w:after="120" w:line="240" w:lineRule="auto"/>
        <w:ind w:firstLineChars="0" w:firstLine="0"/>
      </w:pPr>
      <w:r w:rsidRPr="00567357">
        <w:t xml:space="preserve">Let </w:t>
      </w:r>
      <m:oMath>
        <m:r>
          <w:rPr>
            <w:rFonts w:ascii="Cambria Math" w:hAnsi="Cambria Math"/>
          </w:rPr>
          <m:t>U</m:t>
        </m:r>
      </m:oMath>
      <w:r w:rsidRPr="00567357">
        <w:t xml:space="preserve"> be the inlet current and </w:t>
      </w:r>
      <m:oMath>
        <m:sSub>
          <m:sSubPr>
            <m:ctrlPr>
              <w:rPr>
                <w:rFonts w:ascii="Cambria Math" w:hAnsi="Cambria Math"/>
              </w:rPr>
            </m:ctrlPr>
          </m:sSubPr>
          <m:e>
            <m:r>
              <w:rPr>
                <w:rFonts w:ascii="Cambria Math" w:hAnsi="Cambria Math"/>
              </w:rPr>
              <m:t>h</m:t>
            </m:r>
          </m:e>
          <m:sub>
            <m:r>
              <m:rPr>
                <m:sty m:val="p"/>
              </m:rPr>
              <w:rPr>
                <w:rFonts w:ascii="Cambria Math" w:hAnsi="Cambria Math"/>
              </w:rPr>
              <m:t>in</m:t>
            </m:r>
          </m:sub>
        </m:sSub>
      </m:oMath>
      <w:r w:rsidRPr="00567357">
        <w:t xml:space="preserve"> the representative inlet depth. Continuity gives</w:t>
      </w:r>
    </w:p>
    <w:p w14:paraId="20BC0BDB"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η</m:t>
                  </m:r>
                </m:e>
                <m:sub>
                  <m:r>
                    <w:rPr>
                      <w:rFonts w:ascii="Cambria Math" w:hAnsi="Cambria Math"/>
                    </w:rPr>
                    <m:t>b</m:t>
                  </m:r>
                </m:sub>
              </m:sSub>
            </m:num>
            <m:den>
              <m:r>
                <w:rPr>
                  <w:rFonts w:ascii="Cambria Math" w:hAnsi="Cambria Math"/>
                </w:rPr>
                <m:t>dt</m:t>
              </m:r>
            </m:den>
          </m:f>
          <m:r>
            <m:rPr>
              <m:sty m:val="p"/>
            </m:rPr>
            <w:rPr>
              <w:rFonts w:ascii="Cambria Math" w:hAnsi="Cambria Math"/>
            </w:rPr>
            <m:t>=</m:t>
          </m:r>
          <m:f>
            <m:fPr>
              <m:ctrlPr>
                <w:rPr>
                  <w:rFonts w:ascii="Cambria Math" w:hAnsi="Cambria Math"/>
                </w:rPr>
              </m:ctrlPr>
            </m:fPr>
            <m:num>
              <m:r>
                <w:rPr>
                  <w:rFonts w:ascii="Cambria Math" w:hAnsi="Cambria Math"/>
                </w:rPr>
                <m:t>Q</m:t>
              </m:r>
            </m:num>
            <m:den>
              <m:sSub>
                <m:sSubPr>
                  <m:ctrlPr>
                    <w:rPr>
                      <w:rFonts w:ascii="Cambria Math" w:hAnsi="Cambria Math"/>
                    </w:rPr>
                  </m:ctrlPr>
                </m:sSubPr>
                <m:e>
                  <m:r>
                    <w:rPr>
                      <w:rFonts w:ascii="Cambria Math" w:hAnsi="Cambria Math"/>
                    </w:rPr>
                    <m:t>A</m:t>
                  </m:r>
                </m:e>
                <m:sub>
                  <m:r>
                    <m:rPr>
                      <m:sty m:val="p"/>
                    </m:rPr>
                    <w:rPr>
                      <w:rFonts w:ascii="Cambria Math" w:hAnsi="Cambria Math"/>
                    </w:rPr>
                    <m:t>basin</m:t>
                  </m:r>
                </m:sub>
              </m:sSub>
            </m:den>
          </m:f>
          <m:r>
            <m:rPr>
              <m:sty m:val="p"/>
            </m:rPr>
            <w:rPr>
              <w:rFonts w:ascii="Cambria Math" w:hAnsi="Cambria Math"/>
            </w:rPr>
            <m:t>=</m:t>
          </m:r>
          <m:f>
            <m:fPr>
              <m:ctrlPr>
                <w:rPr>
                  <w:rFonts w:ascii="Cambria Math" w:hAnsi="Cambria Math"/>
                </w:rPr>
              </m:ctrlPr>
            </m:fPr>
            <m:num>
              <m:r>
                <w:rPr>
                  <w:rFonts w:ascii="Cambria Math" w:hAnsi="Cambria Math"/>
                </w:rPr>
                <m:t>B</m:t>
              </m:r>
              <m:sSub>
                <m:sSubPr>
                  <m:ctrlPr>
                    <w:rPr>
                      <w:rFonts w:ascii="Cambria Math" w:hAnsi="Cambria Math"/>
                    </w:rPr>
                  </m:ctrlPr>
                </m:sSubPr>
                <m:e>
                  <m:r>
                    <w:rPr>
                      <w:rFonts w:ascii="Cambria Math" w:hAnsi="Cambria Math"/>
                    </w:rPr>
                    <m:t>h</m:t>
                  </m:r>
                </m:e>
                <m:sub>
                  <m:r>
                    <m:rPr>
                      <m:sty m:val="p"/>
                    </m:rPr>
                    <w:rPr>
                      <w:rFonts w:ascii="Cambria Math" w:hAnsi="Cambria Math"/>
                    </w:rPr>
                    <m:t>in</m:t>
                  </m:r>
                </m:sub>
              </m:sSub>
              <m:r>
                <w:rPr>
                  <w:rFonts w:ascii="Cambria Math" w:hAnsi="Cambria Math"/>
                </w:rPr>
                <m:t>U</m:t>
              </m:r>
            </m:num>
            <m:den>
              <m:sSub>
                <m:sSubPr>
                  <m:ctrlPr>
                    <w:rPr>
                      <w:rFonts w:ascii="Cambria Math" w:hAnsi="Cambria Math"/>
                    </w:rPr>
                  </m:ctrlPr>
                </m:sSubPr>
                <m:e>
                  <m:r>
                    <w:rPr>
                      <w:rFonts w:ascii="Cambria Math" w:hAnsi="Cambria Math"/>
                    </w:rPr>
                    <m:t>A</m:t>
                  </m:r>
                </m:e>
                <m:sub>
                  <m:r>
                    <m:rPr>
                      <m:sty m:val="p"/>
                    </m:rPr>
                    <w:rPr>
                      <w:rFonts w:ascii="Cambria Math" w:hAnsi="Cambria Math"/>
                    </w:rPr>
                    <m:t>basin</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h</m:t>
                  </m:r>
                </m:e>
                <m:sub>
                  <m:r>
                    <m:rPr>
                      <m:sty m:val="p"/>
                    </m:rPr>
                    <w:rPr>
                      <w:rFonts w:ascii="Cambria Math" w:hAnsi="Cambria Math"/>
                    </w:rPr>
                    <m:t>in</m:t>
                  </m:r>
                </m:sub>
              </m:sSub>
              <m:r>
                <w:rPr>
                  <w:rFonts w:ascii="Cambria Math" w:hAnsi="Cambria Math"/>
                </w:rPr>
                <m:t>U</m:t>
              </m:r>
            </m:num>
            <m:den>
              <m:r>
                <w:rPr>
                  <w:rFonts w:ascii="Cambria Math" w:hAnsi="Cambria Math"/>
                </w:rPr>
                <m:t>A</m:t>
              </m:r>
              <m:r>
                <m:rPr>
                  <m:sty m:val="p"/>
                </m:rPr>
                <w:rPr>
                  <w:rFonts w:ascii="Cambria Math" w:hAnsi="Cambria Math"/>
                </w:rPr>
                <m:t>/</m:t>
              </m:r>
              <m:r>
                <w:rPr>
                  <w:rFonts w:ascii="Cambria Math" w:hAnsi="Cambria Math"/>
                </w:rPr>
                <m:t>B</m:t>
              </m:r>
            </m:den>
          </m:f>
          <m:r>
            <m:rPr>
              <m:sty m:val="p"/>
            </m:rPr>
            <w:rPr>
              <w:rFonts w:ascii="Cambria Math" w:hAnsi="Cambria Math"/>
            </w:rPr>
            <m:t>.</m:t>
          </m:r>
        </m:oMath>
      </m:oMathPara>
    </w:p>
    <w:p w14:paraId="691FA1A1" w14:textId="77777777" w:rsidR="00626A85" w:rsidRPr="00567357" w:rsidRDefault="00626A85" w:rsidP="006515C6">
      <w:pPr>
        <w:snapToGrid w:val="0"/>
        <w:spacing w:beforeLines="0" w:before="0" w:afterLines="0" w:after="120" w:line="240" w:lineRule="auto"/>
        <w:ind w:firstLineChars="0" w:firstLine="0"/>
      </w:pPr>
      <w:r w:rsidRPr="00567357">
        <w:t xml:space="preserve">The model uses the </w:t>
      </w:r>
      <w:proofErr w:type="gramStart"/>
      <w:r w:rsidRPr="00567357">
        <w:t>mean</w:t>
      </w:r>
      <w:proofErr w:type="gramEnd"/>
      <w:r w:rsidRPr="00567357">
        <w:t xml:space="preserve"> of ocean-side and basin-side depths as the representative inlet depth,</w:t>
      </w:r>
    </w:p>
    <w:p w14:paraId="7D888BDB"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h</m:t>
              </m:r>
            </m:e>
            <m:sub>
              <m:r>
                <m:rPr>
                  <m:sty m:val="p"/>
                </m:rPr>
                <w:rPr>
                  <w:rFonts w:ascii="Cambria Math" w:hAnsi="Cambria Math"/>
                </w:rPr>
                <m:t>in</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o</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b</m:t>
                  </m:r>
                </m:sub>
              </m:sSub>
            </m:num>
            <m:den>
              <m:r>
                <w:rPr>
                  <w:rFonts w:ascii="Cambria Math" w:hAnsi="Cambria Math"/>
                </w:rPr>
                <m:t>2</m:t>
              </m:r>
            </m:den>
          </m:f>
          <m:r>
            <m:rPr>
              <m:sty m:val="p"/>
            </m:rPr>
            <w:rPr>
              <w:rFonts w:ascii="Cambria Math" w:hAnsi="Cambria Math"/>
            </w:rPr>
            <m:t>.</m:t>
          </m:r>
        </m:oMath>
      </m:oMathPara>
    </w:p>
    <w:p w14:paraId="7A6A3FC0" w14:textId="77777777" w:rsidR="00626A85" w:rsidRPr="00567357" w:rsidRDefault="00626A85" w:rsidP="006515C6">
      <w:pPr>
        <w:snapToGrid w:val="0"/>
        <w:spacing w:beforeLines="0" w:before="0" w:afterLines="0" w:after="120" w:line="240" w:lineRule="auto"/>
        <w:ind w:firstLineChars="0" w:firstLine="0"/>
      </w:pPr>
      <w:r w:rsidRPr="00567357">
        <w:t xml:space="preserve">The inlet current is computed from a Bernoulli-style head-loss closure. Defining the </w:t>
      </w:r>
      <w:r w:rsidRPr="00567357">
        <w:lastRenderedPageBreak/>
        <w:t>instantaneous head difference as</w:t>
      </w:r>
    </w:p>
    <w:p w14:paraId="591C97DE" w14:textId="77777777" w:rsidR="00626A85" w:rsidRPr="00567357" w:rsidRDefault="00626A85" w:rsidP="006515C6">
      <w:pPr>
        <w:snapToGrid w:val="0"/>
        <w:spacing w:beforeLines="0" w:before="0" w:afterLines="0" w:after="120" w:line="240" w:lineRule="auto"/>
        <w:ind w:firstLineChars="0" w:firstLine="0"/>
      </w:pPr>
      <m:oMathPara>
        <m:oMathParaPr>
          <m:jc m:val="center"/>
        </m:oMathParaPr>
        <m:oMath>
          <m:r>
            <w:rPr>
              <w:rFonts w:ascii="Cambria Math" w:hAnsi="Cambria Math"/>
            </w:rPr>
            <m:t>Δη</m:t>
          </m:r>
          <m:r>
            <m:rPr>
              <m:sty m:val="p"/>
            </m:rPr>
            <w:rPr>
              <w:rFonts w:ascii="Cambria Math" w:hAnsi="Cambria Math"/>
            </w:rPr>
            <m:t>=</m:t>
          </m:r>
          <m:sSub>
            <m:sSubPr>
              <m:ctrlPr>
                <w:rPr>
                  <w:rFonts w:ascii="Cambria Math" w:hAnsi="Cambria Math"/>
                </w:rPr>
              </m:ctrlPr>
            </m:sSubPr>
            <m:e>
              <m:r>
                <w:rPr>
                  <w:rFonts w:ascii="Cambria Math" w:hAnsi="Cambria Math"/>
                </w:rPr>
                <m:t>η</m:t>
              </m:r>
            </m:e>
            <m:sub>
              <m:r>
                <w:rPr>
                  <w:rFonts w:ascii="Cambria Math" w:hAnsi="Cambria Math"/>
                </w:rPr>
                <m:t>o</m:t>
              </m:r>
            </m:sub>
          </m:sSub>
          <m:r>
            <m:rPr>
              <m:sty m:val="p"/>
            </m:rPr>
            <w:rPr>
              <w:rFonts w:ascii="Cambria Math" w:hAnsi="Cambria Math"/>
            </w:rPr>
            <m:t>-</m:t>
          </m:r>
          <m:sSub>
            <m:sSubPr>
              <m:ctrlPr>
                <w:rPr>
                  <w:rFonts w:ascii="Cambria Math" w:hAnsi="Cambria Math"/>
                </w:rPr>
              </m:ctrlPr>
            </m:sSubPr>
            <m:e>
              <m:r>
                <w:rPr>
                  <w:rFonts w:ascii="Cambria Math" w:hAnsi="Cambria Math"/>
                </w:rPr>
                <m:t>η</m:t>
              </m:r>
            </m:e>
            <m:sub>
              <m:r>
                <w:rPr>
                  <w:rFonts w:ascii="Cambria Math" w:hAnsi="Cambria Math"/>
                </w:rPr>
                <m:t>b</m:t>
              </m:r>
            </m:sub>
          </m:sSub>
          <m:r>
            <m:rPr>
              <m:sty m:val="p"/>
            </m:rPr>
            <w:rPr>
              <w:rFonts w:ascii="Cambria Math" w:hAnsi="Cambria Math"/>
            </w:rPr>
            <m:t>,</m:t>
          </m:r>
        </m:oMath>
      </m:oMathPara>
    </w:p>
    <w:p w14:paraId="38FB07E0" w14:textId="77777777" w:rsidR="00626A85" w:rsidRPr="00567357" w:rsidRDefault="00626A85" w:rsidP="006515C6">
      <w:pPr>
        <w:snapToGrid w:val="0"/>
        <w:spacing w:beforeLines="0" w:before="0" w:afterLines="0" w:after="120" w:line="240" w:lineRule="auto"/>
        <w:ind w:firstLineChars="0" w:firstLine="0"/>
      </w:pPr>
      <w:r w:rsidRPr="00567357">
        <w:t>the current speed is</w:t>
      </w:r>
    </w:p>
    <w:p w14:paraId="1169E941" w14:textId="77777777" w:rsidR="00626A85" w:rsidRPr="00567357" w:rsidRDefault="00626A85" w:rsidP="006515C6">
      <w:pPr>
        <w:snapToGrid w:val="0"/>
        <w:spacing w:beforeLines="0" w:before="0" w:afterLines="0" w:after="120" w:line="240" w:lineRule="auto"/>
        <w:ind w:firstLineChars="0" w:firstLine="0"/>
      </w:pPr>
      <m:oMathPara>
        <m:oMathParaPr>
          <m:jc m:val="center"/>
        </m:oMathParaPr>
        <m:oMath>
          <m:r>
            <w:rPr>
              <w:rFonts w:ascii="Cambria Math" w:hAnsi="Cambria Math"/>
            </w:rPr>
            <m:t>U</m:t>
          </m:r>
          <m:r>
            <m:rPr>
              <m:sty m:val="p"/>
            </m:rPr>
            <w:rPr>
              <w:rFonts w:ascii="Cambria Math" w:hAnsi="Cambria Math"/>
            </w:rPr>
            <m:t>=sgn</m:t>
          </m:r>
          <m:d>
            <m:dPr>
              <m:ctrlPr>
                <w:rPr>
                  <w:rFonts w:ascii="Cambria Math" w:hAnsi="Cambria Math"/>
                </w:rPr>
              </m:ctrlPr>
            </m:dPr>
            <m:e>
              <m:r>
                <w:rPr>
                  <w:rFonts w:ascii="Cambria Math" w:hAnsi="Cambria Math"/>
                </w:rPr>
                <m:t>Δη</m:t>
              </m:r>
            </m:e>
          </m:d>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2g</m:t>
                      </m:r>
                      <m:d>
                        <m:dPr>
                          <m:begChr m:val="|"/>
                          <m:endChr m:val="|"/>
                          <m:ctrlPr>
                            <w:rPr>
                              <w:rFonts w:ascii="Cambria Math" w:hAnsi="Cambria Math"/>
                            </w:rPr>
                          </m:ctrlPr>
                        </m:dPr>
                        <m:e>
                          <m:r>
                            <w:rPr>
                              <w:rFonts w:ascii="Cambria Math" w:hAnsi="Cambria Math"/>
                            </w:rPr>
                            <m:t>Δη</m:t>
                          </m:r>
                        </m:e>
                      </m:d>
                    </m:num>
                    <m:den>
                      <m:sSub>
                        <m:sSubPr>
                          <m:ctrlPr>
                            <w:rPr>
                              <w:rFonts w:ascii="Cambria Math" w:hAnsi="Cambria Math"/>
                            </w:rPr>
                          </m:ctrlPr>
                        </m:sSubPr>
                        <m:e>
                          <m:r>
                            <w:rPr>
                              <w:rFonts w:ascii="Cambria Math" w:hAnsi="Cambria Math"/>
                            </w:rPr>
                            <m:t>K</m:t>
                          </m:r>
                        </m:e>
                        <m:sub>
                          <m:r>
                            <m:rPr>
                              <m:sty m:val="p"/>
                            </m:rPr>
                            <w:rPr>
                              <w:rFonts w:ascii="Cambria Math" w:hAnsi="Cambria Math"/>
                            </w:rPr>
                            <m:t>total</m:t>
                          </m:r>
                        </m:sub>
                      </m:sSub>
                    </m:den>
                  </m:f>
                </m:e>
              </m:d>
            </m:e>
            <m:sup>
              <m:r>
                <w:rPr>
                  <w:rFonts w:ascii="Cambria Math" w:hAnsi="Cambria Math"/>
                </w:rPr>
                <m:t>1</m:t>
              </m:r>
              <m:r>
                <m:rPr>
                  <m:sty m:val="p"/>
                </m:rPr>
                <w:rPr>
                  <w:rFonts w:ascii="Cambria Math" w:hAnsi="Cambria Math"/>
                </w:rPr>
                <m:t>/</m:t>
              </m:r>
              <m:r>
                <w:rPr>
                  <w:rFonts w:ascii="Cambria Math" w:hAnsi="Cambria Math"/>
                </w:rPr>
                <m:t>2</m:t>
              </m:r>
            </m:sup>
          </m:sSup>
          <m:r>
            <m:rPr>
              <m:sty m:val="p"/>
            </m:rPr>
            <w:rPr>
              <w:rFonts w:ascii="Cambria Math" w:hAnsi="Cambria Math"/>
            </w:rPr>
            <m:t>,</m:t>
          </m:r>
        </m:oMath>
      </m:oMathPara>
    </w:p>
    <w:p w14:paraId="27262407" w14:textId="77777777" w:rsidR="00626A85" w:rsidRPr="00567357" w:rsidRDefault="00626A85" w:rsidP="006515C6">
      <w:pPr>
        <w:snapToGrid w:val="0"/>
        <w:spacing w:beforeLines="0" w:before="0" w:afterLines="0" w:after="120" w:line="240" w:lineRule="auto"/>
        <w:ind w:firstLineChars="0" w:firstLine="0"/>
      </w:pPr>
      <w:r w:rsidRPr="00567357">
        <w:t>with total loss coefficient</w:t>
      </w:r>
    </w:p>
    <w:p w14:paraId="7D40E9F8"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K</m:t>
              </m:r>
            </m:e>
            <m:sub>
              <m:r>
                <m:rPr>
                  <m:sty m:val="p"/>
                </m:rPr>
                <w:rPr>
                  <w:rFonts w:ascii="Cambria Math" w:hAnsi="Cambria Math"/>
                </w:rPr>
                <m:t>total</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minor</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D</m:t>
              </m:r>
              <m:r>
                <m:rPr>
                  <m:sty m:val="p"/>
                </m:rPr>
                <w:rPr>
                  <w:rFonts w:ascii="Cambria Math" w:hAnsi="Cambria Math"/>
                </w:rPr>
                <m:t>,in</m:t>
              </m:r>
            </m:sub>
          </m:sSub>
          <m:f>
            <m:fPr>
              <m:ctrlPr>
                <w:rPr>
                  <w:rFonts w:ascii="Cambria Math" w:hAnsi="Cambria Math"/>
                </w:rPr>
              </m:ctrlPr>
            </m:fPr>
            <m:num>
              <m:sSub>
                <m:sSubPr>
                  <m:ctrlPr>
                    <w:rPr>
                      <w:rFonts w:ascii="Cambria Math" w:hAnsi="Cambria Math"/>
                    </w:rPr>
                  </m:ctrlPr>
                </m:sSubPr>
                <m:e>
                  <m:r>
                    <w:rPr>
                      <w:rFonts w:ascii="Cambria Math" w:hAnsi="Cambria Math"/>
                    </w:rPr>
                    <m:t>L</m:t>
                  </m:r>
                </m:e>
                <m:sub>
                  <m:r>
                    <m:rPr>
                      <m:sty m:val="p"/>
                    </m:rPr>
                    <w:rPr>
                      <w:rFonts w:ascii="Cambria Math" w:hAnsi="Cambria Math"/>
                    </w:rPr>
                    <m:t>in</m:t>
                  </m:r>
                </m:sub>
              </m:sSub>
            </m:num>
            <m:den>
              <m:sSub>
                <m:sSubPr>
                  <m:ctrlPr>
                    <w:rPr>
                      <w:rFonts w:ascii="Cambria Math" w:hAnsi="Cambria Math"/>
                    </w:rPr>
                  </m:ctrlPr>
                </m:sSubPr>
                <m:e>
                  <m:r>
                    <w:rPr>
                      <w:rFonts w:ascii="Cambria Math" w:hAnsi="Cambria Math"/>
                    </w:rPr>
                    <m:t>h</m:t>
                  </m:r>
                </m:e>
                <m:sub>
                  <m:r>
                    <m:rPr>
                      <m:sty m:val="p"/>
                    </m:rPr>
                    <w:rPr>
                      <w:rFonts w:ascii="Cambria Math" w:hAnsi="Cambria Math"/>
                    </w:rPr>
                    <m:t>in</m:t>
                  </m:r>
                </m:sub>
              </m:sSub>
            </m:den>
          </m:f>
          <m:r>
            <m:rPr>
              <m:sty m:val="p"/>
            </m:rPr>
            <w:rPr>
              <w:rFonts w:ascii="Cambria Math" w:hAnsi="Cambria Math"/>
            </w:rPr>
            <m:t>.</m:t>
          </m:r>
        </m:oMath>
      </m:oMathPara>
    </w:p>
    <w:p w14:paraId="3E5CCF99" w14:textId="77777777" w:rsidR="00626A85" w:rsidRPr="00567357" w:rsidRDefault="00626A85" w:rsidP="006515C6">
      <w:pPr>
        <w:snapToGrid w:val="0"/>
        <w:spacing w:beforeLines="0" w:before="0" w:afterLines="0" w:after="120" w:line="240" w:lineRule="auto"/>
        <w:ind w:firstLineChars="0" w:firstLine="0"/>
      </w:pPr>
      <w:r w:rsidRPr="00567357">
        <w:t xml:space="preserve">Here </w:t>
      </w:r>
      <m:oMath>
        <m:sSub>
          <m:sSubPr>
            <m:ctrlPr>
              <w:rPr>
                <w:rFonts w:ascii="Cambria Math" w:hAnsi="Cambria Math"/>
              </w:rPr>
            </m:ctrlPr>
          </m:sSubPr>
          <m:e>
            <m:r>
              <w:rPr>
                <w:rFonts w:ascii="Cambria Math" w:hAnsi="Cambria Math"/>
              </w:rPr>
              <m:t>L</m:t>
            </m:r>
          </m:e>
          <m:sub>
            <m:r>
              <m:rPr>
                <m:sty m:val="p"/>
              </m:rPr>
              <w:rPr>
                <w:rFonts w:ascii="Cambria Math" w:hAnsi="Cambria Math"/>
              </w:rPr>
              <m:t>in</m:t>
            </m:r>
          </m:sub>
        </m:sSub>
      </m:oMath>
      <w:r w:rsidRPr="00567357">
        <w:t xml:space="preserve"> is inlet length, </w:t>
      </w:r>
      <m:oMath>
        <m:sSub>
          <m:sSubPr>
            <m:ctrlPr>
              <w:rPr>
                <w:rFonts w:ascii="Cambria Math" w:hAnsi="Cambria Math"/>
              </w:rPr>
            </m:ctrlPr>
          </m:sSubPr>
          <m:e>
            <m:r>
              <w:rPr>
                <w:rFonts w:ascii="Cambria Math" w:hAnsi="Cambria Math"/>
              </w:rPr>
              <m:t>K</m:t>
            </m:r>
          </m:e>
          <m:sub>
            <m:r>
              <m:rPr>
                <m:sty m:val="p"/>
              </m:rPr>
              <w:rPr>
                <w:rFonts w:ascii="Cambria Math" w:hAnsi="Cambria Math"/>
              </w:rPr>
              <m:t>minor</m:t>
            </m:r>
          </m:sub>
        </m:sSub>
      </m:oMath>
      <w:r w:rsidRPr="00567357">
        <w:t xml:space="preserve"> is a bulk minor-loss coefficient, and</w:t>
      </w:r>
    </w:p>
    <w:p w14:paraId="0994E7D8"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C</m:t>
              </m:r>
            </m:e>
            <m:sub>
              <m:r>
                <w:rPr>
                  <w:rFonts w:ascii="Cambria Math" w:hAnsi="Cambria Math"/>
                </w:rPr>
                <m:t>D</m:t>
              </m:r>
              <m:r>
                <m:rPr>
                  <m:sty m:val="p"/>
                </m:rPr>
                <w:rPr>
                  <w:rFonts w:ascii="Cambria Math" w:hAnsi="Cambria Math"/>
                </w:rPr>
                <m:t>,in</m:t>
              </m:r>
            </m:sub>
          </m:sSub>
          <m:r>
            <m:rPr>
              <m:sty m:val="p"/>
            </m:rPr>
            <w:rPr>
              <w:rFonts w:ascii="Cambria Math" w:hAnsi="Cambria Math"/>
            </w:rPr>
            <m:t>=</m:t>
          </m:r>
          <m:sSup>
            <m:sSupPr>
              <m:ctrlPr>
                <w:rPr>
                  <w:rFonts w:ascii="Cambria Math" w:hAnsi="Cambria Math"/>
                </w:rPr>
              </m:ctrlPr>
            </m:sSupPr>
            <m:e>
              <m:d>
                <m:dPr>
                  <m:begChr m:val="["/>
                  <m:endChr m:val="]"/>
                  <m:ctrlPr>
                    <w:rPr>
                      <w:rFonts w:ascii="Cambria Math" w:hAnsi="Cambria Math"/>
                    </w:rPr>
                  </m:ctrlPr>
                </m:dPr>
                <m:e>
                  <m:f>
                    <m:fPr>
                      <m:ctrlPr>
                        <w:rPr>
                          <w:rFonts w:ascii="Cambria Math" w:hAnsi="Cambria Math"/>
                        </w:rPr>
                      </m:ctrlPr>
                    </m:fPr>
                    <m:num>
                      <m:r>
                        <w:rPr>
                          <w:rFonts w:ascii="Cambria Math" w:hAnsi="Cambria Math"/>
                        </w:rPr>
                        <m:t>κ</m:t>
                      </m:r>
                    </m:num>
                    <m:den>
                      <m:r>
                        <m:rPr>
                          <m:sty m:val="p"/>
                        </m:rPr>
                        <w:rPr>
                          <w:rFonts w:ascii="Cambria Math" w:hAnsi="Cambria Math"/>
                        </w:rPr>
                        <m:t>ln</m:t>
                      </m:r>
                      <m:d>
                        <m:dPr>
                          <m:ctrlPr>
                            <w:rPr>
                              <w:rFonts w:ascii="Cambria Math" w:hAnsi="Cambria Math"/>
                            </w:rPr>
                          </m:ctrlPr>
                        </m:dPr>
                        <m:e>
                          <m:r>
                            <w:rPr>
                              <w:rFonts w:ascii="Cambria Math" w:hAnsi="Cambria Math"/>
                            </w:rPr>
                            <m:t>30</m:t>
                          </m:r>
                          <m:sSub>
                            <m:sSubPr>
                              <m:ctrlPr>
                                <w:rPr>
                                  <w:rFonts w:ascii="Cambria Math" w:hAnsi="Cambria Math"/>
                                </w:rPr>
                              </m:ctrlPr>
                            </m:sSubPr>
                            <m:e>
                              <m:r>
                                <w:rPr>
                                  <w:rFonts w:ascii="Cambria Math" w:hAnsi="Cambria Math"/>
                                </w:rPr>
                                <m:t>h</m:t>
                              </m:r>
                            </m:e>
                            <m:sub>
                              <m:r>
                                <m:rPr>
                                  <m:sty m:val="p"/>
                                </m:rPr>
                                <w:rPr>
                                  <w:rFonts w:ascii="Cambria Math" w:hAnsi="Cambria Math"/>
                                </w:rPr>
                                <m:t>in</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s</m:t>
                              </m:r>
                              <m:r>
                                <m:rPr>
                                  <m:sty m:val="p"/>
                                </m:rPr>
                                <w:rPr>
                                  <w:rFonts w:ascii="Cambria Math" w:hAnsi="Cambria Math"/>
                                </w:rPr>
                                <m:t>,</m:t>
                              </m:r>
                              <m:r>
                                <w:rPr>
                                  <w:rFonts w:ascii="Cambria Math" w:hAnsi="Cambria Math"/>
                                </w:rPr>
                                <m:t>c</m:t>
                              </m:r>
                            </m:sub>
                          </m:sSub>
                        </m:e>
                      </m:d>
                      <m:r>
                        <m:rPr>
                          <m:sty m:val="p"/>
                        </m:rPr>
                        <w:rPr>
                          <w:rFonts w:ascii="Cambria Math" w:hAnsi="Cambria Math"/>
                        </w:rPr>
                        <m:t>-</m:t>
                      </m:r>
                      <m:r>
                        <w:rPr>
                          <w:rFonts w:ascii="Cambria Math" w:hAnsi="Cambria Math"/>
                        </w:rPr>
                        <m:t>1</m:t>
                      </m:r>
                    </m:den>
                  </m:f>
                </m:e>
              </m:d>
            </m:e>
            <m:sup>
              <m:r>
                <w:rPr>
                  <w:rFonts w:ascii="Cambria Math" w:hAnsi="Cambria Math"/>
                </w:rPr>
                <m:t>2</m:t>
              </m:r>
            </m:sup>
          </m:sSup>
          <m:r>
            <m:rPr>
              <m:sty m:val="p"/>
            </m:rPr>
            <w:rPr>
              <w:rFonts w:ascii="Cambria Math" w:hAnsi="Cambria Math"/>
            </w:rPr>
            <m:t>.</m:t>
          </m:r>
        </m:oMath>
      </m:oMathPara>
    </w:p>
    <w:p w14:paraId="308EF2FB" w14:textId="77777777" w:rsidR="00626A85" w:rsidRPr="00567357" w:rsidRDefault="00626A85" w:rsidP="006515C6">
      <w:pPr>
        <w:snapToGrid w:val="0"/>
        <w:spacing w:beforeLines="0" w:before="0" w:afterLines="0" w:after="120" w:line="240" w:lineRule="auto"/>
        <w:ind w:firstLineChars="0" w:firstLine="0"/>
      </w:pPr>
      <w:r w:rsidRPr="00567357">
        <w:t xml:space="preserve">The prognostic bay water level is then advanced explicitly through time using the continuity equation above. This structure prevents </w:t>
      </w:r>
      <w:proofErr w:type="gramStart"/>
      <w:r w:rsidRPr="00567357">
        <w:t>the unrealistically</w:t>
      </w:r>
      <w:proofErr w:type="gramEnd"/>
      <w:r w:rsidRPr="00567357">
        <w:t xml:space="preserve"> large shallow-water currents that can arise when continuity alone is forced through a very shallow inlet.</w:t>
      </w:r>
    </w:p>
    <w:p w14:paraId="770C52C9" w14:textId="77777777" w:rsidR="00626A85" w:rsidRPr="00567357" w:rsidRDefault="00626A85" w:rsidP="006515C6">
      <w:pPr>
        <w:snapToGrid w:val="0"/>
        <w:spacing w:beforeLines="0" w:before="0" w:afterLines="0" w:after="120" w:line="240" w:lineRule="auto"/>
        <w:ind w:firstLineChars="0" w:firstLine="0"/>
      </w:pPr>
      <w:r w:rsidRPr="00567357">
        <w:t>Wind waves inside the bay are generated rather than prescribed. The implementation uses the finite-depth, finite-fetch Young–Verhagen formulation.</w:t>
      </w:r>
      <w:r>
        <w:rPr>
          <w:vertAlign w:val="superscript"/>
        </w:rPr>
        <w:t>27</w:t>
      </w:r>
      <w:r>
        <w:t xml:space="preserve"> With wind speed </w:t>
      </w:r>
      <m:oMath>
        <m:sSub>
          <m:sSubPr>
            <m:ctrlPr>
              <w:rPr>
                <w:rFonts w:ascii="Cambria Math" w:hAnsi="Cambria Math"/>
              </w:rPr>
            </m:ctrlPr>
          </m:sSubPr>
          <m:e>
            <m:r>
              <w:rPr>
                <w:rFonts w:ascii="Cambria Math" w:hAnsi="Cambria Math"/>
              </w:rPr>
              <m:t>U</m:t>
            </m:r>
          </m:e>
          <m:sub>
            <m:r>
              <w:rPr>
                <w:rFonts w:ascii="Cambria Math" w:hAnsi="Cambria Math"/>
              </w:rPr>
              <m:t>10</m:t>
            </m:r>
          </m:sub>
        </m:sSub>
      </m:oMath>
      <w:r w:rsidRPr="00567357">
        <w:t xml:space="preserve"> and fetch </w:t>
      </w:r>
      <m:oMath>
        <m:r>
          <w:rPr>
            <w:rFonts w:ascii="Cambria Math" w:hAnsi="Cambria Math"/>
          </w:rPr>
          <m:t>F</m:t>
        </m:r>
      </m:oMath>
      <w:r w:rsidRPr="00567357">
        <w:t>,</w:t>
      </w:r>
    </w:p>
    <w:p w14:paraId="2ED0CD6D" w14:textId="77777777" w:rsidR="00626A85" w:rsidRPr="00567357" w:rsidRDefault="00626A85" w:rsidP="006515C6">
      <w:pPr>
        <w:snapToGrid w:val="0"/>
        <w:spacing w:beforeLines="0" w:before="0" w:afterLines="0" w:after="120" w:line="240" w:lineRule="auto"/>
        <w:ind w:firstLineChars="0" w:firstLine="0"/>
      </w:pPr>
      <m:oMathPara>
        <m:oMathParaPr>
          <m:jc m:val="center"/>
        </m:oMathParaPr>
        <m:oMath>
          <m:r>
            <w:rPr>
              <w:rFonts w:ascii="Cambria Math" w:hAnsi="Cambria Math"/>
            </w:rPr>
            <m:t>δ</m:t>
          </m:r>
          <m:r>
            <m:rPr>
              <m:sty m:val="p"/>
            </m:rPr>
            <w:rPr>
              <w:rFonts w:ascii="Cambria Math" w:hAnsi="Cambria Math"/>
            </w:rPr>
            <m:t>=</m:t>
          </m:r>
          <m:f>
            <m:fPr>
              <m:ctrlPr>
                <w:rPr>
                  <w:rFonts w:ascii="Cambria Math" w:hAnsi="Cambria Math"/>
                </w:rPr>
              </m:ctrlPr>
            </m:fPr>
            <m:num>
              <m:r>
                <w:rPr>
                  <w:rFonts w:ascii="Cambria Math" w:hAnsi="Cambria Math"/>
                </w:rPr>
                <m:t>gh</m:t>
              </m:r>
            </m:num>
            <m:den>
              <m:sSubSup>
                <m:sSubSupPr>
                  <m:ctrlPr>
                    <w:rPr>
                      <w:rFonts w:ascii="Cambria Math" w:hAnsi="Cambria Math"/>
                    </w:rPr>
                  </m:ctrlPr>
                </m:sSubSupPr>
                <m:e>
                  <m:r>
                    <w:rPr>
                      <w:rFonts w:ascii="Cambria Math" w:hAnsi="Cambria Math"/>
                    </w:rPr>
                    <m:t>U</m:t>
                  </m:r>
                </m:e>
                <m:sub>
                  <m:r>
                    <w:rPr>
                      <w:rFonts w:ascii="Cambria Math" w:hAnsi="Cambria Math"/>
                    </w:rPr>
                    <m:t>10</m:t>
                  </m:r>
                </m:sub>
                <m:sup>
                  <m:r>
                    <w:rPr>
                      <w:rFonts w:ascii="Cambria Math" w:hAnsi="Cambria Math"/>
                    </w:rPr>
                    <m:t>2</m:t>
                  </m:r>
                </m:sup>
              </m:sSubSup>
            </m:den>
          </m:f>
          <m:r>
            <m:rPr>
              <m:sty m:val="p"/>
            </m:rPr>
            <w:rPr>
              <w:rFonts w:ascii="Cambria Math" w:hAnsi="Cambria Math"/>
            </w:rPr>
            <m:t>,</m:t>
          </m:r>
          <m:r>
            <w:rPr>
              <w:rFonts w:ascii="Cambria Math" w:hAnsi="Cambria Math"/>
            </w:rPr>
            <m:t>  X</m:t>
          </m:r>
          <m:r>
            <m:rPr>
              <m:sty m:val="p"/>
            </m:rPr>
            <w:rPr>
              <w:rFonts w:ascii="Cambria Math" w:hAnsi="Cambria Math"/>
            </w:rPr>
            <m:t>=</m:t>
          </m:r>
          <m:f>
            <m:fPr>
              <m:ctrlPr>
                <w:rPr>
                  <w:rFonts w:ascii="Cambria Math" w:hAnsi="Cambria Math"/>
                </w:rPr>
              </m:ctrlPr>
            </m:fPr>
            <m:num>
              <m:r>
                <w:rPr>
                  <w:rFonts w:ascii="Cambria Math" w:hAnsi="Cambria Math"/>
                </w:rPr>
                <m:t>gF</m:t>
              </m:r>
            </m:num>
            <m:den>
              <m:sSubSup>
                <m:sSubSupPr>
                  <m:ctrlPr>
                    <w:rPr>
                      <w:rFonts w:ascii="Cambria Math" w:hAnsi="Cambria Math"/>
                    </w:rPr>
                  </m:ctrlPr>
                </m:sSubSupPr>
                <m:e>
                  <m:r>
                    <w:rPr>
                      <w:rFonts w:ascii="Cambria Math" w:hAnsi="Cambria Math"/>
                    </w:rPr>
                    <m:t>U</m:t>
                  </m:r>
                </m:e>
                <m:sub>
                  <m:r>
                    <w:rPr>
                      <w:rFonts w:ascii="Cambria Math" w:hAnsi="Cambria Math"/>
                    </w:rPr>
                    <m:t>10</m:t>
                  </m:r>
                </m:sub>
                <m:sup>
                  <m:r>
                    <w:rPr>
                      <w:rFonts w:ascii="Cambria Math" w:hAnsi="Cambria Math"/>
                    </w:rPr>
                    <m:t>2</m:t>
                  </m:r>
                </m:sup>
              </m:sSubSup>
            </m:den>
          </m:f>
          <m:r>
            <m:rPr>
              <m:sty m:val="p"/>
            </m:rPr>
            <w:rPr>
              <w:rFonts w:ascii="Cambria Math" w:hAnsi="Cambria Math"/>
            </w:rPr>
            <m:t>,</m:t>
          </m:r>
        </m:oMath>
      </m:oMathPara>
    </w:p>
    <w:p w14:paraId="1B65915C"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A</m:t>
              </m:r>
            </m:e>
            <m:sub>
              <m:r>
                <w:rPr>
                  <w:rFonts w:ascii="Cambria Math" w:hAnsi="Cambria Math"/>
                </w:rPr>
                <m:t>1</m:t>
              </m:r>
            </m:sub>
          </m:sSub>
          <m:r>
            <m:rPr>
              <m:sty m:val="p"/>
            </m:rPr>
            <w:rPr>
              <w:rFonts w:ascii="Cambria Math" w:hAnsi="Cambria Math"/>
            </w:rPr>
            <m:t>=</m:t>
          </m:r>
          <m:r>
            <w:rPr>
              <w:rFonts w:ascii="Cambria Math" w:hAnsi="Cambria Math"/>
            </w:rPr>
            <m:t>0.493 </m:t>
          </m:r>
          <m:sSup>
            <m:sSupPr>
              <m:ctrlPr>
                <w:rPr>
                  <w:rFonts w:ascii="Cambria Math" w:hAnsi="Cambria Math"/>
                </w:rPr>
              </m:ctrlPr>
            </m:sSupPr>
            <m:e>
              <m:r>
                <w:rPr>
                  <w:rFonts w:ascii="Cambria Math" w:hAnsi="Cambria Math"/>
                </w:rPr>
                <m:t>δ</m:t>
              </m:r>
            </m:e>
            <m:sup>
              <m:r>
                <w:rPr>
                  <w:rFonts w:ascii="Cambria Math" w:hAnsi="Cambria Math"/>
                </w:rPr>
                <m:t>0.75</m:t>
              </m:r>
            </m:sup>
          </m:sSup>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B</m:t>
              </m:r>
            </m:e>
            <m:sub>
              <m:r>
                <w:rPr>
                  <w:rFonts w:ascii="Cambria Math" w:hAnsi="Cambria Math"/>
                </w:rPr>
                <m:t>1</m:t>
              </m:r>
            </m:sub>
          </m:sSub>
          <m:r>
            <m:rPr>
              <m:sty m:val="p"/>
            </m:rPr>
            <w:rPr>
              <w:rFonts w:ascii="Cambria Math" w:hAnsi="Cambria Math"/>
            </w:rPr>
            <m:t>=</m:t>
          </m:r>
          <m:r>
            <w:rPr>
              <w:rFonts w:ascii="Cambria Math" w:hAnsi="Cambria Math"/>
            </w:rPr>
            <m:t>0.00313 </m:t>
          </m:r>
          <m:sSup>
            <m:sSupPr>
              <m:ctrlPr>
                <w:rPr>
                  <w:rFonts w:ascii="Cambria Math" w:hAnsi="Cambria Math"/>
                </w:rPr>
              </m:ctrlPr>
            </m:sSupPr>
            <m:e>
              <m:r>
                <w:rPr>
                  <w:rFonts w:ascii="Cambria Math" w:hAnsi="Cambria Math"/>
                </w:rPr>
                <m:t>X</m:t>
              </m:r>
            </m:e>
            <m:sup>
              <m:r>
                <w:rPr>
                  <w:rFonts w:ascii="Cambria Math" w:hAnsi="Cambria Math"/>
                </w:rPr>
                <m:t>0.57</m:t>
              </m:r>
            </m:sup>
          </m:sSup>
          <m:r>
            <m:rPr>
              <m:sty m:val="p"/>
            </m:rPr>
            <w:rPr>
              <w:rFonts w:ascii="Cambria Math" w:hAnsi="Cambria Math"/>
            </w:rPr>
            <m:t>,</m:t>
          </m:r>
        </m:oMath>
      </m:oMathPara>
    </w:p>
    <w:p w14:paraId="22864A32"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sSub>
            <m:sSubPr>
              <m:ctrlPr>
                <w:rPr>
                  <w:rFonts w:ascii="Cambria Math" w:hAnsi="Cambria Math"/>
                </w:rPr>
              </m:ctrlPr>
            </m:sSubPr>
            <m:e>
              <m:r>
                <w:rPr>
                  <w:rFonts w:ascii="Cambria Math" w:hAnsi="Cambria Math"/>
                </w:rPr>
                <m:t>A</m:t>
              </m:r>
            </m:e>
            <m:sub>
              <m:r>
                <w:rPr>
                  <w:rFonts w:ascii="Cambria Math" w:hAnsi="Cambria Math"/>
                </w:rPr>
                <m:t>2</m:t>
              </m:r>
            </m:sub>
          </m:sSub>
          <m:r>
            <m:rPr>
              <m:sty m:val="p"/>
            </m:rPr>
            <w:rPr>
              <w:rFonts w:ascii="Cambria Math" w:hAnsi="Cambria Math"/>
            </w:rPr>
            <m:t>=</m:t>
          </m:r>
          <m:r>
            <w:rPr>
              <w:rFonts w:ascii="Cambria Math" w:hAnsi="Cambria Math"/>
            </w:rPr>
            <m:t>0.331 </m:t>
          </m:r>
          <m:sSup>
            <m:sSupPr>
              <m:ctrlPr>
                <w:rPr>
                  <w:rFonts w:ascii="Cambria Math" w:hAnsi="Cambria Math"/>
                </w:rPr>
              </m:ctrlPr>
            </m:sSupPr>
            <m:e>
              <m:r>
                <w:rPr>
                  <w:rFonts w:ascii="Cambria Math" w:hAnsi="Cambria Math"/>
                </w:rPr>
                <m:t>δ</m:t>
              </m:r>
            </m:e>
            <m:sup>
              <m:r>
                <w:rPr>
                  <w:rFonts w:ascii="Cambria Math" w:hAnsi="Cambria Math"/>
                </w:rPr>
                <m:t>1.01</m:t>
              </m:r>
            </m:sup>
          </m:sSup>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B</m:t>
              </m:r>
            </m:e>
            <m:sub>
              <m:r>
                <w:rPr>
                  <w:rFonts w:ascii="Cambria Math" w:hAnsi="Cambria Math"/>
                </w:rPr>
                <m:t>2</m:t>
              </m:r>
            </m:sub>
          </m:sSub>
          <m:r>
            <m:rPr>
              <m:sty m:val="p"/>
            </m:rPr>
            <w:rPr>
              <w:rFonts w:ascii="Cambria Math" w:hAnsi="Cambria Math"/>
            </w:rPr>
            <m:t>=</m:t>
          </m:r>
          <m:r>
            <w:rPr>
              <w:rFonts w:ascii="Cambria Math" w:hAnsi="Cambria Math"/>
            </w:rPr>
            <m:t>0.0005215 </m:t>
          </m:r>
          <m:sSup>
            <m:sSupPr>
              <m:ctrlPr>
                <w:rPr>
                  <w:rFonts w:ascii="Cambria Math" w:hAnsi="Cambria Math"/>
                </w:rPr>
              </m:ctrlPr>
            </m:sSupPr>
            <m:e>
              <m:r>
                <w:rPr>
                  <w:rFonts w:ascii="Cambria Math" w:hAnsi="Cambria Math"/>
                </w:rPr>
                <m:t>X</m:t>
              </m:r>
            </m:e>
            <m:sup>
              <m:r>
                <w:rPr>
                  <w:rFonts w:ascii="Cambria Math" w:hAnsi="Cambria Math"/>
                </w:rPr>
                <m:t>0.73</m:t>
              </m:r>
            </m:sup>
          </m:sSup>
          <m:r>
            <m:rPr>
              <m:sty m:val="p"/>
            </m:rPr>
            <w:rPr>
              <w:rFonts w:ascii="Cambria Math" w:hAnsi="Cambria Math"/>
            </w:rPr>
            <m:t>.</m:t>
          </m:r>
        </m:oMath>
      </m:oMathPara>
    </w:p>
    <w:p w14:paraId="14D9167D" w14:textId="77777777" w:rsidR="00626A85" w:rsidRPr="00567357" w:rsidRDefault="00626A85" w:rsidP="006515C6">
      <w:pPr>
        <w:snapToGrid w:val="0"/>
        <w:spacing w:beforeLines="0" w:before="0" w:afterLines="0" w:after="120" w:line="240" w:lineRule="auto"/>
        <w:ind w:firstLineChars="0" w:firstLine="0"/>
      </w:pPr>
      <w:r w:rsidRPr="00567357">
        <w:t>The non-dimensional energy and frequency variables are</w:t>
      </w:r>
    </w:p>
    <w:p w14:paraId="67408755"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acc>
            <m:accPr>
              <m:chr m:val="̃"/>
              <m:ctrlPr>
                <w:rPr>
                  <w:rFonts w:ascii="Cambria Math" w:hAnsi="Cambria Math"/>
                </w:rPr>
              </m:ctrlPr>
            </m:accPr>
            <m:e>
              <m:r>
                <w:rPr>
                  <w:rFonts w:ascii="Cambria Math" w:hAnsi="Cambria Math"/>
                </w:rPr>
                <m:t>E</m:t>
              </m:r>
            </m:e>
          </m:acc>
          <m:r>
            <m:rPr>
              <m:sty m:val="p"/>
            </m:rPr>
            <w:rPr>
              <w:rFonts w:ascii="Cambria Math" w:hAnsi="Cambria Math"/>
            </w:rPr>
            <m:t>=</m:t>
          </m:r>
          <m:r>
            <w:rPr>
              <w:rFonts w:ascii="Cambria Math" w:hAnsi="Cambria Math"/>
            </w:rPr>
            <m:t>0.00364</m:t>
          </m:r>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tanh</m:t>
                  </m:r>
                  <m:d>
                    <m:dPr>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1</m:t>
                          </m:r>
                        </m:sub>
                      </m:sSub>
                    </m:e>
                  </m:d>
                  <m:r>
                    <m:rPr>
                      <m:sty m:val="p"/>
                    </m:rPr>
                    <w:rPr>
                      <w:rFonts w:ascii="Cambria Math" w:hAnsi="Cambria Math"/>
                    </w:rPr>
                    <m:t>tanh</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B</m:t>
                              </m:r>
                            </m:e>
                            <m:sub>
                              <m:r>
                                <w:rPr>
                                  <w:rFonts w:ascii="Cambria Math" w:hAnsi="Cambria Math"/>
                                </w:rPr>
                                <m:t>1</m:t>
                              </m:r>
                            </m:sub>
                          </m:sSub>
                        </m:num>
                        <m:den>
                          <m:r>
                            <m:rPr>
                              <m:sty m:val="p"/>
                            </m:rPr>
                            <w:rPr>
                              <w:rFonts w:ascii="Cambria Math" w:hAnsi="Cambria Math"/>
                            </w:rPr>
                            <m:t>tanh</m:t>
                          </m:r>
                          <m:d>
                            <m:dPr>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1</m:t>
                                  </m:r>
                                </m:sub>
                              </m:sSub>
                            </m:e>
                          </m:d>
                        </m:den>
                      </m:f>
                    </m:e>
                  </m:d>
                </m:e>
              </m:d>
            </m:e>
            <m:sup>
              <m:r>
                <w:rPr>
                  <w:rFonts w:ascii="Cambria Math" w:hAnsi="Cambria Math"/>
                </w:rPr>
                <m:t>1.74</m:t>
              </m:r>
            </m:sup>
          </m:sSup>
          <m:r>
            <m:rPr>
              <m:sty m:val="p"/>
            </m:rPr>
            <w:rPr>
              <w:rFonts w:ascii="Cambria Math" w:hAnsi="Cambria Math"/>
            </w:rPr>
            <m:t>,</m:t>
          </m:r>
        </m:oMath>
      </m:oMathPara>
    </w:p>
    <w:p w14:paraId="3194C47C"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acc>
            <m:accPr>
              <m:chr m:val="̃"/>
              <m:ctrlPr>
                <w:rPr>
                  <w:rFonts w:ascii="Cambria Math" w:hAnsi="Cambria Math"/>
                </w:rPr>
              </m:ctrlPr>
            </m:accPr>
            <m:e>
              <m:r>
                <w:rPr>
                  <w:rFonts w:ascii="Cambria Math" w:hAnsi="Cambria Math"/>
                </w:rPr>
                <m:t>ν</m:t>
              </m:r>
            </m:e>
          </m:acc>
          <m:r>
            <m:rPr>
              <m:sty m:val="p"/>
            </m:rPr>
            <w:rPr>
              <w:rFonts w:ascii="Cambria Math" w:hAnsi="Cambria Math"/>
            </w:rPr>
            <m:t>=</m:t>
          </m:r>
          <m:r>
            <w:rPr>
              <w:rFonts w:ascii="Cambria Math" w:hAnsi="Cambria Math"/>
            </w:rPr>
            <m:t>0.133</m:t>
          </m:r>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tanh</m:t>
                  </m:r>
                  <m:d>
                    <m:dPr>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2</m:t>
                          </m:r>
                        </m:sub>
                      </m:sSub>
                    </m:e>
                  </m:d>
                  <m:r>
                    <m:rPr>
                      <m:sty m:val="p"/>
                    </m:rPr>
                    <w:rPr>
                      <w:rFonts w:ascii="Cambria Math" w:hAnsi="Cambria Math"/>
                    </w:rPr>
                    <m:t>tanh</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B</m:t>
                              </m:r>
                            </m:e>
                            <m:sub>
                              <m:r>
                                <w:rPr>
                                  <w:rFonts w:ascii="Cambria Math" w:hAnsi="Cambria Math"/>
                                </w:rPr>
                                <m:t>2</m:t>
                              </m:r>
                            </m:sub>
                          </m:sSub>
                        </m:num>
                        <m:den>
                          <m:r>
                            <m:rPr>
                              <m:sty m:val="p"/>
                            </m:rPr>
                            <w:rPr>
                              <w:rFonts w:ascii="Cambria Math" w:hAnsi="Cambria Math"/>
                            </w:rPr>
                            <m:t>tanh</m:t>
                          </m:r>
                          <m:d>
                            <m:dPr>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2</m:t>
                                  </m:r>
                                </m:sub>
                              </m:sSub>
                            </m:e>
                          </m:d>
                        </m:den>
                      </m:f>
                    </m:e>
                  </m:d>
                </m:e>
              </m:d>
            </m:e>
            <m:sup>
              <m:r>
                <m:rPr>
                  <m:sty m:val="p"/>
                </m:rPr>
                <w:rPr>
                  <w:rFonts w:ascii="Cambria Math" w:hAnsi="Cambria Math"/>
                </w:rPr>
                <m:t>-</m:t>
              </m:r>
              <m:r>
                <w:rPr>
                  <w:rFonts w:ascii="Cambria Math" w:hAnsi="Cambria Math"/>
                </w:rPr>
                <m:t>0.37</m:t>
              </m:r>
            </m:sup>
          </m:sSup>
          <m:r>
            <m:rPr>
              <m:sty m:val="p"/>
            </m:rPr>
            <w:rPr>
              <w:rFonts w:ascii="Cambria Math" w:hAnsi="Cambria Math"/>
            </w:rPr>
            <m:t>.</m:t>
          </m:r>
        </m:oMath>
      </m:oMathPara>
    </w:p>
    <w:p w14:paraId="3342A582" w14:textId="77777777" w:rsidR="00626A85" w:rsidRPr="00567357" w:rsidRDefault="00626A85" w:rsidP="006515C6">
      <w:pPr>
        <w:snapToGrid w:val="0"/>
        <w:spacing w:beforeLines="0" w:before="0" w:afterLines="0" w:after="120" w:line="240" w:lineRule="auto"/>
        <w:ind w:firstLineChars="0" w:firstLine="0"/>
      </w:pPr>
      <w:r w:rsidRPr="00567357">
        <w:t>These are converted to dimensional wave properties as</w:t>
      </w:r>
    </w:p>
    <w:p w14:paraId="1ED44B9D" w14:textId="77777777" w:rsidR="00626A85" w:rsidRPr="00567357" w:rsidRDefault="00626A85" w:rsidP="006515C6">
      <w:pPr>
        <w:snapToGrid w:val="0"/>
        <w:spacing w:beforeLines="0" w:before="0" w:afterLines="0" w:after="120" w:line="240" w:lineRule="auto"/>
        <w:ind w:firstLineChars="0" w:firstLine="0"/>
      </w:pPr>
      <m:oMathPara>
        <m:oMathParaPr>
          <m:jc m:val="center"/>
        </m:oMathParaPr>
        <m:oMath>
          <m:r>
            <w:rPr>
              <w:rFonts w:ascii="Cambria Math" w:hAnsi="Cambria Math"/>
            </w:rPr>
            <m:t>E</m:t>
          </m:r>
          <m:r>
            <m:rPr>
              <m:sty m:val="p"/>
            </m:rPr>
            <w:rPr>
              <w:rFonts w:ascii="Cambria Math" w:hAnsi="Cambria Math"/>
            </w:rPr>
            <m:t>=</m:t>
          </m:r>
          <m:acc>
            <m:accPr>
              <m:chr m:val="̃"/>
              <m:ctrlPr>
                <w:rPr>
                  <w:rFonts w:ascii="Cambria Math" w:hAnsi="Cambria Math"/>
                </w:rPr>
              </m:ctrlPr>
            </m:accPr>
            <m:e>
              <m:r>
                <w:rPr>
                  <w:rFonts w:ascii="Cambria Math" w:hAnsi="Cambria Math"/>
                </w:rPr>
                <m:t>E</m:t>
              </m:r>
            </m:e>
          </m:acc>
          <m:f>
            <m:fPr>
              <m:ctrlPr>
                <w:rPr>
                  <w:rFonts w:ascii="Cambria Math" w:hAnsi="Cambria Math"/>
                </w:rPr>
              </m:ctrlPr>
            </m:fPr>
            <m:num>
              <m:sSubSup>
                <m:sSubSupPr>
                  <m:ctrlPr>
                    <w:rPr>
                      <w:rFonts w:ascii="Cambria Math" w:hAnsi="Cambria Math"/>
                    </w:rPr>
                  </m:ctrlPr>
                </m:sSubSupPr>
                <m:e>
                  <m:r>
                    <w:rPr>
                      <w:rFonts w:ascii="Cambria Math" w:hAnsi="Cambria Math"/>
                    </w:rPr>
                    <m:t>U</m:t>
                  </m:r>
                </m:e>
                <m:sub>
                  <m:r>
                    <w:rPr>
                      <w:rFonts w:ascii="Cambria Math" w:hAnsi="Cambria Math"/>
                    </w:rPr>
                    <m:t>10</m:t>
                  </m:r>
                </m:sub>
                <m:sup>
                  <m:r>
                    <w:rPr>
                      <w:rFonts w:ascii="Cambria Math" w:hAnsi="Cambria Math"/>
                    </w:rPr>
                    <m:t>4</m:t>
                  </m:r>
                </m:sup>
              </m:sSubSup>
            </m:num>
            <m:den>
              <m:sSup>
                <m:sSupPr>
                  <m:ctrlPr>
                    <w:rPr>
                      <w:rFonts w:ascii="Cambria Math" w:hAnsi="Cambria Math"/>
                    </w:rPr>
                  </m:ctrlPr>
                </m:sSupPr>
                <m:e>
                  <m:r>
                    <w:rPr>
                      <w:rFonts w:ascii="Cambria Math" w:hAnsi="Cambria Math"/>
                    </w:rPr>
                    <m:t>g</m:t>
                  </m:r>
                </m:e>
                <m:sup>
                  <m:r>
                    <w:rPr>
                      <w:rFonts w:ascii="Cambria Math" w:hAnsi="Cambria Math"/>
                    </w:rPr>
                    <m:t>2</m:t>
                  </m:r>
                </m:sup>
              </m:sSup>
            </m:den>
          </m:f>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H</m:t>
              </m:r>
            </m:e>
            <m:sub>
              <m:r>
                <w:rPr>
                  <w:rFonts w:ascii="Cambria Math" w:hAnsi="Cambria Math"/>
                </w:rPr>
                <m:t>s</m:t>
              </m:r>
              <m:r>
                <m:rPr>
                  <m:sty m:val="p"/>
                </m:rPr>
                <w:rPr>
                  <w:rFonts w:ascii="Cambria Math" w:hAnsi="Cambria Math"/>
                </w:rPr>
                <m:t>,raw</m:t>
              </m:r>
            </m:sub>
          </m:sSub>
          <m:r>
            <m:rPr>
              <m:sty m:val="p"/>
            </m:rPr>
            <w:rPr>
              <w:rFonts w:ascii="Cambria Math" w:hAnsi="Cambria Math"/>
            </w:rPr>
            <m:t>=</m:t>
          </m:r>
          <m:r>
            <w:rPr>
              <w:rFonts w:ascii="Cambria Math" w:hAnsi="Cambria Math"/>
            </w:rPr>
            <m:t>4</m:t>
          </m:r>
          <m:rad>
            <m:radPr>
              <m:degHide m:val="1"/>
              <m:ctrlPr>
                <w:rPr>
                  <w:rFonts w:ascii="Cambria Math" w:hAnsi="Cambria Math"/>
                </w:rPr>
              </m:ctrlPr>
            </m:radPr>
            <m:deg/>
            <m:e>
              <m:r>
                <w:rPr>
                  <w:rFonts w:ascii="Cambria Math" w:hAnsi="Cambria Math"/>
                </w:rPr>
                <m:t>E</m:t>
              </m:r>
            </m:e>
          </m:rad>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T</m:t>
              </m:r>
            </m:e>
            <m:sub>
              <m:r>
                <w:rPr>
                  <w:rFonts w:ascii="Cambria Math" w:hAnsi="Cambria Math"/>
                </w:rPr>
                <m:t>p</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U</m:t>
                  </m:r>
                </m:e>
                <m:sub>
                  <m:r>
                    <w:rPr>
                      <w:rFonts w:ascii="Cambria Math" w:hAnsi="Cambria Math"/>
                    </w:rPr>
                    <m:t>10</m:t>
                  </m:r>
                </m:sub>
              </m:sSub>
            </m:num>
            <m:den>
              <m:r>
                <w:rPr>
                  <w:rFonts w:ascii="Cambria Math" w:hAnsi="Cambria Math"/>
                </w:rPr>
                <m:t>g</m:t>
              </m:r>
              <m:acc>
                <m:accPr>
                  <m:chr m:val="̃"/>
                  <m:ctrlPr>
                    <w:rPr>
                      <w:rFonts w:ascii="Cambria Math" w:hAnsi="Cambria Math"/>
                    </w:rPr>
                  </m:ctrlPr>
                </m:accPr>
                <m:e>
                  <m:r>
                    <w:rPr>
                      <w:rFonts w:ascii="Cambria Math" w:hAnsi="Cambria Math"/>
                    </w:rPr>
                    <m:t>ν</m:t>
                  </m:r>
                </m:e>
              </m:acc>
            </m:den>
          </m:f>
          <m:r>
            <m:rPr>
              <m:sty m:val="p"/>
            </m:rPr>
            <w:rPr>
              <w:rFonts w:ascii="Cambria Math" w:hAnsi="Cambria Math"/>
            </w:rPr>
            <m:t>,</m:t>
          </m:r>
        </m:oMath>
      </m:oMathPara>
    </w:p>
    <w:p w14:paraId="51658247" w14:textId="77777777" w:rsidR="00626A85" w:rsidRPr="00567357" w:rsidRDefault="00626A85" w:rsidP="006515C6">
      <w:pPr>
        <w:snapToGrid w:val="0"/>
        <w:spacing w:beforeLines="0" w:before="0" w:afterLines="0" w:after="120" w:line="240" w:lineRule="auto"/>
        <w:ind w:firstLineChars="0" w:firstLine="0"/>
      </w:pPr>
      <w:r w:rsidRPr="00567357">
        <w:t>after which the same depth-limited breaking correction and wave-stress calculation are applied.</w:t>
      </w:r>
    </w:p>
    <w:p w14:paraId="3E43B922" w14:textId="77777777" w:rsidR="00626A85" w:rsidRPr="00567357" w:rsidRDefault="00626A85" w:rsidP="006515C6">
      <w:pPr>
        <w:snapToGrid w:val="0"/>
        <w:spacing w:beforeLines="0" w:before="0" w:afterLines="0" w:after="120" w:line="240" w:lineRule="auto"/>
        <w:ind w:firstLineChars="0" w:firstLine="0"/>
        <w:rPr>
          <w:i/>
          <w:iCs/>
        </w:rPr>
      </w:pPr>
      <w:bookmarkStart w:id="6" w:name="X0485941a8f213576216e980df2ca7ea7a3f9381"/>
      <w:bookmarkEnd w:id="3"/>
      <w:bookmarkEnd w:id="5"/>
      <w:r w:rsidRPr="00567357">
        <w:rPr>
          <w:i/>
          <w:iCs/>
        </w:rPr>
        <w:t>Numerical implementation and parameter choices</w:t>
      </w:r>
    </w:p>
    <w:p w14:paraId="472210F0" w14:textId="77777777" w:rsidR="00626A85" w:rsidRPr="00567357" w:rsidRDefault="00626A85" w:rsidP="006515C6">
      <w:pPr>
        <w:snapToGrid w:val="0"/>
        <w:spacing w:beforeLines="0" w:before="0" w:afterLines="0" w:after="120" w:line="240" w:lineRule="auto"/>
        <w:ind w:firstLineChars="0" w:firstLine="0"/>
      </w:pPr>
      <w:r w:rsidRPr="00567357">
        <w:t xml:space="preserve">The model is evaluated on a rectangular parameter grid rather than at a specific field site. Initial depth spans </w:t>
      </w:r>
      <m:oMath>
        <m:r>
          <w:rPr>
            <w:rFonts w:ascii="Cambria Math" w:hAnsi="Cambria Math"/>
          </w:rPr>
          <m:t>0.5</m:t>
        </m:r>
      </m:oMath>
      <w:r w:rsidRPr="00567357">
        <w:t>–</w:t>
      </w:r>
      <m:oMath>
        <m:r>
          <w:rPr>
            <w:rFonts w:ascii="Cambria Math" w:hAnsi="Cambria Math"/>
          </w:rPr>
          <m:t>20.0 </m:t>
        </m:r>
        <m:r>
          <m:rPr>
            <m:sty m:val="p"/>
          </m:rPr>
          <w:rPr>
            <w:rFonts w:ascii="Cambria Math" w:hAnsi="Cambria Math"/>
          </w:rPr>
          <m:t>m</m:t>
        </m:r>
      </m:oMath>
      <w:r w:rsidRPr="00567357">
        <w:t xml:space="preserve"> using 80 evenly spaced values, and tidal range spans </w:t>
      </w:r>
      <m:oMath>
        <m:r>
          <w:rPr>
            <w:rFonts w:ascii="Cambria Math" w:hAnsi="Cambria Math"/>
          </w:rPr>
          <m:t>0.2</m:t>
        </m:r>
      </m:oMath>
      <w:r w:rsidRPr="00567357">
        <w:t>–</w:t>
      </w:r>
      <m:oMath>
        <m:r>
          <w:rPr>
            <w:rFonts w:ascii="Cambria Math" w:hAnsi="Cambria Math"/>
          </w:rPr>
          <m:t>5.0 </m:t>
        </m:r>
        <m:r>
          <m:rPr>
            <m:sty m:val="p"/>
          </m:rPr>
          <w:rPr>
            <w:rFonts w:ascii="Cambria Math" w:hAnsi="Cambria Math"/>
          </w:rPr>
          <m:t>m</m:t>
        </m:r>
      </m:oMath>
      <w:r w:rsidRPr="00567357">
        <w:t xml:space="preserve"> using 97 evenly spaced values. Main SLR experiments use rates of </w:t>
      </w:r>
      <m:oMath>
        <m:r>
          <w:rPr>
            <w:rFonts w:ascii="Cambria Math" w:hAnsi="Cambria Math"/>
          </w:rPr>
          <m:t>3</m:t>
        </m:r>
      </m:oMath>
      <w:r w:rsidRPr="00567357">
        <w:t xml:space="preserve">, </w:t>
      </w:r>
      <m:oMath>
        <m:r>
          <w:rPr>
            <w:rFonts w:ascii="Cambria Math" w:hAnsi="Cambria Math"/>
          </w:rPr>
          <m:t>6</m:t>
        </m:r>
      </m:oMath>
      <w:r w:rsidRPr="00567357">
        <w:t xml:space="preserve">, and </w:t>
      </w:r>
      <m:oMath>
        <m:r>
          <w:rPr>
            <w:rFonts w:ascii="Cambria Math" w:hAnsi="Cambria Math"/>
          </w:rPr>
          <m:t>9 </m:t>
        </m:r>
        <m:r>
          <m:rPr>
            <m:sty m:val="p"/>
          </m:rPr>
          <w:rPr>
            <w:rFonts w:ascii="Cambria Math" w:hAnsi="Cambria Math"/>
          </w:rPr>
          <m:t>mm y</m:t>
        </m:r>
        <m:sSup>
          <m:sSupPr>
            <m:ctrlPr>
              <w:rPr>
                <w:rFonts w:ascii="Cambria Math" w:hAnsi="Cambria Math"/>
              </w:rPr>
            </m:ctrlPr>
          </m:sSupPr>
          <m:e>
            <m:r>
              <m:rPr>
                <m:sty m:val="p"/>
              </m:rPr>
              <w:rPr>
                <w:rFonts w:ascii="Cambria Math" w:hAnsi="Cambria Math"/>
              </w:rPr>
              <m:t>r</m:t>
            </m:r>
          </m:e>
          <m:sup>
            <m:r>
              <m:rPr>
                <m:sty m:val="p"/>
              </m:rPr>
              <w:rPr>
                <w:rFonts w:ascii="Cambria Math" w:hAnsi="Cambria Math"/>
              </w:rPr>
              <m:t>-1</m:t>
            </m:r>
          </m:sup>
        </m:sSup>
      </m:oMath>
      <w:r w:rsidRPr="00567357">
        <w:t xml:space="preserve"> over a 100-year horizon, corresponding to total deepening increments of </w:t>
      </w:r>
      <m:oMath>
        <m:r>
          <w:rPr>
            <w:rFonts w:ascii="Cambria Math" w:hAnsi="Cambria Math"/>
          </w:rPr>
          <m:t>0.3</m:t>
        </m:r>
      </m:oMath>
      <w:r w:rsidRPr="00567357">
        <w:t xml:space="preserve">, </w:t>
      </w:r>
      <m:oMath>
        <m:r>
          <w:rPr>
            <w:rFonts w:ascii="Cambria Math" w:hAnsi="Cambria Math"/>
          </w:rPr>
          <m:t>0.6</m:t>
        </m:r>
      </m:oMath>
      <w:r w:rsidRPr="00567357">
        <w:t xml:space="preserve">, and </w:t>
      </w:r>
      <m:oMath>
        <m:r>
          <w:rPr>
            <w:rFonts w:ascii="Cambria Math" w:hAnsi="Cambria Math"/>
          </w:rPr>
          <m:t>0.9 </m:t>
        </m:r>
        <m:r>
          <m:rPr>
            <m:sty m:val="p"/>
          </m:rPr>
          <w:rPr>
            <w:rFonts w:ascii="Cambria Math" w:hAnsi="Cambria Math"/>
          </w:rPr>
          <m:t>m</m:t>
        </m:r>
      </m:oMath>
      <w:r w:rsidRPr="00567357">
        <w:t xml:space="preserve">. Bay-geometry sensitivity is evaluated at </w:t>
      </w:r>
      <m:oMath>
        <m:r>
          <w:rPr>
            <w:rFonts w:ascii="Cambria Math" w:hAnsi="Cambria Math"/>
          </w:rPr>
          <m:t>9 </m:t>
        </m:r>
        <m:r>
          <m:rPr>
            <m:sty m:val="p"/>
          </m:rPr>
          <w:rPr>
            <w:rFonts w:ascii="Cambria Math" w:hAnsi="Cambria Math"/>
          </w:rPr>
          <m:t>mm y</m:t>
        </m:r>
        <m:sSup>
          <m:sSupPr>
            <m:ctrlPr>
              <w:rPr>
                <w:rFonts w:ascii="Cambria Math" w:hAnsi="Cambria Math"/>
              </w:rPr>
            </m:ctrlPr>
          </m:sSupPr>
          <m:e>
            <m:r>
              <m:rPr>
                <m:sty m:val="p"/>
              </m:rPr>
              <w:rPr>
                <w:rFonts w:ascii="Cambria Math" w:hAnsi="Cambria Math"/>
              </w:rPr>
              <m:t>r</m:t>
            </m:r>
          </m:e>
          <m:sup>
            <m:r>
              <m:rPr>
                <m:sty m:val="p"/>
              </m:rPr>
              <w:rPr>
                <w:rFonts w:ascii="Cambria Math" w:hAnsi="Cambria Math"/>
              </w:rPr>
              <m:t>-1</m:t>
            </m:r>
          </m:sup>
        </m:sSup>
      </m:oMath>
      <w:r w:rsidRPr="00567357">
        <w:t xml:space="preserve"> with </w:t>
      </w:r>
      <m:oMath>
        <m:r>
          <w:rPr>
            <w:rFonts w:ascii="Cambria Math" w:hAnsi="Cambria Math"/>
          </w:rPr>
          <m:t>α</m:t>
        </m:r>
        <m:r>
          <m:rPr>
            <m:sty m:val="p"/>
          </m:rPr>
          <w:rPr>
            <w:rFonts w:ascii="Cambria Math" w:hAnsi="Cambria Math"/>
          </w:rPr>
          <m:t>=</m:t>
        </m:r>
        <m:r>
          <w:rPr>
            <w:rFonts w:ascii="Cambria Math" w:hAnsi="Cambria Math"/>
          </w:rPr>
          <m:t>0</m:t>
        </m:r>
      </m:oMath>
      <w:r w:rsidRPr="00567357">
        <w:t>, 1, and 2.</w:t>
      </w:r>
    </w:p>
    <w:p w14:paraId="00F09AE3" w14:textId="77777777" w:rsidR="00626A85" w:rsidRPr="00567357" w:rsidRDefault="00626A85" w:rsidP="006515C6">
      <w:pPr>
        <w:snapToGrid w:val="0"/>
        <w:spacing w:beforeLines="0" w:before="0" w:afterLines="0" w:after="120" w:line="240" w:lineRule="auto"/>
        <w:ind w:firstLineChars="0" w:firstLine="0"/>
      </w:pPr>
      <w:r w:rsidRPr="00567357">
        <w:t xml:space="preserve">Shared constants are fixed at </w:t>
      </w:r>
      <m:oMath>
        <m:r>
          <w:rPr>
            <w:rFonts w:ascii="Cambria Math" w:hAnsi="Cambria Math"/>
          </w:rPr>
          <m:t>ρ</m:t>
        </m:r>
        <m:r>
          <m:rPr>
            <m:sty m:val="p"/>
          </m:rPr>
          <w:rPr>
            <w:rFonts w:ascii="Cambria Math" w:hAnsi="Cambria Math"/>
          </w:rPr>
          <m:t>=</m:t>
        </m:r>
        <m:r>
          <w:rPr>
            <w:rFonts w:ascii="Cambria Math" w:hAnsi="Cambria Math"/>
          </w:rPr>
          <m:t>1025 </m:t>
        </m:r>
        <m:r>
          <m:rPr>
            <m:sty m:val="p"/>
          </m:rPr>
          <w:rPr>
            <w:rFonts w:ascii="Cambria Math" w:hAnsi="Cambria Math"/>
          </w:rPr>
          <m:t>kg 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rsidRPr="00567357">
        <w:t xml:space="preserve">, </w:t>
      </w:r>
      <m:oMath>
        <m:r>
          <w:rPr>
            <w:rFonts w:ascii="Cambria Math" w:hAnsi="Cambria Math"/>
          </w:rPr>
          <m:t>g</m:t>
        </m:r>
        <m:r>
          <m:rPr>
            <m:sty m:val="p"/>
          </m:rPr>
          <w:rPr>
            <w:rFonts w:ascii="Cambria Math" w:hAnsi="Cambria Math"/>
          </w:rPr>
          <m:t>=</m:t>
        </m:r>
        <m:r>
          <w:rPr>
            <w:rFonts w:ascii="Cambria Math" w:hAnsi="Cambria Math"/>
          </w:rPr>
          <m:t>9.81 </m:t>
        </m:r>
        <m:r>
          <m:rPr>
            <m:sty m:val="p"/>
          </m:rPr>
          <w:rPr>
            <w:rFonts w:ascii="Cambria Math" w:hAnsi="Cambria Math"/>
          </w:rPr>
          <m:t>m </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-2</m:t>
            </m:r>
          </m:sup>
        </m:sSup>
      </m:oMath>
      <w:r w:rsidRPr="00567357">
        <w:t xml:space="preserve">, </w:t>
      </w:r>
      <m:oMath>
        <m:r>
          <w:rPr>
            <w:rFonts w:ascii="Cambria Math" w:hAnsi="Cambria Math"/>
          </w:rPr>
          <m:t>κ</m:t>
        </m:r>
        <m:r>
          <m:rPr>
            <m:sty m:val="p"/>
          </m:rPr>
          <w:rPr>
            <w:rFonts w:ascii="Cambria Math" w:hAnsi="Cambria Math"/>
          </w:rPr>
          <m:t>=</m:t>
        </m:r>
        <m:r>
          <w:rPr>
            <w:rFonts w:ascii="Cambria Math" w:hAnsi="Cambria Math"/>
          </w:rPr>
          <m:t>0.40</m:t>
        </m:r>
      </m:oMath>
      <w:r w:rsidRPr="00567357">
        <w:t xml:space="preserve">, </w:t>
      </w:r>
      <m:oMath>
        <m:r>
          <w:rPr>
            <w:rFonts w:ascii="Cambria Math" w:hAnsi="Cambria Math"/>
          </w:rPr>
          <m:t>T</m:t>
        </m:r>
        <m:r>
          <m:rPr>
            <m:sty m:val="p"/>
          </m:rPr>
          <w:rPr>
            <w:rFonts w:ascii="Cambria Math" w:hAnsi="Cambria Math"/>
          </w:rPr>
          <m:t>=</m:t>
        </m:r>
        <m:r>
          <w:rPr>
            <w:rFonts w:ascii="Cambria Math" w:hAnsi="Cambria Math"/>
          </w:rPr>
          <m:t>12.42 </m:t>
        </m:r>
        <m:r>
          <m:rPr>
            <m:sty m:val="p"/>
          </m:rPr>
          <w:rPr>
            <w:rFonts w:ascii="Cambria Math" w:hAnsi="Cambria Math"/>
          </w:rPr>
          <m:t>h</m:t>
        </m:r>
      </m:oMath>
      <w:r w:rsidRPr="00567357">
        <w:t xml:space="preserve">, </w:t>
      </w:r>
      <m:oMath>
        <m:r>
          <w:rPr>
            <w:rFonts w:ascii="Cambria Math" w:hAnsi="Cambria Math"/>
          </w:rPr>
          <w:lastRenderedPageBreak/>
          <m:t>ϕ</m:t>
        </m:r>
        <m:r>
          <m:rPr>
            <m:sty m:val="p"/>
          </m:rPr>
          <w:rPr>
            <w:rFonts w:ascii="Cambria Math" w:hAnsi="Cambria Math"/>
          </w:rPr>
          <m:t>=</m:t>
        </m:r>
        <m:sSup>
          <m:sSupPr>
            <m:ctrlPr>
              <w:rPr>
                <w:rFonts w:ascii="Cambria Math" w:hAnsi="Cambria Math"/>
              </w:rPr>
            </m:ctrlPr>
          </m:sSupPr>
          <m:e>
            <m:r>
              <w:rPr>
                <w:rFonts w:ascii="Cambria Math" w:hAnsi="Cambria Math"/>
              </w:rPr>
              <m:t>0</m:t>
            </m:r>
          </m:e>
          <m:sup>
            <m:r>
              <m:rPr>
                <m:sty m:val="p"/>
              </m:rPr>
              <w:rPr>
                <w:rFonts w:ascii="Cambria Math" w:hAnsi="Cambria Math"/>
              </w:rPr>
              <m:t>∘</m:t>
            </m:r>
          </m:sup>
        </m:sSup>
      </m:oMath>
      <w:r w:rsidRPr="00567357">
        <w:t xml:space="preserve">, </w:t>
      </w:r>
      <m:oMath>
        <m:sSub>
          <m:sSubPr>
            <m:ctrlPr>
              <w:rPr>
                <w:rFonts w:ascii="Cambria Math" w:hAnsi="Cambria Math"/>
              </w:rPr>
            </m:ctrlPr>
          </m:sSubPr>
          <m:e>
            <m:r>
              <w:rPr>
                <w:rFonts w:ascii="Cambria Math" w:hAnsi="Cambria Math"/>
              </w:rPr>
              <m:t>k</m:t>
            </m:r>
          </m:e>
          <m:sub>
            <m:r>
              <w:rPr>
                <w:rFonts w:ascii="Cambria Math" w:hAnsi="Cambria Math"/>
              </w:rPr>
              <m:t>s</m:t>
            </m:r>
            <m:r>
              <m:rPr>
                <m:sty m:val="p"/>
              </m:rPr>
              <w:rPr>
                <w:rFonts w:ascii="Cambria Math" w:hAnsi="Cambria Math"/>
              </w:rPr>
              <m:t>,</m:t>
            </m:r>
            <m:r>
              <w:rPr>
                <w:rFonts w:ascii="Cambria Math" w:hAnsi="Cambria Math"/>
              </w:rPr>
              <m:t>c</m:t>
            </m:r>
          </m:sub>
        </m:sSub>
        <m:r>
          <m:rPr>
            <m:sty m:val="p"/>
          </m:rPr>
          <w:rPr>
            <w:rFonts w:ascii="Cambria Math" w:hAnsi="Cambria Math"/>
          </w:rPr>
          <m:t>=</m:t>
        </m:r>
        <m:r>
          <w:rPr>
            <w:rFonts w:ascii="Cambria Math" w:hAnsi="Cambria Math"/>
          </w:rPr>
          <m:t>0.02 </m:t>
        </m:r>
        <m:r>
          <m:rPr>
            <m:sty m:val="p"/>
          </m:rPr>
          <w:rPr>
            <w:rFonts w:ascii="Cambria Math" w:hAnsi="Cambria Math"/>
          </w:rPr>
          <m:t>m</m:t>
        </m:r>
      </m:oMath>
      <w:r w:rsidRPr="00567357">
        <w:t xml:space="preserve">, </w:t>
      </w:r>
      <m:oMath>
        <m:sSub>
          <m:sSubPr>
            <m:ctrlPr>
              <w:rPr>
                <w:rFonts w:ascii="Cambria Math" w:hAnsi="Cambria Math"/>
              </w:rPr>
            </m:ctrlPr>
          </m:sSubPr>
          <m:e>
            <m:r>
              <w:rPr>
                <w:rFonts w:ascii="Cambria Math" w:hAnsi="Cambria Math"/>
              </w:rPr>
              <m:t>k</m:t>
            </m:r>
          </m:e>
          <m:sub>
            <m:r>
              <w:rPr>
                <w:rFonts w:ascii="Cambria Math" w:hAnsi="Cambria Math"/>
              </w:rPr>
              <m:t>s</m:t>
            </m:r>
            <m:r>
              <m:rPr>
                <m:sty m:val="p"/>
              </m:rPr>
              <w:rPr>
                <w:rFonts w:ascii="Cambria Math" w:hAnsi="Cambria Math"/>
              </w:rPr>
              <m:t>,</m:t>
            </m:r>
            <m:r>
              <w:rPr>
                <w:rFonts w:ascii="Cambria Math" w:hAnsi="Cambria Math"/>
              </w:rPr>
              <m:t>w</m:t>
            </m:r>
          </m:sub>
        </m:sSub>
        <m:r>
          <m:rPr>
            <m:sty m:val="p"/>
          </m:rPr>
          <w:rPr>
            <w:rFonts w:ascii="Cambria Math" w:hAnsi="Cambria Math"/>
          </w:rPr>
          <m:t>=</m:t>
        </m:r>
        <m:r>
          <w:rPr>
            <w:rFonts w:ascii="Cambria Math" w:hAnsi="Cambria Math"/>
          </w:rPr>
          <m:t>0.02 </m:t>
        </m:r>
        <m:r>
          <m:rPr>
            <m:sty m:val="p"/>
          </m:rPr>
          <w:rPr>
            <w:rFonts w:ascii="Cambria Math" w:hAnsi="Cambria Math"/>
          </w:rPr>
          <m:t>m</m:t>
        </m:r>
      </m:oMath>
      <w:r w:rsidRPr="00567357">
        <w:t xml:space="preserve">, and </w:t>
      </w:r>
      <m:oMath>
        <m:sSub>
          <m:sSubPr>
            <m:ctrlPr>
              <w:rPr>
                <w:rFonts w:ascii="Cambria Math" w:hAnsi="Cambria Math"/>
              </w:rPr>
            </m:ctrlPr>
          </m:sSubPr>
          <m:e>
            <m:r>
              <w:rPr>
                <w:rFonts w:ascii="Cambria Math" w:hAnsi="Cambria Math"/>
              </w:rPr>
              <m:t>h</m:t>
            </m:r>
          </m:e>
          <m:sub>
            <m:r>
              <m:rPr>
                <m:sty m:val="p"/>
              </m:rPr>
              <w:rPr>
                <w:rFonts w:ascii="Cambria Math" w:hAnsi="Cambria Math"/>
              </w:rPr>
              <m:t>min</m:t>
            </m:r>
          </m:sub>
        </m:sSub>
        <m:r>
          <m:rPr>
            <m:sty m:val="p"/>
          </m:rPr>
          <w:rPr>
            <w:rFonts w:ascii="Cambria Math" w:hAnsi="Cambria Math"/>
          </w:rPr>
          <m:t>=</m:t>
        </m:r>
        <m:r>
          <w:rPr>
            <w:rFonts w:ascii="Cambria Math" w:hAnsi="Cambria Math"/>
          </w:rPr>
          <m:t>0.15 </m:t>
        </m:r>
        <m:r>
          <m:rPr>
            <m:sty m:val="p"/>
          </m:rPr>
          <w:rPr>
            <w:rFonts w:ascii="Cambria Math" w:hAnsi="Cambria Math"/>
          </w:rPr>
          <m:t>m</m:t>
        </m:r>
      </m:oMath>
      <w:r w:rsidRPr="00567357">
        <w:t xml:space="preserve">. Each saved tide cycle is resolved with </w:t>
      </w:r>
      <m:oMath>
        <m:sSub>
          <m:sSubPr>
            <m:ctrlPr>
              <w:rPr>
                <w:rFonts w:ascii="Cambria Math" w:hAnsi="Cambria Math"/>
              </w:rPr>
            </m:ctrlPr>
          </m:sSubPr>
          <m:e>
            <m:r>
              <w:rPr>
                <w:rFonts w:ascii="Cambria Math" w:hAnsi="Cambria Math"/>
              </w:rPr>
              <m:t>N</m:t>
            </m:r>
          </m:e>
          <m:sub>
            <m:r>
              <w:rPr>
                <w:rFonts w:ascii="Cambria Math" w:hAnsi="Cambria Math"/>
              </w:rPr>
              <m:t>t</m:t>
            </m:r>
          </m:sub>
        </m:sSub>
        <m:r>
          <m:rPr>
            <m:sty m:val="p"/>
          </m:rPr>
          <w:rPr>
            <w:rFonts w:ascii="Cambria Math" w:hAnsi="Cambria Math"/>
          </w:rPr>
          <m:t>=</m:t>
        </m:r>
        <m:r>
          <w:rPr>
            <w:rFonts w:ascii="Cambria Math" w:hAnsi="Cambria Math"/>
          </w:rPr>
          <m:t>361</m:t>
        </m:r>
      </m:oMath>
      <w:r w:rsidRPr="00567357">
        <w:t xml:space="preserve"> time steps.</w:t>
      </w:r>
    </w:p>
    <w:p w14:paraId="2972A5D2" w14:textId="77777777" w:rsidR="00626A85" w:rsidRPr="00567357" w:rsidRDefault="00626A85" w:rsidP="006515C6">
      <w:pPr>
        <w:snapToGrid w:val="0"/>
        <w:spacing w:beforeLines="0" w:before="0" w:afterLines="0" w:after="120" w:line="240" w:lineRule="auto"/>
        <w:ind w:firstLineChars="0" w:firstLine="0"/>
      </w:pPr>
      <w:r w:rsidRPr="00567357">
        <w:t xml:space="preserve">Offshore forcing uses </w:t>
      </w:r>
      <m:oMath>
        <m:sSub>
          <m:sSubPr>
            <m:ctrlPr>
              <w:rPr>
                <w:rFonts w:ascii="Cambria Math" w:hAnsi="Cambria Math"/>
              </w:rPr>
            </m:ctrlPr>
          </m:sSubPr>
          <m:e>
            <m:r>
              <w:rPr>
                <w:rFonts w:ascii="Cambria Math" w:hAnsi="Cambria Math"/>
              </w:rPr>
              <m:t>H</m:t>
            </m:r>
          </m:e>
          <m:sub>
            <m:r>
              <w:rPr>
                <w:rFonts w:ascii="Cambria Math" w:hAnsi="Cambria Math"/>
              </w:rPr>
              <m:t>s</m:t>
            </m:r>
            <m:r>
              <m:rPr>
                <m:sty m:val="p"/>
              </m:rPr>
              <w:rPr>
                <w:rFonts w:ascii="Cambria Math" w:hAnsi="Cambria Math"/>
              </w:rPr>
              <m:t>,inc</m:t>
            </m:r>
          </m:sub>
        </m:sSub>
        <m:r>
          <m:rPr>
            <m:sty m:val="p"/>
          </m:rPr>
          <w:rPr>
            <w:rFonts w:ascii="Cambria Math" w:hAnsi="Cambria Math"/>
          </w:rPr>
          <m:t>=</m:t>
        </m:r>
        <m:r>
          <w:rPr>
            <w:rFonts w:ascii="Cambria Math" w:hAnsi="Cambria Math"/>
          </w:rPr>
          <m:t>1.0 </m:t>
        </m:r>
        <m:r>
          <m:rPr>
            <m:sty m:val="p"/>
          </m:rPr>
          <w:rPr>
            <w:rFonts w:ascii="Cambria Math" w:hAnsi="Cambria Math"/>
          </w:rPr>
          <m:t>m</m:t>
        </m:r>
      </m:oMath>
      <w:r w:rsidRPr="00567357">
        <w:t xml:space="preserve">, </w:t>
      </w:r>
      <m:oMath>
        <m:sSub>
          <m:sSubPr>
            <m:ctrlPr>
              <w:rPr>
                <w:rFonts w:ascii="Cambria Math" w:hAnsi="Cambria Math"/>
              </w:rPr>
            </m:ctrlPr>
          </m:sSubPr>
          <m:e>
            <m:r>
              <w:rPr>
                <w:rFonts w:ascii="Cambria Math" w:hAnsi="Cambria Math"/>
              </w:rPr>
              <m:t>T</m:t>
            </m:r>
          </m:e>
          <m:sub>
            <m:r>
              <w:rPr>
                <w:rFonts w:ascii="Cambria Math" w:hAnsi="Cambria Math"/>
              </w:rPr>
              <m:t>p</m:t>
            </m:r>
            <m:r>
              <m:rPr>
                <m:sty m:val="p"/>
              </m:rPr>
              <w:rPr>
                <w:rFonts w:ascii="Cambria Math" w:hAnsi="Cambria Math"/>
              </w:rPr>
              <m:t>,inc</m:t>
            </m:r>
          </m:sub>
        </m:sSub>
        <m:r>
          <m:rPr>
            <m:sty m:val="p"/>
          </m:rPr>
          <w:rPr>
            <w:rFonts w:ascii="Cambria Math" w:hAnsi="Cambria Math"/>
          </w:rPr>
          <m:t>=</m:t>
        </m:r>
        <m:r>
          <w:rPr>
            <w:rFonts w:ascii="Cambria Math" w:hAnsi="Cambria Math"/>
          </w:rPr>
          <m:t>6.0 </m:t>
        </m:r>
        <m:r>
          <m:rPr>
            <m:sty m:val="p"/>
          </m:rPr>
          <w:rPr>
            <w:rFonts w:ascii="Cambria Math" w:hAnsi="Cambria Math"/>
          </w:rPr>
          <m:t>s</m:t>
        </m:r>
      </m:oMath>
      <w:r w:rsidRPr="00567357">
        <w:t xml:space="preserve">, </w:t>
      </w:r>
      <m:oMath>
        <m:sSub>
          <m:sSubPr>
            <m:ctrlPr>
              <w:rPr>
                <w:rFonts w:ascii="Cambria Math" w:hAnsi="Cambria Math"/>
              </w:rPr>
            </m:ctrlPr>
          </m:sSubPr>
          <m:e>
            <m:r>
              <w:rPr>
                <w:rFonts w:ascii="Cambria Math" w:hAnsi="Cambria Math"/>
              </w:rPr>
              <m:t>U</m:t>
            </m:r>
          </m:e>
          <m:sub>
            <m:r>
              <m:rPr>
                <m:sty m:val="p"/>
              </m:rPr>
              <w:rPr>
                <w:rFonts w:ascii="Cambria Math" w:hAnsi="Cambria Math"/>
              </w:rPr>
              <m:t>ref</m:t>
            </m:r>
          </m:sub>
        </m:sSub>
        <m:r>
          <m:rPr>
            <m:sty m:val="p"/>
          </m:rPr>
          <w:rPr>
            <w:rFonts w:ascii="Cambria Math" w:hAnsi="Cambria Math"/>
          </w:rPr>
          <m:t>=</m:t>
        </m:r>
        <m:r>
          <w:rPr>
            <w:rFonts w:ascii="Cambria Math" w:hAnsi="Cambria Math"/>
          </w:rPr>
          <m:t>0.20 </m:t>
        </m:r>
        <m:r>
          <m:rPr>
            <m:sty m:val="p"/>
          </m:rPr>
          <w:rPr>
            <w:rFonts w:ascii="Cambria Math" w:hAnsi="Cambria Math"/>
          </w:rPr>
          <m:t>m </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-1</m:t>
            </m:r>
          </m:sup>
        </m:sSup>
      </m:oMath>
      <w:r w:rsidRPr="00567357">
        <w:t xml:space="preserve">, </w:t>
      </w:r>
      <m:oMath>
        <m:sSub>
          <m:sSubPr>
            <m:ctrlPr>
              <w:rPr>
                <w:rFonts w:ascii="Cambria Math" w:hAnsi="Cambria Math"/>
              </w:rPr>
            </m:ctrlPr>
          </m:sSubPr>
          <m:e>
            <m:r>
              <w:rPr>
                <w:rFonts w:ascii="Cambria Math" w:hAnsi="Cambria Math"/>
              </w:rPr>
              <m:t>R</m:t>
            </m:r>
          </m:e>
          <m:sub>
            <m:r>
              <m:rPr>
                <m:sty m:val="p"/>
              </m:rPr>
              <w:rPr>
                <w:rFonts w:ascii="Cambria Math" w:hAnsi="Cambria Math"/>
              </w:rPr>
              <m:t>ref</m:t>
            </m:r>
          </m:sub>
        </m:sSub>
        <m:r>
          <m:rPr>
            <m:sty m:val="p"/>
          </m:rPr>
          <w:rPr>
            <w:rFonts w:ascii="Cambria Math" w:hAnsi="Cambria Math"/>
          </w:rPr>
          <m:t>=</m:t>
        </m:r>
        <m:r>
          <w:rPr>
            <w:rFonts w:ascii="Cambria Math" w:hAnsi="Cambria Math"/>
          </w:rPr>
          <m:t>2.0 </m:t>
        </m:r>
        <m:r>
          <m:rPr>
            <m:sty m:val="p"/>
          </m:rPr>
          <w:rPr>
            <w:rFonts w:ascii="Cambria Math" w:hAnsi="Cambria Math"/>
          </w:rPr>
          <m:t>m</m:t>
        </m:r>
      </m:oMath>
      <w:r w:rsidRPr="00567357">
        <w:t xml:space="preserve">, and a common breaking index of </w:t>
      </w:r>
      <m:oMath>
        <m:r>
          <w:rPr>
            <w:rFonts w:ascii="Cambria Math" w:hAnsi="Cambria Math"/>
          </w:rPr>
          <m:t>γ</m:t>
        </m:r>
        <m:r>
          <m:rPr>
            <m:sty m:val="p"/>
          </m:rPr>
          <w:rPr>
            <w:rFonts w:ascii="Cambria Math" w:hAnsi="Cambria Math"/>
          </w:rPr>
          <m:t>=</m:t>
        </m:r>
        <m:r>
          <w:rPr>
            <w:rFonts w:ascii="Cambria Math" w:hAnsi="Cambria Math"/>
          </w:rPr>
          <m:t>0.78</m:t>
        </m:r>
      </m:oMath>
      <w:r w:rsidRPr="00567357">
        <w:t xml:space="preserve">. Bay forcing uses </w:t>
      </w:r>
      <m:oMath>
        <m:sSub>
          <m:sSubPr>
            <m:ctrlPr>
              <w:rPr>
                <w:rFonts w:ascii="Cambria Math" w:hAnsi="Cambria Math"/>
              </w:rPr>
            </m:ctrlPr>
          </m:sSubPr>
          <m:e>
            <m:r>
              <w:rPr>
                <w:rFonts w:ascii="Cambria Math" w:hAnsi="Cambria Math"/>
              </w:rPr>
              <m:t>U</m:t>
            </m:r>
          </m:e>
          <m:sub>
            <m:r>
              <w:rPr>
                <w:rFonts w:ascii="Cambria Math" w:hAnsi="Cambria Math"/>
              </w:rPr>
              <m:t>10</m:t>
            </m:r>
          </m:sub>
        </m:sSub>
        <m:r>
          <m:rPr>
            <m:sty m:val="p"/>
          </m:rPr>
          <w:rPr>
            <w:rFonts w:ascii="Cambria Math" w:hAnsi="Cambria Math"/>
          </w:rPr>
          <m:t>=</m:t>
        </m:r>
        <m:r>
          <w:rPr>
            <w:rFonts w:ascii="Cambria Math" w:hAnsi="Cambria Math"/>
          </w:rPr>
          <m:t>10.0 </m:t>
        </m:r>
        <m:r>
          <m:rPr>
            <m:sty m:val="p"/>
          </m:rPr>
          <w:rPr>
            <w:rFonts w:ascii="Cambria Math" w:hAnsi="Cambria Math"/>
          </w:rPr>
          <m:t>m </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-1</m:t>
            </m:r>
          </m:sup>
        </m:sSup>
      </m:oMath>
      <w:r w:rsidRPr="00567357">
        <w:t xml:space="preserve">, </w:t>
      </w:r>
      <m:oMath>
        <m:r>
          <w:rPr>
            <w:rFonts w:ascii="Cambria Math" w:hAnsi="Cambria Math"/>
          </w:rPr>
          <m:t>F</m:t>
        </m:r>
        <m:r>
          <m:rPr>
            <m:sty m:val="p"/>
          </m:rPr>
          <w:rPr>
            <w:rFonts w:ascii="Cambria Math" w:hAnsi="Cambria Math"/>
          </w:rPr>
          <m:t>=</m:t>
        </m:r>
        <m:r>
          <w:rPr>
            <w:rFonts w:ascii="Cambria Math" w:hAnsi="Cambria Math"/>
          </w:rPr>
          <m:t>10</m:t>
        </m:r>
        <m:r>
          <m:rPr>
            <m:sty m:val="p"/>
          </m:rPr>
          <w:rPr>
            <w:rFonts w:ascii="Cambria Math" w:hAnsi="Cambria Math"/>
          </w:rPr>
          <m:t>,</m:t>
        </m:r>
        <m:r>
          <w:rPr>
            <w:rFonts w:ascii="Cambria Math" w:hAnsi="Cambria Math"/>
          </w:rPr>
          <m:t>000 </m:t>
        </m:r>
        <m:r>
          <m:rPr>
            <m:sty m:val="p"/>
          </m:rPr>
          <w:rPr>
            <w:rFonts w:ascii="Cambria Math" w:hAnsi="Cambria Math"/>
          </w:rPr>
          <m:t>m</m:t>
        </m:r>
      </m:oMath>
      <w:r w:rsidRPr="00567357">
        <w:t xml:space="preserve">, </w:t>
      </w:r>
      <m:oMath>
        <m:d>
          <m:dPr>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0</m:t>
                </m:r>
              </m:sub>
            </m:sSub>
            <m:r>
              <m:rPr>
                <m:sty m:val="p"/>
              </m:rPr>
              <w:rPr>
                <w:rFonts w:ascii="Cambria Math" w:hAnsi="Cambria Math"/>
              </w:rPr>
              <m:t>/</m:t>
            </m:r>
            <m:r>
              <w:rPr>
                <w:rFonts w:ascii="Cambria Math" w:hAnsi="Cambria Math"/>
              </w:rPr>
              <m:t>B</m:t>
            </m:r>
          </m:e>
        </m:d>
        <m:r>
          <m:rPr>
            <m:sty m:val="p"/>
          </m:rPr>
          <w:rPr>
            <w:rFonts w:ascii="Cambria Math" w:hAnsi="Cambria Math"/>
          </w:rPr>
          <m:t>=</m:t>
        </m:r>
        <m:r>
          <w:rPr>
            <w:rFonts w:ascii="Cambria Math" w:hAnsi="Cambria Math"/>
          </w:rPr>
          <m:t>50</m:t>
        </m:r>
        <m:r>
          <m:rPr>
            <m:sty m:val="p"/>
          </m:rPr>
          <w:rPr>
            <w:rFonts w:ascii="Cambria Math" w:hAnsi="Cambria Math"/>
          </w:rPr>
          <m:t>,</m:t>
        </m:r>
        <m:r>
          <w:rPr>
            <w:rFonts w:ascii="Cambria Math" w:hAnsi="Cambria Math"/>
          </w:rPr>
          <m:t>000 </m:t>
        </m:r>
        <m:r>
          <m:rPr>
            <m:sty m:val="p"/>
          </m:rPr>
          <w:rPr>
            <w:rFonts w:ascii="Cambria Math" w:hAnsi="Cambria Math"/>
          </w:rPr>
          <m:t>m</m:t>
        </m:r>
      </m:oMath>
      <w:r w:rsidRPr="00567357">
        <w:t xml:space="preserve">, </w:t>
      </w:r>
      <m:oMath>
        <m:sSub>
          <m:sSubPr>
            <m:ctrlPr>
              <w:rPr>
                <w:rFonts w:ascii="Cambria Math" w:hAnsi="Cambria Math"/>
              </w:rPr>
            </m:ctrlPr>
          </m:sSubPr>
          <m:e>
            <m:r>
              <w:rPr>
                <w:rFonts w:ascii="Cambria Math" w:hAnsi="Cambria Math"/>
              </w:rPr>
              <m:t>L</m:t>
            </m:r>
          </m:e>
          <m:sub>
            <m:r>
              <m:rPr>
                <m:sty m:val="p"/>
              </m:rPr>
              <w:rPr>
                <w:rFonts w:ascii="Cambria Math" w:hAnsi="Cambria Math"/>
              </w:rPr>
              <m:t>in</m:t>
            </m:r>
          </m:sub>
        </m:sSub>
        <m:r>
          <m:rPr>
            <m:sty m:val="p"/>
          </m:rPr>
          <w:rPr>
            <w:rFonts w:ascii="Cambria Math" w:hAnsi="Cambria Math"/>
          </w:rPr>
          <m:t>=</m:t>
        </m:r>
        <m:r>
          <w:rPr>
            <w:rFonts w:ascii="Cambria Math" w:hAnsi="Cambria Math"/>
          </w:rPr>
          <m:t>4000 </m:t>
        </m:r>
        <m:r>
          <m:rPr>
            <m:sty m:val="p"/>
          </m:rPr>
          <w:rPr>
            <w:rFonts w:ascii="Cambria Math" w:hAnsi="Cambria Math"/>
          </w:rPr>
          <m:t>m</m:t>
        </m:r>
      </m:oMath>
      <w:r w:rsidRPr="00567357">
        <w:t xml:space="preserve">, </w:t>
      </w:r>
      <m:oMath>
        <m:sSub>
          <m:sSubPr>
            <m:ctrlPr>
              <w:rPr>
                <w:rFonts w:ascii="Cambria Math" w:hAnsi="Cambria Math"/>
              </w:rPr>
            </m:ctrlPr>
          </m:sSubPr>
          <m:e>
            <m:r>
              <w:rPr>
                <w:rFonts w:ascii="Cambria Math" w:hAnsi="Cambria Math"/>
              </w:rPr>
              <m:t>K</m:t>
            </m:r>
          </m:e>
          <m:sub>
            <m:r>
              <m:rPr>
                <m:sty m:val="p"/>
              </m:rPr>
              <w:rPr>
                <w:rFonts w:ascii="Cambria Math" w:hAnsi="Cambria Math"/>
              </w:rPr>
              <m:t>minor</m:t>
            </m:r>
          </m:sub>
        </m:sSub>
        <m:r>
          <m:rPr>
            <m:sty m:val="p"/>
          </m:rPr>
          <w:rPr>
            <w:rFonts w:ascii="Cambria Math" w:hAnsi="Cambria Math"/>
          </w:rPr>
          <m:t>=</m:t>
        </m:r>
        <m:r>
          <w:rPr>
            <w:rFonts w:ascii="Cambria Math" w:hAnsi="Cambria Math"/>
          </w:rPr>
          <m:t>3.0</m:t>
        </m:r>
      </m:oMath>
      <w:r w:rsidRPr="00567357">
        <w:t xml:space="preserve">, the same </w:t>
      </w:r>
      <m:oMath>
        <m:r>
          <w:rPr>
            <w:rFonts w:ascii="Cambria Math" w:hAnsi="Cambria Math"/>
          </w:rPr>
          <m:t>γ</m:t>
        </m:r>
        <m:r>
          <m:rPr>
            <m:sty m:val="p"/>
          </m:rPr>
          <w:rPr>
            <w:rFonts w:ascii="Cambria Math" w:hAnsi="Cambria Math"/>
          </w:rPr>
          <m:t>=</m:t>
        </m:r>
        <m:r>
          <w:rPr>
            <w:rFonts w:ascii="Cambria Math" w:hAnsi="Cambria Math"/>
          </w:rPr>
          <m:t>0.78</m:t>
        </m:r>
      </m:oMath>
      <w:r w:rsidRPr="00567357">
        <w:t xml:space="preserve">, and a default geometry exponent </w:t>
      </w:r>
      <m:oMath>
        <m:r>
          <w:rPr>
            <w:rFonts w:ascii="Cambria Math" w:hAnsi="Cambria Math"/>
          </w:rPr>
          <m:t>α</m:t>
        </m:r>
        <m:r>
          <m:rPr>
            <m:sty m:val="p"/>
          </m:rPr>
          <w:rPr>
            <w:rFonts w:ascii="Cambria Math" w:hAnsi="Cambria Math"/>
          </w:rPr>
          <m:t>=</m:t>
        </m:r>
        <m:r>
          <w:rPr>
            <w:rFonts w:ascii="Cambria Math" w:hAnsi="Cambria Math"/>
          </w:rPr>
          <m:t>1</m:t>
        </m:r>
      </m:oMath>
      <w:r w:rsidRPr="00567357">
        <w:t xml:space="preserve"> unless otherwise stated.</w:t>
      </w:r>
    </w:p>
    <w:p w14:paraId="2E503B57" w14:textId="77777777" w:rsidR="00626A85" w:rsidRPr="00567357" w:rsidRDefault="00626A85" w:rsidP="006515C6">
      <w:pPr>
        <w:snapToGrid w:val="0"/>
        <w:spacing w:beforeLines="0" w:before="0" w:afterLines="0" w:after="120" w:line="240" w:lineRule="auto"/>
        <w:ind w:firstLineChars="0" w:firstLine="0"/>
      </w:pPr>
      <w:r w:rsidRPr="00567357">
        <w:t xml:space="preserve">The bay model is spun up for eight full tidal cycles, and diagnostics are taken from the final cycle. This removes initialization transients in </w:t>
      </w:r>
      <m:oMath>
        <m:sSub>
          <m:sSubPr>
            <m:ctrlPr>
              <w:rPr>
                <w:rFonts w:ascii="Cambria Math" w:hAnsi="Cambria Math"/>
              </w:rPr>
            </m:ctrlPr>
          </m:sSubPr>
          <m:e>
            <m:r>
              <w:rPr>
                <w:rFonts w:ascii="Cambria Math" w:hAnsi="Cambria Math"/>
              </w:rPr>
              <m:t>η</m:t>
            </m:r>
          </m:e>
          <m:sub>
            <m:r>
              <w:rPr>
                <w:rFonts w:ascii="Cambria Math" w:hAnsi="Cambria Math"/>
              </w:rPr>
              <m:t>b</m:t>
            </m:r>
          </m:sub>
        </m:sSub>
        <m:d>
          <m:dPr>
            <m:ctrlPr>
              <w:rPr>
                <w:rFonts w:ascii="Cambria Math" w:hAnsi="Cambria Math"/>
              </w:rPr>
            </m:ctrlPr>
          </m:dPr>
          <m:e>
            <m:r>
              <w:rPr>
                <w:rFonts w:ascii="Cambria Math" w:hAnsi="Cambria Math"/>
              </w:rPr>
              <m:t>t</m:t>
            </m:r>
          </m:e>
        </m:d>
      </m:oMath>
      <w:r w:rsidRPr="00567357">
        <w:t xml:space="preserve"> and ensures that the reported stresses reflect the periodic solution of the reduced system.</w:t>
      </w:r>
    </w:p>
    <w:p w14:paraId="5701339C" w14:textId="77777777" w:rsidR="00626A85" w:rsidRPr="00567357" w:rsidRDefault="00626A85" w:rsidP="006515C6">
      <w:pPr>
        <w:snapToGrid w:val="0"/>
        <w:spacing w:beforeLines="0" w:before="0" w:afterLines="0" w:after="120" w:line="240" w:lineRule="auto"/>
        <w:ind w:firstLineChars="0" w:firstLine="0"/>
      </w:pPr>
      <w:r w:rsidRPr="00567357">
        <w:t>The principal mapped response quantity is the percent change in peak bed shear relative to the baseline state,</w:t>
      </w:r>
    </w:p>
    <w:p w14:paraId="6425D64D" w14:textId="77777777" w:rsidR="00626A85" w:rsidRPr="00567357" w:rsidRDefault="00626A85" w:rsidP="006515C6">
      <w:pPr>
        <w:snapToGrid w:val="0"/>
        <w:spacing w:beforeLines="0" w:before="0" w:afterLines="0" w:after="120" w:line="240" w:lineRule="auto"/>
        <w:ind w:firstLineChars="0" w:firstLine="0"/>
      </w:pPr>
      <m:oMathPara>
        <m:oMathParaPr>
          <m:jc m:val="center"/>
        </m:oMathParaPr>
        <m:oMath>
          <m:r>
            <w:rPr>
              <w:rFonts w:ascii="Cambria Math" w:hAnsi="Cambria Math"/>
            </w:rPr>
            <m:t>Δ</m:t>
          </m:r>
          <m:sSub>
            <m:sSubPr>
              <m:ctrlPr>
                <w:rPr>
                  <w:rFonts w:ascii="Cambria Math" w:hAnsi="Cambria Math"/>
                </w:rPr>
              </m:ctrlPr>
            </m:sSubPr>
            <m:e>
              <m:r>
                <w:rPr>
                  <w:rFonts w:ascii="Cambria Math" w:hAnsi="Cambria Math"/>
                </w:rPr>
                <m:t>τ</m:t>
              </m:r>
            </m:e>
            <m:sub>
              <m:r>
                <m:rPr>
                  <m:sty m:val="p"/>
                </m:rPr>
                <w:rPr>
                  <w:rFonts w:ascii="Cambria Math" w:hAnsi="Cambria Math"/>
                </w:rPr>
                <m:t>peak</m:t>
              </m:r>
            </m:sub>
          </m:sSub>
          <m:d>
            <m:dPr>
              <m:ctrlPr>
                <w:rPr>
                  <w:rFonts w:ascii="Cambria Math" w:hAnsi="Cambria Math"/>
                </w:rPr>
              </m:ctrlPr>
            </m:dPr>
            <m:e>
              <m:r>
                <m:rPr>
                  <m:sty m:val="p"/>
                </m:rPr>
                <w:rPr>
                  <w:rFonts w:ascii="Cambria Math" w:hAnsi="Cambria Math"/>
                </w:rPr>
                <m:t>%</m:t>
              </m:r>
            </m:e>
          </m:d>
          <m:r>
            <m:rPr>
              <m:sty m:val="p"/>
            </m:rPr>
            <w:rPr>
              <w:rFonts w:ascii="Cambria Math" w:hAnsi="Cambria Math"/>
            </w:rPr>
            <m:t>=</m:t>
          </m:r>
          <m:r>
            <w:rPr>
              <w:rFonts w:ascii="Cambria Math" w:hAnsi="Cambria Math"/>
            </w:rPr>
            <m:t>100</m:t>
          </m:r>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τ</m:t>
                  </m:r>
                </m:e>
                <m:sub>
                  <m:r>
                    <m:rPr>
                      <m:sty m:val="p"/>
                    </m:rPr>
                    <w:rPr>
                      <w:rFonts w:ascii="Cambria Math" w:hAnsi="Cambria Math"/>
                    </w:rPr>
                    <m:t>peak</m:t>
                  </m:r>
                </m:sub>
                <m:sup>
                  <m:r>
                    <m:rPr>
                      <m:sty m:val="p"/>
                    </m:rPr>
                    <w:rPr>
                      <w:rFonts w:ascii="Cambria Math" w:hAnsi="Cambria Math"/>
                    </w:rPr>
                    <m:t>future</m:t>
                  </m:r>
                </m:sup>
              </m:sSubSup>
              <m:r>
                <m:rPr>
                  <m:sty m:val="p"/>
                </m:rPr>
                <w:rPr>
                  <w:rFonts w:ascii="Cambria Math" w:hAnsi="Cambria Math"/>
                </w:rPr>
                <m:t>-</m:t>
              </m:r>
              <m:sSubSup>
                <m:sSubSupPr>
                  <m:ctrlPr>
                    <w:rPr>
                      <w:rFonts w:ascii="Cambria Math" w:hAnsi="Cambria Math"/>
                    </w:rPr>
                  </m:ctrlPr>
                </m:sSubSupPr>
                <m:e>
                  <m:r>
                    <w:rPr>
                      <w:rFonts w:ascii="Cambria Math" w:hAnsi="Cambria Math"/>
                    </w:rPr>
                    <m:t>τ</m:t>
                  </m:r>
                </m:e>
                <m:sub>
                  <m:r>
                    <m:rPr>
                      <m:sty m:val="p"/>
                    </m:rPr>
                    <w:rPr>
                      <w:rFonts w:ascii="Cambria Math" w:hAnsi="Cambria Math"/>
                    </w:rPr>
                    <m:t>peak</m:t>
                  </m:r>
                </m:sub>
                <m:sup>
                  <m:r>
                    <m:rPr>
                      <m:sty m:val="p"/>
                    </m:rPr>
                    <w:rPr>
                      <w:rFonts w:ascii="Cambria Math" w:hAnsi="Cambria Math"/>
                    </w:rPr>
                    <m:t>baseline</m:t>
                  </m:r>
                </m:sup>
              </m:sSubSup>
            </m:num>
            <m:den>
              <m:sSubSup>
                <m:sSubSupPr>
                  <m:ctrlPr>
                    <w:rPr>
                      <w:rFonts w:ascii="Cambria Math" w:hAnsi="Cambria Math"/>
                    </w:rPr>
                  </m:ctrlPr>
                </m:sSubSupPr>
                <m:e>
                  <m:r>
                    <w:rPr>
                      <w:rFonts w:ascii="Cambria Math" w:hAnsi="Cambria Math"/>
                    </w:rPr>
                    <m:t>τ</m:t>
                  </m:r>
                </m:e>
                <m:sub>
                  <m:r>
                    <m:rPr>
                      <m:sty m:val="p"/>
                    </m:rPr>
                    <w:rPr>
                      <w:rFonts w:ascii="Cambria Math" w:hAnsi="Cambria Math"/>
                    </w:rPr>
                    <m:t>peak</m:t>
                  </m:r>
                </m:sub>
                <m:sup>
                  <m:r>
                    <m:rPr>
                      <m:sty m:val="p"/>
                    </m:rPr>
                    <w:rPr>
                      <w:rFonts w:ascii="Cambria Math" w:hAnsi="Cambria Math"/>
                    </w:rPr>
                    <m:t>baseline</m:t>
                  </m:r>
                </m:sup>
              </m:sSubSup>
            </m:den>
          </m:f>
          <m:r>
            <m:rPr>
              <m:sty m:val="p"/>
            </m:rPr>
            <w:rPr>
              <w:rFonts w:ascii="Cambria Math" w:hAnsi="Cambria Math"/>
            </w:rPr>
            <m:t>.</m:t>
          </m:r>
        </m:oMath>
      </m:oMathPara>
    </w:p>
    <w:p w14:paraId="1A9B3C6A" w14:textId="77777777" w:rsidR="00626A85" w:rsidRPr="00567357" w:rsidRDefault="00626A85" w:rsidP="006515C6">
      <w:pPr>
        <w:snapToGrid w:val="0"/>
        <w:spacing w:beforeLines="0" w:before="0" w:afterLines="0" w:after="120" w:line="240" w:lineRule="auto"/>
        <w:ind w:firstLineChars="0" w:firstLine="0"/>
      </w:pPr>
      <w:r w:rsidRPr="00567357">
        <w:t xml:space="preserve">Contours of </w:t>
      </w:r>
      <m:oMath>
        <m:r>
          <w:rPr>
            <w:rFonts w:ascii="Cambria Math" w:hAnsi="Cambria Math"/>
          </w:rPr>
          <m:t>Δ</m:t>
        </m:r>
        <m:sSub>
          <m:sSubPr>
            <m:ctrlPr>
              <w:rPr>
                <w:rFonts w:ascii="Cambria Math" w:hAnsi="Cambria Math"/>
              </w:rPr>
            </m:ctrlPr>
          </m:sSubPr>
          <m:e>
            <m:r>
              <w:rPr>
                <w:rFonts w:ascii="Cambria Math" w:hAnsi="Cambria Math"/>
              </w:rPr>
              <m:t>τ</m:t>
            </m:r>
          </m:e>
          <m:sub>
            <m:r>
              <m:rPr>
                <m:sty m:val="p"/>
              </m:rPr>
              <w:rPr>
                <w:rFonts w:ascii="Cambria Math" w:hAnsi="Cambria Math"/>
              </w:rPr>
              <m:t>peak</m:t>
            </m:r>
          </m:sub>
        </m:sSub>
        <m:r>
          <m:rPr>
            <m:sty m:val="p"/>
          </m:rPr>
          <w:rPr>
            <w:rFonts w:ascii="Cambria Math" w:hAnsi="Cambria Math"/>
          </w:rPr>
          <m:t>=</m:t>
        </m:r>
        <m:r>
          <w:rPr>
            <w:rFonts w:ascii="Cambria Math" w:hAnsi="Cambria Math"/>
          </w:rPr>
          <m:t>0</m:t>
        </m:r>
      </m:oMath>
      <w:r w:rsidRPr="00567357">
        <w:t xml:space="preserve"> therefore mark the transition between parameter combinations for which SLR strengthens near-bed mobility and those for which it weakens it.</w:t>
      </w:r>
    </w:p>
    <w:p w14:paraId="50696C53" w14:textId="77777777" w:rsidR="00626A85" w:rsidRPr="00567357" w:rsidRDefault="00626A85" w:rsidP="006515C6">
      <w:pPr>
        <w:snapToGrid w:val="0"/>
        <w:spacing w:beforeLines="0" w:before="0" w:afterLines="0" w:after="120" w:line="240" w:lineRule="auto"/>
        <w:ind w:firstLineChars="0" w:firstLine="0"/>
        <w:rPr>
          <w:i/>
          <w:iCs/>
        </w:rPr>
      </w:pPr>
      <w:bookmarkStart w:id="7" w:name="interpretation-for-ssc-trends"/>
      <w:bookmarkEnd w:id="6"/>
      <w:r w:rsidRPr="00567357">
        <w:rPr>
          <w:i/>
          <w:iCs/>
        </w:rPr>
        <w:t>Interpretation for SSC trends</w:t>
      </w:r>
    </w:p>
    <w:p w14:paraId="776D805E" w14:textId="77777777" w:rsidR="00626A85" w:rsidRPr="00567357" w:rsidRDefault="00626A85" w:rsidP="006515C6">
      <w:pPr>
        <w:snapToGrid w:val="0"/>
        <w:spacing w:beforeLines="0" w:before="0" w:afterLines="0" w:after="120" w:line="240" w:lineRule="auto"/>
        <w:ind w:firstLineChars="0" w:firstLine="0"/>
      </w:pPr>
      <w:r w:rsidRPr="00567357">
        <w:t xml:space="preserve">The theoretical model is not an SSC model and should not be interpreted as predicting concentration trends directly. A positive response in </w:t>
      </w:r>
      <m:oMath>
        <m:r>
          <w:rPr>
            <w:rFonts w:ascii="Cambria Math" w:hAnsi="Cambria Math"/>
          </w:rPr>
          <m:t>Δ</m:t>
        </m:r>
        <m:sSub>
          <m:sSubPr>
            <m:ctrlPr>
              <w:rPr>
                <w:rFonts w:ascii="Cambria Math" w:hAnsi="Cambria Math"/>
              </w:rPr>
            </m:ctrlPr>
          </m:sSubPr>
          <m:e>
            <m:r>
              <w:rPr>
                <w:rFonts w:ascii="Cambria Math" w:hAnsi="Cambria Math"/>
              </w:rPr>
              <m:t>τ</m:t>
            </m:r>
          </m:e>
          <m:sub>
            <m:r>
              <m:rPr>
                <m:sty m:val="p"/>
              </m:rPr>
              <w:rPr>
                <w:rFonts w:ascii="Cambria Math" w:hAnsi="Cambria Math"/>
              </w:rPr>
              <m:t>peak</m:t>
            </m:r>
          </m:sub>
        </m:sSub>
      </m:oMath>
      <w:r w:rsidRPr="00567357">
        <w:t xml:space="preserve"> means only that the </w:t>
      </w:r>
      <w:r w:rsidRPr="00567357">
        <w:rPr>
          <w:i/>
          <w:iCs/>
        </w:rPr>
        <w:t>capacity</w:t>
      </w:r>
      <w:r w:rsidRPr="00567357">
        <w:t xml:space="preserve"> for bed remobilization has increased. Long-term SSC must still satisfy a broader suspended-sediment mass balance. In a reduced form,</w:t>
      </w:r>
    </w:p>
    <w:p w14:paraId="3EE29CA5" w14:textId="77777777" w:rsidR="00626A85" w:rsidRPr="00567357" w:rsidRDefault="00000000" w:rsidP="006515C6">
      <w:pPr>
        <w:snapToGrid w:val="0"/>
        <w:spacing w:beforeLines="0" w:before="0" w:afterLines="0" w:after="120" w:line="240" w:lineRule="auto"/>
        <w:ind w:firstLineChars="0" w:firstLine="0"/>
      </w:pPr>
      <m:oMathPara>
        <m:oMathParaPr>
          <m:jc m:val="center"/>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M</m:t>
                  </m:r>
                </m:e>
                <m:sub>
                  <m:r>
                    <m:rPr>
                      <m:sty m:val="p"/>
                    </m:rPr>
                    <w:rPr>
                      <w:rFonts w:ascii="Cambria Math" w:hAnsi="Cambria Math"/>
                    </w:rPr>
                    <m:t>sus</m:t>
                  </m:r>
                </m:sub>
              </m:sSub>
            </m:num>
            <m:den>
              <m:r>
                <w:rPr>
                  <w:rFonts w:ascii="Cambria Math" w:hAnsi="Cambria Math"/>
                </w:rPr>
                <m:t>dt</m:t>
              </m:r>
            </m:den>
          </m:f>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offshore</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m:rPr>
                  <m:sty m:val="p"/>
                </m:rPr>
                <w:rPr>
                  <w:rFonts w:ascii="Cambria Math" w:hAnsi="Cambria Math"/>
                </w:rPr>
                <m:t>internal</m:t>
              </m:r>
            </m:sub>
          </m:sSub>
          <m:r>
            <m:rPr>
              <m:sty m:val="p"/>
            </m:rPr>
            <w:rPr>
              <w:rFonts w:ascii="Cambria Math" w:hAnsi="Cambria Math"/>
            </w:rPr>
            <m:t>-</m:t>
          </m:r>
          <m:sSub>
            <m:sSubPr>
              <m:ctrlPr>
                <w:rPr>
                  <w:rFonts w:ascii="Cambria Math" w:hAnsi="Cambria Math"/>
                </w:rPr>
              </m:ctrlPr>
            </m:sSubPr>
            <m:e>
              <m:r>
                <w:rPr>
                  <w:rFonts w:ascii="Cambria Math" w:hAnsi="Cambria Math"/>
                </w:rPr>
                <m:t>D</m:t>
              </m:r>
            </m:e>
            <m:sub>
              <m:r>
                <m:rPr>
                  <m:sty m:val="p"/>
                </m:rPr>
                <w:rPr>
                  <w:rFonts w:ascii="Cambria Math" w:hAnsi="Cambria Math"/>
                </w:rPr>
                <m:t>settling/assimilation</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export</m:t>
              </m:r>
            </m:sub>
          </m:sSub>
          <m:r>
            <m:rPr>
              <m:sty m:val="p"/>
            </m:rPr>
            <w:rPr>
              <w:rFonts w:ascii="Cambria Math" w:hAnsi="Cambria Math"/>
            </w:rPr>
            <m:t>,</m:t>
          </m:r>
        </m:oMath>
      </m:oMathPara>
    </w:p>
    <w:p w14:paraId="16A04195" w14:textId="77777777" w:rsidR="00626A85" w:rsidRPr="00567357" w:rsidRDefault="00626A85" w:rsidP="006515C6">
      <w:pPr>
        <w:snapToGrid w:val="0"/>
        <w:spacing w:beforeLines="0" w:before="0" w:afterLines="0" w:after="120" w:line="240" w:lineRule="auto"/>
        <w:ind w:firstLineChars="0" w:firstLine="0"/>
      </w:pPr>
      <w:r w:rsidRPr="00567357">
        <w:t>with concentration approximately given by</w:t>
      </w:r>
    </w:p>
    <w:p w14:paraId="1D00AA3A" w14:textId="77777777" w:rsidR="00626A85" w:rsidRPr="00567357" w:rsidRDefault="00626A85" w:rsidP="006515C6">
      <w:pPr>
        <w:snapToGrid w:val="0"/>
        <w:spacing w:beforeLines="0" w:before="0" w:afterLines="0" w:after="120" w:line="240" w:lineRule="auto"/>
        <w:ind w:firstLineChars="0" w:firstLine="0"/>
      </w:pPr>
      <m:oMathPara>
        <m:oMathParaPr>
          <m:jc m:val="center"/>
        </m:oMathParaPr>
        <m:oMath>
          <m:r>
            <w:rPr>
              <w:rFonts w:ascii="Cambria Math" w:hAnsi="Cambria Math"/>
            </w:rPr>
            <m:t>C</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sus</m:t>
                  </m:r>
                </m:sub>
              </m:sSub>
            </m:num>
            <m:den>
              <m:r>
                <w:rPr>
                  <w:rFonts w:ascii="Cambria Math" w:hAnsi="Cambria Math"/>
                </w:rPr>
                <m:t>V</m:t>
              </m:r>
            </m:den>
          </m:f>
          <m:r>
            <m:rPr>
              <m:sty m:val="p"/>
            </m:rPr>
            <w:rPr>
              <w:rFonts w:ascii="Cambria Math" w:hAnsi="Cambria Math"/>
            </w:rPr>
            <m:t>,</m:t>
          </m:r>
        </m:oMath>
      </m:oMathPara>
    </w:p>
    <w:p w14:paraId="3D8F3648" w14:textId="77777777" w:rsidR="00626A85" w:rsidRPr="00567357" w:rsidRDefault="00626A85" w:rsidP="006515C6">
      <w:pPr>
        <w:snapToGrid w:val="0"/>
        <w:spacing w:beforeLines="0" w:before="0" w:afterLines="0" w:after="120" w:line="240" w:lineRule="auto"/>
        <w:ind w:firstLineChars="0" w:firstLine="0"/>
      </w:pPr>
      <w:r w:rsidRPr="00567357">
        <w:t xml:space="preserve">where </w:t>
      </w:r>
      <m:oMath>
        <m:sSub>
          <m:sSubPr>
            <m:ctrlPr>
              <w:rPr>
                <w:rFonts w:ascii="Cambria Math" w:hAnsi="Cambria Math"/>
              </w:rPr>
            </m:ctrlPr>
          </m:sSubPr>
          <m:e>
            <m:r>
              <w:rPr>
                <w:rFonts w:ascii="Cambria Math" w:hAnsi="Cambria Math"/>
              </w:rPr>
              <m:t>M</m:t>
            </m:r>
          </m:e>
          <m:sub>
            <m:r>
              <m:rPr>
                <m:sty m:val="p"/>
              </m:rPr>
              <w:rPr>
                <w:rFonts w:ascii="Cambria Math" w:hAnsi="Cambria Math"/>
              </w:rPr>
              <m:t>sus</m:t>
            </m:r>
          </m:sub>
        </m:sSub>
      </m:oMath>
      <w:r w:rsidRPr="00567357">
        <w:t xml:space="preserve"> is suspended sediment mass and </w:t>
      </w:r>
      <m:oMath>
        <m:r>
          <w:rPr>
            <w:rFonts w:ascii="Cambria Math" w:hAnsi="Cambria Math"/>
          </w:rPr>
          <m:t>V</m:t>
        </m:r>
      </m:oMath>
      <w:r w:rsidRPr="00567357">
        <w:t xml:space="preserve"> is water volume. Offshore SSC decline can therefore remain the dominant background forcing even when SLR increases local bed-shear sensitivity within a bay.</w:t>
      </w:r>
    </w:p>
    <w:p w14:paraId="3A223F60" w14:textId="77777777" w:rsidR="00626A85" w:rsidRPr="00626A85" w:rsidRDefault="00626A85" w:rsidP="006515C6">
      <w:pPr>
        <w:snapToGrid w:val="0"/>
        <w:spacing w:beforeLines="0" w:before="0" w:afterLines="0" w:after="120" w:line="240" w:lineRule="auto"/>
        <w:ind w:firstLineChars="0" w:firstLine="0"/>
        <w:rPr>
          <w:b/>
          <w:bCs/>
        </w:rPr>
      </w:pPr>
      <w:r w:rsidRPr="00567357">
        <w:t xml:space="preserve">In that framework, SLR modifies bay SSC by changing wave-current shear, effective fetch, and accommodation space. Internal resuspension therefore acts mainly as partial compensation rather than a guaranteed source of net concentration increase. High-BREW and/or high-MALT systems are thus expected to show </w:t>
      </w:r>
      <w:r w:rsidRPr="00567357">
        <w:rPr>
          <w:i/>
          <w:iCs/>
        </w:rPr>
        <w:t>slower SSC decline</w:t>
      </w:r>
      <w:r w:rsidRPr="00567357">
        <w:t xml:space="preserve"> than adjacent offshore waters; if that buffering co-occurs with faster marsh retreat, the most consistent interpretation is remobilization of internal geomorphic capital.</w:t>
      </w:r>
    </w:p>
    <w:bookmarkEnd w:id="7"/>
    <w:p w14:paraId="4EE609D6" w14:textId="77777777" w:rsidR="00933E9A" w:rsidRPr="005A7148" w:rsidRDefault="00933E9A" w:rsidP="006515C6">
      <w:pPr>
        <w:snapToGrid w:val="0"/>
        <w:spacing w:beforeLines="0" w:before="0" w:afterLines="0" w:after="120" w:line="240" w:lineRule="auto"/>
        <w:ind w:firstLineChars="0" w:firstLine="0"/>
        <w:rPr>
          <w:b/>
          <w:bCs/>
        </w:rPr>
      </w:pPr>
    </w:p>
    <w:p w14:paraId="6A1426EA" w14:textId="77777777" w:rsidR="00933E9A" w:rsidRDefault="00933E9A" w:rsidP="006515C6">
      <w:pPr>
        <w:snapToGrid w:val="0"/>
        <w:spacing w:beforeLines="0" w:before="0" w:afterLines="0" w:after="120" w:line="240" w:lineRule="auto"/>
        <w:ind w:firstLineChars="0" w:firstLine="0"/>
      </w:pPr>
    </w:p>
    <w:sectPr w:rsidR="00933E9A">
      <w:headerReference w:type="even" r:id="rId17"/>
      <w:headerReference w:type="default" r:id="rId18"/>
      <w:footerReference w:type="even" r:id="rId19"/>
      <w:footerReference w:type="default" r:id="rId20"/>
      <w:headerReference w:type="first" r:id="rId21"/>
      <w:footerReference w:type="first" r:id="rId22"/>
      <w:pgSz w:w="11900" w:h="16840"/>
      <w:pgMar w:top="1418" w:right="1418" w:bottom="1418" w:left="1418" w:header="851" w:footer="992"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79C5D" w14:textId="77777777" w:rsidR="00140C80" w:rsidRDefault="00140C80">
      <w:pPr>
        <w:spacing w:before="120" w:after="120" w:line="240" w:lineRule="auto"/>
        <w:ind w:firstLine="480"/>
      </w:pPr>
      <w:r>
        <w:separator/>
      </w:r>
    </w:p>
  </w:endnote>
  <w:endnote w:type="continuationSeparator" w:id="0">
    <w:p w14:paraId="6210DCC6" w14:textId="77777777" w:rsidR="00140C80" w:rsidRDefault="00140C80">
      <w:pPr>
        <w:spacing w:before="120" w:after="120"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167A5" w14:textId="5C931995" w:rsidR="001F0307" w:rsidRDefault="001F0307">
    <w:pPr>
      <w:pStyle w:val="ad"/>
      <w:spacing w:before="120" w:after="12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FE47A" w14:textId="2EAB4583" w:rsidR="001F0307" w:rsidRDefault="00BD5031">
    <w:pPr>
      <w:pStyle w:val="ad"/>
      <w:spacing w:before="120" w:after="120"/>
      <w:ind w:firstLine="360"/>
      <w:jc w:val="center"/>
    </w:pPr>
    <w:r>
      <w:fldChar w:fldCharType="begin"/>
    </w:r>
    <w:r>
      <w:instrText>PAGE   \* MERGEFORMAT</w:instrText>
    </w:r>
    <w:r>
      <w:fldChar w:fldCharType="separate"/>
    </w:r>
    <w:r>
      <w:rPr>
        <w:lang w:val="zh-CN"/>
      </w:rPr>
      <w:t>44</w:t>
    </w:r>
    <w:r>
      <w:fldChar w:fldCharType="end"/>
    </w:r>
  </w:p>
  <w:p w14:paraId="636CE35A" w14:textId="77777777" w:rsidR="001F0307" w:rsidRDefault="001F0307">
    <w:pPr>
      <w:pStyle w:val="ad"/>
      <w:spacing w:before="120" w:after="12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166A4" w14:textId="56036538" w:rsidR="001F0307" w:rsidRDefault="001F0307">
    <w:pPr>
      <w:pStyle w:val="ad"/>
      <w:spacing w:before="120" w:after="12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65228" w14:textId="77777777" w:rsidR="00140C80" w:rsidRDefault="00140C80">
      <w:pPr>
        <w:spacing w:before="120" w:after="120"/>
        <w:ind w:firstLine="480"/>
      </w:pPr>
      <w:r>
        <w:separator/>
      </w:r>
    </w:p>
  </w:footnote>
  <w:footnote w:type="continuationSeparator" w:id="0">
    <w:p w14:paraId="6D524162" w14:textId="77777777" w:rsidR="00140C80" w:rsidRDefault="00140C80">
      <w:pPr>
        <w:spacing w:before="120" w:after="120"/>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FB51" w14:textId="290BB08E" w:rsidR="001F0307" w:rsidRDefault="001F0307">
    <w:pPr>
      <w:pStyle w:val="af"/>
      <w:spacing w:before="120" w:after="12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95A51" w14:textId="12943C2D" w:rsidR="001F0307" w:rsidRDefault="001F0307">
    <w:pPr>
      <w:pStyle w:val="af"/>
      <w:spacing w:before="120" w:after="120"/>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9958A" w14:textId="5C20C2A1" w:rsidR="001F0307" w:rsidRDefault="001F0307">
    <w:pPr>
      <w:pStyle w:val="af"/>
      <w:spacing w:before="120" w:after="120"/>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A990"/>
    <w:multiLevelType w:val="multilevel"/>
    <w:tmpl w:val="7900636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0" w15:restartNumberingAfterBreak="0">
    <w:nsid w:val="16961E38"/>
    <w:multiLevelType w:val="multilevel"/>
    <w:tmpl w:val="F862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F15EA3"/>
    <w:multiLevelType w:val="hybridMultilevel"/>
    <w:tmpl w:val="EF66BA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E10164"/>
    <w:multiLevelType w:val="multilevel"/>
    <w:tmpl w:val="FA1A4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D93224"/>
    <w:multiLevelType w:val="multilevel"/>
    <w:tmpl w:val="87AA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F06193"/>
    <w:multiLevelType w:val="multilevel"/>
    <w:tmpl w:val="25EC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C33F50"/>
    <w:multiLevelType w:val="multilevel"/>
    <w:tmpl w:val="6876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ED61E7"/>
    <w:multiLevelType w:val="multilevel"/>
    <w:tmpl w:val="4B9037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C43A95"/>
    <w:multiLevelType w:val="hybridMultilevel"/>
    <w:tmpl w:val="1FBE41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D812DD"/>
    <w:multiLevelType w:val="hybridMultilevel"/>
    <w:tmpl w:val="0C661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C427FC"/>
    <w:multiLevelType w:val="hybridMultilevel"/>
    <w:tmpl w:val="5BB23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E92401"/>
    <w:multiLevelType w:val="multilevel"/>
    <w:tmpl w:val="E58494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5B7790"/>
    <w:multiLevelType w:val="multilevel"/>
    <w:tmpl w:val="1F7E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1F6468"/>
    <w:multiLevelType w:val="multilevel"/>
    <w:tmpl w:val="7A6A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9453B1"/>
    <w:multiLevelType w:val="multilevel"/>
    <w:tmpl w:val="E4121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307D46"/>
    <w:multiLevelType w:val="multilevel"/>
    <w:tmpl w:val="6310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0514610">
    <w:abstractNumId w:val="12"/>
  </w:num>
  <w:num w:numId="2" w16cid:durableId="2110463194">
    <w:abstractNumId w:val="18"/>
  </w:num>
  <w:num w:numId="3" w16cid:durableId="885408243">
    <w:abstractNumId w:val="19"/>
  </w:num>
  <w:num w:numId="4" w16cid:durableId="1573540144">
    <w:abstractNumId w:val="11"/>
  </w:num>
  <w:num w:numId="5" w16cid:durableId="1284076793">
    <w:abstractNumId w:val="10"/>
  </w:num>
  <w:num w:numId="6" w16cid:durableId="1645115558">
    <w:abstractNumId w:val="16"/>
  </w:num>
  <w:num w:numId="7" w16cid:durableId="1985112305">
    <w:abstractNumId w:val="20"/>
  </w:num>
  <w:num w:numId="8" w16cid:durableId="196428633">
    <w:abstractNumId w:val="24"/>
  </w:num>
  <w:num w:numId="9" w16cid:durableId="494691048">
    <w:abstractNumId w:val="22"/>
  </w:num>
  <w:num w:numId="10" w16cid:durableId="193425543">
    <w:abstractNumId w:val="15"/>
  </w:num>
  <w:num w:numId="11" w16cid:durableId="1635941105">
    <w:abstractNumId w:val="21"/>
  </w:num>
  <w:num w:numId="12" w16cid:durableId="565846594">
    <w:abstractNumId w:val="13"/>
  </w:num>
  <w:num w:numId="13" w16cid:durableId="1897232998">
    <w:abstractNumId w:val="23"/>
  </w:num>
  <w:num w:numId="14" w16cid:durableId="1665355402">
    <w:abstractNumId w:val="14"/>
  </w:num>
  <w:num w:numId="15" w16cid:durableId="627586362">
    <w:abstractNumId w:val="8"/>
  </w:num>
  <w:num w:numId="16" w16cid:durableId="576718615">
    <w:abstractNumId w:val="6"/>
  </w:num>
  <w:num w:numId="17" w16cid:durableId="579484072">
    <w:abstractNumId w:val="5"/>
  </w:num>
  <w:num w:numId="18" w16cid:durableId="2064255278">
    <w:abstractNumId w:val="4"/>
  </w:num>
  <w:num w:numId="19" w16cid:durableId="209807013">
    <w:abstractNumId w:val="7"/>
  </w:num>
  <w:num w:numId="20" w16cid:durableId="1383096057">
    <w:abstractNumId w:val="3"/>
  </w:num>
  <w:num w:numId="21" w16cid:durableId="2129354">
    <w:abstractNumId w:val="2"/>
  </w:num>
  <w:num w:numId="22" w16cid:durableId="1919316333">
    <w:abstractNumId w:val="1"/>
  </w:num>
  <w:num w:numId="23" w16cid:durableId="1441606673">
    <w:abstractNumId w:val="0"/>
  </w:num>
  <w:num w:numId="24" w16cid:durableId="1898515082">
    <w:abstractNumId w:val="9"/>
  </w:num>
  <w:num w:numId="25" w16cid:durableId="218317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20"/>
  <w:drawingGridVerticalSpacing w:val="163"/>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zMDcxMDM2NTc1MzBT0lEKTi0uzszPAykwrgUA63H3NSwAAAA="/>
    <w:docVar w:name="commondata" w:val="eyJoZGlkIjoiZGNjMGIxYTE3YmNhODMyN2E5MjcyNDZkZjBjZDlmOGMifQ=="/>
    <w:docVar w:name="EN.InstantFormat" w:val="&lt;ENInstantFormat&gt;&lt;Enabled&gt;1&lt;/Enabled&gt;&lt;ScanUnformatted&gt;1&lt;/ScanUnformatted&gt;&lt;ScanChanges&gt;1&lt;/ScanChanges&gt;&lt;Suspended&gt;1&lt;/Suspended&gt;&lt;/ENInstantFormat&gt;"/>
    <w:docVar w:name="EN.Layout" w:val="&lt;ENLayout&gt;&lt;Style&gt;Chinese Std GBT7714 (author-yea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zswr2pcs2dwae0vpqpe05ix9ds9fzwaxr2&quot;&gt;My EndNote Library&lt;record-ids&gt;&lt;item&gt;184&lt;/item&gt;&lt;/record-ids&gt;&lt;/item&gt;&lt;/Libraries&gt;"/>
  </w:docVars>
  <w:rsids>
    <w:rsidRoot w:val="009B0708"/>
    <w:rsid w:val="000017CE"/>
    <w:rsid w:val="00001BA6"/>
    <w:rsid w:val="00001C21"/>
    <w:rsid w:val="00001D3E"/>
    <w:rsid w:val="00001FE7"/>
    <w:rsid w:val="00002263"/>
    <w:rsid w:val="000026BC"/>
    <w:rsid w:val="0000294E"/>
    <w:rsid w:val="00003786"/>
    <w:rsid w:val="00003D22"/>
    <w:rsid w:val="000044B5"/>
    <w:rsid w:val="00004796"/>
    <w:rsid w:val="000049A7"/>
    <w:rsid w:val="00004FA4"/>
    <w:rsid w:val="0000556F"/>
    <w:rsid w:val="00005AF5"/>
    <w:rsid w:val="00006004"/>
    <w:rsid w:val="00006315"/>
    <w:rsid w:val="00006BCA"/>
    <w:rsid w:val="00007F5C"/>
    <w:rsid w:val="000110A0"/>
    <w:rsid w:val="0001134D"/>
    <w:rsid w:val="000114C4"/>
    <w:rsid w:val="00012430"/>
    <w:rsid w:val="00012F7A"/>
    <w:rsid w:val="00013FEE"/>
    <w:rsid w:val="00014E4D"/>
    <w:rsid w:val="00015160"/>
    <w:rsid w:val="00015348"/>
    <w:rsid w:val="00015C7C"/>
    <w:rsid w:val="00016365"/>
    <w:rsid w:val="000163CA"/>
    <w:rsid w:val="000171DA"/>
    <w:rsid w:val="000175DD"/>
    <w:rsid w:val="00017C68"/>
    <w:rsid w:val="00017DEC"/>
    <w:rsid w:val="00017F6A"/>
    <w:rsid w:val="000203CE"/>
    <w:rsid w:val="000205F8"/>
    <w:rsid w:val="00021284"/>
    <w:rsid w:val="00021D50"/>
    <w:rsid w:val="00022837"/>
    <w:rsid w:val="00022992"/>
    <w:rsid w:val="00022D64"/>
    <w:rsid w:val="00023B16"/>
    <w:rsid w:val="00023CF5"/>
    <w:rsid w:val="00023D56"/>
    <w:rsid w:val="0002479A"/>
    <w:rsid w:val="00024A0F"/>
    <w:rsid w:val="00024C27"/>
    <w:rsid w:val="00024FBD"/>
    <w:rsid w:val="00025253"/>
    <w:rsid w:val="000257A3"/>
    <w:rsid w:val="0002648E"/>
    <w:rsid w:val="00026AFE"/>
    <w:rsid w:val="00026C1C"/>
    <w:rsid w:val="000273CF"/>
    <w:rsid w:val="000273E8"/>
    <w:rsid w:val="00027704"/>
    <w:rsid w:val="000278C9"/>
    <w:rsid w:val="00027948"/>
    <w:rsid w:val="00027A4C"/>
    <w:rsid w:val="0003079D"/>
    <w:rsid w:val="00030C62"/>
    <w:rsid w:val="00030EE2"/>
    <w:rsid w:val="00031511"/>
    <w:rsid w:val="000320E3"/>
    <w:rsid w:val="00033F90"/>
    <w:rsid w:val="0003413C"/>
    <w:rsid w:val="00034176"/>
    <w:rsid w:val="00034B3C"/>
    <w:rsid w:val="00034D3C"/>
    <w:rsid w:val="00034D80"/>
    <w:rsid w:val="00035FCD"/>
    <w:rsid w:val="00036126"/>
    <w:rsid w:val="0003700A"/>
    <w:rsid w:val="000376A8"/>
    <w:rsid w:val="0003791A"/>
    <w:rsid w:val="00037C8D"/>
    <w:rsid w:val="00037DBC"/>
    <w:rsid w:val="00040B27"/>
    <w:rsid w:val="00040E35"/>
    <w:rsid w:val="0004173D"/>
    <w:rsid w:val="00041A03"/>
    <w:rsid w:val="00041B40"/>
    <w:rsid w:val="00042159"/>
    <w:rsid w:val="0004217F"/>
    <w:rsid w:val="00043684"/>
    <w:rsid w:val="00044127"/>
    <w:rsid w:val="00044286"/>
    <w:rsid w:val="000444B0"/>
    <w:rsid w:val="00044523"/>
    <w:rsid w:val="00044E43"/>
    <w:rsid w:val="00045582"/>
    <w:rsid w:val="000455BD"/>
    <w:rsid w:val="00046BBE"/>
    <w:rsid w:val="000474D9"/>
    <w:rsid w:val="00050652"/>
    <w:rsid w:val="000508D4"/>
    <w:rsid w:val="000509BF"/>
    <w:rsid w:val="00050B4C"/>
    <w:rsid w:val="00050E7E"/>
    <w:rsid w:val="000511B7"/>
    <w:rsid w:val="00051727"/>
    <w:rsid w:val="00051E95"/>
    <w:rsid w:val="0005226E"/>
    <w:rsid w:val="00052325"/>
    <w:rsid w:val="00052C7E"/>
    <w:rsid w:val="000531E0"/>
    <w:rsid w:val="00053679"/>
    <w:rsid w:val="00053E75"/>
    <w:rsid w:val="0005463C"/>
    <w:rsid w:val="0005477C"/>
    <w:rsid w:val="00054B86"/>
    <w:rsid w:val="00054F91"/>
    <w:rsid w:val="000555B2"/>
    <w:rsid w:val="000556A0"/>
    <w:rsid w:val="000564D7"/>
    <w:rsid w:val="00056981"/>
    <w:rsid w:val="000574F7"/>
    <w:rsid w:val="00060061"/>
    <w:rsid w:val="000601E3"/>
    <w:rsid w:val="00060346"/>
    <w:rsid w:val="00060A31"/>
    <w:rsid w:val="00060D37"/>
    <w:rsid w:val="00061467"/>
    <w:rsid w:val="00061D96"/>
    <w:rsid w:val="00062110"/>
    <w:rsid w:val="00062186"/>
    <w:rsid w:val="00062496"/>
    <w:rsid w:val="00062C10"/>
    <w:rsid w:val="0006310F"/>
    <w:rsid w:val="0006336D"/>
    <w:rsid w:val="000636B5"/>
    <w:rsid w:val="00063743"/>
    <w:rsid w:val="000637A3"/>
    <w:rsid w:val="000637D5"/>
    <w:rsid w:val="00063F65"/>
    <w:rsid w:val="00065B34"/>
    <w:rsid w:val="0006609E"/>
    <w:rsid w:val="00066E76"/>
    <w:rsid w:val="000677FA"/>
    <w:rsid w:val="00067CA9"/>
    <w:rsid w:val="000700AB"/>
    <w:rsid w:val="0007012E"/>
    <w:rsid w:val="0007127B"/>
    <w:rsid w:val="00071559"/>
    <w:rsid w:val="000715E2"/>
    <w:rsid w:val="000716CB"/>
    <w:rsid w:val="00071FBA"/>
    <w:rsid w:val="0007204A"/>
    <w:rsid w:val="000727AF"/>
    <w:rsid w:val="000728B1"/>
    <w:rsid w:val="000730B1"/>
    <w:rsid w:val="00073428"/>
    <w:rsid w:val="00073695"/>
    <w:rsid w:val="00073AAC"/>
    <w:rsid w:val="000744E6"/>
    <w:rsid w:val="000745C6"/>
    <w:rsid w:val="00074F10"/>
    <w:rsid w:val="00074FBC"/>
    <w:rsid w:val="00075E67"/>
    <w:rsid w:val="00077BF9"/>
    <w:rsid w:val="00077F0A"/>
    <w:rsid w:val="00080145"/>
    <w:rsid w:val="00080198"/>
    <w:rsid w:val="0008039A"/>
    <w:rsid w:val="00080C3F"/>
    <w:rsid w:val="00081C69"/>
    <w:rsid w:val="00082B39"/>
    <w:rsid w:val="00082D88"/>
    <w:rsid w:val="00083D3A"/>
    <w:rsid w:val="00084B0B"/>
    <w:rsid w:val="00086064"/>
    <w:rsid w:val="00086D84"/>
    <w:rsid w:val="00086EAB"/>
    <w:rsid w:val="00087315"/>
    <w:rsid w:val="000878BD"/>
    <w:rsid w:val="00090304"/>
    <w:rsid w:val="0009103C"/>
    <w:rsid w:val="0009151B"/>
    <w:rsid w:val="00091E0B"/>
    <w:rsid w:val="00092040"/>
    <w:rsid w:val="000923BF"/>
    <w:rsid w:val="0009252D"/>
    <w:rsid w:val="00093BA1"/>
    <w:rsid w:val="00093FF3"/>
    <w:rsid w:val="00094D75"/>
    <w:rsid w:val="0009521F"/>
    <w:rsid w:val="00095488"/>
    <w:rsid w:val="00095EF6"/>
    <w:rsid w:val="000970BD"/>
    <w:rsid w:val="00097877"/>
    <w:rsid w:val="00097A11"/>
    <w:rsid w:val="000A03A6"/>
    <w:rsid w:val="000A09F3"/>
    <w:rsid w:val="000A17BD"/>
    <w:rsid w:val="000A2290"/>
    <w:rsid w:val="000A236B"/>
    <w:rsid w:val="000A2465"/>
    <w:rsid w:val="000A25BC"/>
    <w:rsid w:val="000A2882"/>
    <w:rsid w:val="000A375D"/>
    <w:rsid w:val="000A38F0"/>
    <w:rsid w:val="000A3D83"/>
    <w:rsid w:val="000A3FC6"/>
    <w:rsid w:val="000A49A1"/>
    <w:rsid w:val="000A4F10"/>
    <w:rsid w:val="000A5A8E"/>
    <w:rsid w:val="000A63E1"/>
    <w:rsid w:val="000A648B"/>
    <w:rsid w:val="000A6911"/>
    <w:rsid w:val="000B051C"/>
    <w:rsid w:val="000B0B97"/>
    <w:rsid w:val="000B1465"/>
    <w:rsid w:val="000B1B57"/>
    <w:rsid w:val="000B1B6D"/>
    <w:rsid w:val="000B2106"/>
    <w:rsid w:val="000B36A9"/>
    <w:rsid w:val="000B3D1F"/>
    <w:rsid w:val="000B4711"/>
    <w:rsid w:val="000B4D76"/>
    <w:rsid w:val="000B4E50"/>
    <w:rsid w:val="000B5227"/>
    <w:rsid w:val="000B522D"/>
    <w:rsid w:val="000B53BE"/>
    <w:rsid w:val="000B5457"/>
    <w:rsid w:val="000B5491"/>
    <w:rsid w:val="000B5C2F"/>
    <w:rsid w:val="000B71BC"/>
    <w:rsid w:val="000B79C8"/>
    <w:rsid w:val="000C02B4"/>
    <w:rsid w:val="000C0373"/>
    <w:rsid w:val="000C094E"/>
    <w:rsid w:val="000C1576"/>
    <w:rsid w:val="000C2477"/>
    <w:rsid w:val="000C24E5"/>
    <w:rsid w:val="000C28B8"/>
    <w:rsid w:val="000C28FA"/>
    <w:rsid w:val="000C2AC4"/>
    <w:rsid w:val="000C3151"/>
    <w:rsid w:val="000C34A3"/>
    <w:rsid w:val="000C39A0"/>
    <w:rsid w:val="000C3B95"/>
    <w:rsid w:val="000C3E58"/>
    <w:rsid w:val="000C4CA8"/>
    <w:rsid w:val="000C52DD"/>
    <w:rsid w:val="000C555D"/>
    <w:rsid w:val="000C5E9B"/>
    <w:rsid w:val="000C5F89"/>
    <w:rsid w:val="000C6886"/>
    <w:rsid w:val="000C6979"/>
    <w:rsid w:val="000C6998"/>
    <w:rsid w:val="000C6FC7"/>
    <w:rsid w:val="000C738C"/>
    <w:rsid w:val="000C799A"/>
    <w:rsid w:val="000D02A9"/>
    <w:rsid w:val="000D0C72"/>
    <w:rsid w:val="000D0D4B"/>
    <w:rsid w:val="000D0EB7"/>
    <w:rsid w:val="000D1392"/>
    <w:rsid w:val="000D1BF5"/>
    <w:rsid w:val="000D24C3"/>
    <w:rsid w:val="000D3219"/>
    <w:rsid w:val="000D3D0D"/>
    <w:rsid w:val="000D41BC"/>
    <w:rsid w:val="000D525B"/>
    <w:rsid w:val="000D555C"/>
    <w:rsid w:val="000D672F"/>
    <w:rsid w:val="000D6DCA"/>
    <w:rsid w:val="000D75FB"/>
    <w:rsid w:val="000D7858"/>
    <w:rsid w:val="000D7BBF"/>
    <w:rsid w:val="000D7E5E"/>
    <w:rsid w:val="000D7EA3"/>
    <w:rsid w:val="000E047C"/>
    <w:rsid w:val="000E0730"/>
    <w:rsid w:val="000E0ABD"/>
    <w:rsid w:val="000E0F12"/>
    <w:rsid w:val="000E1103"/>
    <w:rsid w:val="000E2326"/>
    <w:rsid w:val="000E3152"/>
    <w:rsid w:val="000E3436"/>
    <w:rsid w:val="000E355A"/>
    <w:rsid w:val="000E361D"/>
    <w:rsid w:val="000E3A96"/>
    <w:rsid w:val="000E3D8C"/>
    <w:rsid w:val="000E4377"/>
    <w:rsid w:val="000E443A"/>
    <w:rsid w:val="000E4BAD"/>
    <w:rsid w:val="000E4E3C"/>
    <w:rsid w:val="000E4F60"/>
    <w:rsid w:val="000E579A"/>
    <w:rsid w:val="000E5937"/>
    <w:rsid w:val="000E5B09"/>
    <w:rsid w:val="000E5C14"/>
    <w:rsid w:val="000E6BC4"/>
    <w:rsid w:val="000E7034"/>
    <w:rsid w:val="000E71CA"/>
    <w:rsid w:val="000E758E"/>
    <w:rsid w:val="000E7A78"/>
    <w:rsid w:val="000E7B2E"/>
    <w:rsid w:val="000F0016"/>
    <w:rsid w:val="000F125C"/>
    <w:rsid w:val="000F1D71"/>
    <w:rsid w:val="000F1D83"/>
    <w:rsid w:val="000F1ED0"/>
    <w:rsid w:val="000F1F9B"/>
    <w:rsid w:val="000F207E"/>
    <w:rsid w:val="000F2ED3"/>
    <w:rsid w:val="000F30D6"/>
    <w:rsid w:val="000F310A"/>
    <w:rsid w:val="000F4660"/>
    <w:rsid w:val="000F497F"/>
    <w:rsid w:val="000F49D2"/>
    <w:rsid w:val="000F4E30"/>
    <w:rsid w:val="000F5136"/>
    <w:rsid w:val="000F5822"/>
    <w:rsid w:val="000F5B9C"/>
    <w:rsid w:val="000F618C"/>
    <w:rsid w:val="000F62B4"/>
    <w:rsid w:val="000F691C"/>
    <w:rsid w:val="000F6A5E"/>
    <w:rsid w:val="000F707C"/>
    <w:rsid w:val="000F7546"/>
    <w:rsid w:val="000F77F0"/>
    <w:rsid w:val="0010044B"/>
    <w:rsid w:val="00101AC2"/>
    <w:rsid w:val="00101B0D"/>
    <w:rsid w:val="00101BA2"/>
    <w:rsid w:val="00101D99"/>
    <w:rsid w:val="00101FA5"/>
    <w:rsid w:val="00102297"/>
    <w:rsid w:val="00102726"/>
    <w:rsid w:val="00102B90"/>
    <w:rsid w:val="00102C7C"/>
    <w:rsid w:val="00103FC2"/>
    <w:rsid w:val="00104161"/>
    <w:rsid w:val="00104A2B"/>
    <w:rsid w:val="00104B5B"/>
    <w:rsid w:val="00104C45"/>
    <w:rsid w:val="001050E6"/>
    <w:rsid w:val="001052DB"/>
    <w:rsid w:val="001058AC"/>
    <w:rsid w:val="001058D3"/>
    <w:rsid w:val="00105A04"/>
    <w:rsid w:val="00105AD5"/>
    <w:rsid w:val="00105EB6"/>
    <w:rsid w:val="00105FBA"/>
    <w:rsid w:val="001065E8"/>
    <w:rsid w:val="00107AE1"/>
    <w:rsid w:val="00107E0F"/>
    <w:rsid w:val="00107FB8"/>
    <w:rsid w:val="0011011A"/>
    <w:rsid w:val="00110A46"/>
    <w:rsid w:val="00110E83"/>
    <w:rsid w:val="00111847"/>
    <w:rsid w:val="00111A19"/>
    <w:rsid w:val="00111F75"/>
    <w:rsid w:val="00112113"/>
    <w:rsid w:val="001123A7"/>
    <w:rsid w:val="001124BE"/>
    <w:rsid w:val="00112AC6"/>
    <w:rsid w:val="00112B2A"/>
    <w:rsid w:val="0011413F"/>
    <w:rsid w:val="001144E3"/>
    <w:rsid w:val="001152CD"/>
    <w:rsid w:val="001159BF"/>
    <w:rsid w:val="00115FD6"/>
    <w:rsid w:val="00116C9E"/>
    <w:rsid w:val="00117089"/>
    <w:rsid w:val="0011710A"/>
    <w:rsid w:val="00117385"/>
    <w:rsid w:val="0011769A"/>
    <w:rsid w:val="00117818"/>
    <w:rsid w:val="00117A30"/>
    <w:rsid w:val="001210F5"/>
    <w:rsid w:val="00121966"/>
    <w:rsid w:val="001219B2"/>
    <w:rsid w:val="001226A4"/>
    <w:rsid w:val="00122B6B"/>
    <w:rsid w:val="00122E06"/>
    <w:rsid w:val="00122E2F"/>
    <w:rsid w:val="0012376D"/>
    <w:rsid w:val="00123D91"/>
    <w:rsid w:val="00123EC5"/>
    <w:rsid w:val="00124336"/>
    <w:rsid w:val="0012436E"/>
    <w:rsid w:val="001248A8"/>
    <w:rsid w:val="00125E99"/>
    <w:rsid w:val="00126690"/>
    <w:rsid w:val="00126991"/>
    <w:rsid w:val="00127577"/>
    <w:rsid w:val="00130542"/>
    <w:rsid w:val="001306EE"/>
    <w:rsid w:val="00130E6E"/>
    <w:rsid w:val="00130FDA"/>
    <w:rsid w:val="0013215C"/>
    <w:rsid w:val="00132824"/>
    <w:rsid w:val="001329D9"/>
    <w:rsid w:val="0013362F"/>
    <w:rsid w:val="0013425B"/>
    <w:rsid w:val="0013469A"/>
    <w:rsid w:val="00134842"/>
    <w:rsid w:val="00134F62"/>
    <w:rsid w:val="00135B79"/>
    <w:rsid w:val="001364A6"/>
    <w:rsid w:val="00136CC3"/>
    <w:rsid w:val="00136D98"/>
    <w:rsid w:val="00137284"/>
    <w:rsid w:val="001374C4"/>
    <w:rsid w:val="00137E13"/>
    <w:rsid w:val="00137E21"/>
    <w:rsid w:val="0014057A"/>
    <w:rsid w:val="00140C80"/>
    <w:rsid w:val="00141B59"/>
    <w:rsid w:val="00141FCC"/>
    <w:rsid w:val="0014229B"/>
    <w:rsid w:val="00142F7F"/>
    <w:rsid w:val="00143175"/>
    <w:rsid w:val="001431BB"/>
    <w:rsid w:val="001438FA"/>
    <w:rsid w:val="00143B0D"/>
    <w:rsid w:val="00143B33"/>
    <w:rsid w:val="001441EF"/>
    <w:rsid w:val="00144964"/>
    <w:rsid w:val="00144A93"/>
    <w:rsid w:val="00145840"/>
    <w:rsid w:val="00145C72"/>
    <w:rsid w:val="00146646"/>
    <w:rsid w:val="0014687B"/>
    <w:rsid w:val="0014702A"/>
    <w:rsid w:val="001471E1"/>
    <w:rsid w:val="00147B4F"/>
    <w:rsid w:val="00150166"/>
    <w:rsid w:val="00150AE6"/>
    <w:rsid w:val="00150CD6"/>
    <w:rsid w:val="001510F0"/>
    <w:rsid w:val="00151193"/>
    <w:rsid w:val="00151658"/>
    <w:rsid w:val="001519DB"/>
    <w:rsid w:val="00152488"/>
    <w:rsid w:val="001524A2"/>
    <w:rsid w:val="00152FD6"/>
    <w:rsid w:val="00153200"/>
    <w:rsid w:val="0015321D"/>
    <w:rsid w:val="0015364B"/>
    <w:rsid w:val="00153CF8"/>
    <w:rsid w:val="00153D3E"/>
    <w:rsid w:val="001544C1"/>
    <w:rsid w:val="00154701"/>
    <w:rsid w:val="001547A4"/>
    <w:rsid w:val="00155A6F"/>
    <w:rsid w:val="001573B1"/>
    <w:rsid w:val="00160CBD"/>
    <w:rsid w:val="00160E9A"/>
    <w:rsid w:val="0016143C"/>
    <w:rsid w:val="00161597"/>
    <w:rsid w:val="001617D2"/>
    <w:rsid w:val="00161CB0"/>
    <w:rsid w:val="00161DBF"/>
    <w:rsid w:val="00161E3D"/>
    <w:rsid w:val="00163406"/>
    <w:rsid w:val="001634AC"/>
    <w:rsid w:val="001639FF"/>
    <w:rsid w:val="00163BAE"/>
    <w:rsid w:val="00164CC8"/>
    <w:rsid w:val="00164F24"/>
    <w:rsid w:val="001651FD"/>
    <w:rsid w:val="00165288"/>
    <w:rsid w:val="00165386"/>
    <w:rsid w:val="001656AF"/>
    <w:rsid w:val="00165979"/>
    <w:rsid w:val="00165CD7"/>
    <w:rsid w:val="00165D4A"/>
    <w:rsid w:val="00166560"/>
    <w:rsid w:val="00166750"/>
    <w:rsid w:val="00167228"/>
    <w:rsid w:val="00167DC0"/>
    <w:rsid w:val="001700DA"/>
    <w:rsid w:val="00170A09"/>
    <w:rsid w:val="00170B29"/>
    <w:rsid w:val="001716E2"/>
    <w:rsid w:val="00172188"/>
    <w:rsid w:val="001735A9"/>
    <w:rsid w:val="00173B5E"/>
    <w:rsid w:val="001749AB"/>
    <w:rsid w:val="001754F2"/>
    <w:rsid w:val="00175D65"/>
    <w:rsid w:val="00175E62"/>
    <w:rsid w:val="00175EAE"/>
    <w:rsid w:val="001760C9"/>
    <w:rsid w:val="00176444"/>
    <w:rsid w:val="00176AE3"/>
    <w:rsid w:val="00177270"/>
    <w:rsid w:val="00177A6A"/>
    <w:rsid w:val="00180AF2"/>
    <w:rsid w:val="00180C0F"/>
    <w:rsid w:val="00180E18"/>
    <w:rsid w:val="0018106D"/>
    <w:rsid w:val="00181E1F"/>
    <w:rsid w:val="0018246D"/>
    <w:rsid w:val="00182931"/>
    <w:rsid w:val="00182D13"/>
    <w:rsid w:val="00184532"/>
    <w:rsid w:val="0018496A"/>
    <w:rsid w:val="00184B38"/>
    <w:rsid w:val="00184DDC"/>
    <w:rsid w:val="00185028"/>
    <w:rsid w:val="001850E7"/>
    <w:rsid w:val="0018587B"/>
    <w:rsid w:val="00185951"/>
    <w:rsid w:val="00185CF9"/>
    <w:rsid w:val="0018634E"/>
    <w:rsid w:val="001866B9"/>
    <w:rsid w:val="00187079"/>
    <w:rsid w:val="00190781"/>
    <w:rsid w:val="001913A5"/>
    <w:rsid w:val="00192161"/>
    <w:rsid w:val="0019267A"/>
    <w:rsid w:val="00192808"/>
    <w:rsid w:val="00192A67"/>
    <w:rsid w:val="00192DB4"/>
    <w:rsid w:val="00192EA8"/>
    <w:rsid w:val="00193217"/>
    <w:rsid w:val="00193236"/>
    <w:rsid w:val="00193260"/>
    <w:rsid w:val="00193CA4"/>
    <w:rsid w:val="001941D6"/>
    <w:rsid w:val="00194830"/>
    <w:rsid w:val="00194EE6"/>
    <w:rsid w:val="0019543D"/>
    <w:rsid w:val="00195ABA"/>
    <w:rsid w:val="0019605F"/>
    <w:rsid w:val="001969FB"/>
    <w:rsid w:val="00196ADB"/>
    <w:rsid w:val="00196CBD"/>
    <w:rsid w:val="00197379"/>
    <w:rsid w:val="0019781F"/>
    <w:rsid w:val="001A02C5"/>
    <w:rsid w:val="001A061D"/>
    <w:rsid w:val="001A0B30"/>
    <w:rsid w:val="001A0BAA"/>
    <w:rsid w:val="001A1573"/>
    <w:rsid w:val="001A15C2"/>
    <w:rsid w:val="001A1B88"/>
    <w:rsid w:val="001A2AE8"/>
    <w:rsid w:val="001A2B35"/>
    <w:rsid w:val="001A2BAC"/>
    <w:rsid w:val="001A2FBE"/>
    <w:rsid w:val="001A34B1"/>
    <w:rsid w:val="001A3FCE"/>
    <w:rsid w:val="001A47AF"/>
    <w:rsid w:val="001A482A"/>
    <w:rsid w:val="001A4D16"/>
    <w:rsid w:val="001A4D1A"/>
    <w:rsid w:val="001A4DF8"/>
    <w:rsid w:val="001A58FB"/>
    <w:rsid w:val="001A61BF"/>
    <w:rsid w:val="001A6AC8"/>
    <w:rsid w:val="001A70FE"/>
    <w:rsid w:val="001A712B"/>
    <w:rsid w:val="001A75BC"/>
    <w:rsid w:val="001A7ABF"/>
    <w:rsid w:val="001A7D4C"/>
    <w:rsid w:val="001A7FB2"/>
    <w:rsid w:val="001B14B4"/>
    <w:rsid w:val="001B162B"/>
    <w:rsid w:val="001B1ACA"/>
    <w:rsid w:val="001B1B9B"/>
    <w:rsid w:val="001B2193"/>
    <w:rsid w:val="001B229C"/>
    <w:rsid w:val="001B22D5"/>
    <w:rsid w:val="001B2415"/>
    <w:rsid w:val="001B2578"/>
    <w:rsid w:val="001B25AA"/>
    <w:rsid w:val="001B261C"/>
    <w:rsid w:val="001B2A66"/>
    <w:rsid w:val="001B2C93"/>
    <w:rsid w:val="001B2E08"/>
    <w:rsid w:val="001B2E52"/>
    <w:rsid w:val="001B2EDB"/>
    <w:rsid w:val="001B3454"/>
    <w:rsid w:val="001B3604"/>
    <w:rsid w:val="001B396C"/>
    <w:rsid w:val="001B3A25"/>
    <w:rsid w:val="001B3FCB"/>
    <w:rsid w:val="001B438A"/>
    <w:rsid w:val="001B46FE"/>
    <w:rsid w:val="001B52FD"/>
    <w:rsid w:val="001B557E"/>
    <w:rsid w:val="001B5E29"/>
    <w:rsid w:val="001B6831"/>
    <w:rsid w:val="001B6EA6"/>
    <w:rsid w:val="001B75B9"/>
    <w:rsid w:val="001B7863"/>
    <w:rsid w:val="001C0A9E"/>
    <w:rsid w:val="001C1D36"/>
    <w:rsid w:val="001C227B"/>
    <w:rsid w:val="001C3337"/>
    <w:rsid w:val="001C33A2"/>
    <w:rsid w:val="001C3F75"/>
    <w:rsid w:val="001C4881"/>
    <w:rsid w:val="001C5AB5"/>
    <w:rsid w:val="001C5F0B"/>
    <w:rsid w:val="001C6BC7"/>
    <w:rsid w:val="001C74A7"/>
    <w:rsid w:val="001D0647"/>
    <w:rsid w:val="001D0BF2"/>
    <w:rsid w:val="001D0C71"/>
    <w:rsid w:val="001D0FFB"/>
    <w:rsid w:val="001D1948"/>
    <w:rsid w:val="001D1A11"/>
    <w:rsid w:val="001D20C6"/>
    <w:rsid w:val="001D242D"/>
    <w:rsid w:val="001D2580"/>
    <w:rsid w:val="001D25DC"/>
    <w:rsid w:val="001D2799"/>
    <w:rsid w:val="001D28C2"/>
    <w:rsid w:val="001D31A3"/>
    <w:rsid w:val="001D320A"/>
    <w:rsid w:val="001D3950"/>
    <w:rsid w:val="001D3B9A"/>
    <w:rsid w:val="001D3F0D"/>
    <w:rsid w:val="001D487B"/>
    <w:rsid w:val="001D4B05"/>
    <w:rsid w:val="001D521F"/>
    <w:rsid w:val="001D5EC0"/>
    <w:rsid w:val="001D6026"/>
    <w:rsid w:val="001D6AD6"/>
    <w:rsid w:val="001D76D5"/>
    <w:rsid w:val="001D7708"/>
    <w:rsid w:val="001D7BE0"/>
    <w:rsid w:val="001E0378"/>
    <w:rsid w:val="001E0FFD"/>
    <w:rsid w:val="001E2096"/>
    <w:rsid w:val="001E2197"/>
    <w:rsid w:val="001E2A59"/>
    <w:rsid w:val="001E2B46"/>
    <w:rsid w:val="001E3CB1"/>
    <w:rsid w:val="001E3FDF"/>
    <w:rsid w:val="001E4F46"/>
    <w:rsid w:val="001E50B8"/>
    <w:rsid w:val="001E5860"/>
    <w:rsid w:val="001E6628"/>
    <w:rsid w:val="001E6E81"/>
    <w:rsid w:val="001E6F9D"/>
    <w:rsid w:val="001E7539"/>
    <w:rsid w:val="001F0307"/>
    <w:rsid w:val="001F08F8"/>
    <w:rsid w:val="001F09DD"/>
    <w:rsid w:val="001F0F7C"/>
    <w:rsid w:val="001F11FD"/>
    <w:rsid w:val="001F136A"/>
    <w:rsid w:val="001F1F64"/>
    <w:rsid w:val="001F26AA"/>
    <w:rsid w:val="001F3424"/>
    <w:rsid w:val="001F3901"/>
    <w:rsid w:val="001F3CC8"/>
    <w:rsid w:val="001F3CE2"/>
    <w:rsid w:val="001F3DCD"/>
    <w:rsid w:val="001F47FD"/>
    <w:rsid w:val="001F4AB2"/>
    <w:rsid w:val="001F5575"/>
    <w:rsid w:val="001F5D38"/>
    <w:rsid w:val="001F69FD"/>
    <w:rsid w:val="001F6DCB"/>
    <w:rsid w:val="001F6F6B"/>
    <w:rsid w:val="001F6F9D"/>
    <w:rsid w:val="001F71A2"/>
    <w:rsid w:val="001F7D15"/>
    <w:rsid w:val="00201862"/>
    <w:rsid w:val="00203177"/>
    <w:rsid w:val="002037D0"/>
    <w:rsid w:val="00204CF1"/>
    <w:rsid w:val="002050B0"/>
    <w:rsid w:val="002054D3"/>
    <w:rsid w:val="00205EED"/>
    <w:rsid w:val="0020670B"/>
    <w:rsid w:val="00206C49"/>
    <w:rsid w:val="00206FED"/>
    <w:rsid w:val="00207044"/>
    <w:rsid w:val="00207D44"/>
    <w:rsid w:val="00207DFF"/>
    <w:rsid w:val="00207FAE"/>
    <w:rsid w:val="002108FA"/>
    <w:rsid w:val="002109CF"/>
    <w:rsid w:val="0021141D"/>
    <w:rsid w:val="00211531"/>
    <w:rsid w:val="00211581"/>
    <w:rsid w:val="00211EC1"/>
    <w:rsid w:val="00212001"/>
    <w:rsid w:val="0021209C"/>
    <w:rsid w:val="0021384B"/>
    <w:rsid w:val="002140B6"/>
    <w:rsid w:val="002140CF"/>
    <w:rsid w:val="0021478E"/>
    <w:rsid w:val="00214EA8"/>
    <w:rsid w:val="002157BB"/>
    <w:rsid w:val="00215952"/>
    <w:rsid w:val="00215AEC"/>
    <w:rsid w:val="00215D85"/>
    <w:rsid w:val="00217248"/>
    <w:rsid w:val="00217418"/>
    <w:rsid w:val="00217A36"/>
    <w:rsid w:val="0022056C"/>
    <w:rsid w:val="00220CFC"/>
    <w:rsid w:val="00220D2E"/>
    <w:rsid w:val="0022137D"/>
    <w:rsid w:val="0022146F"/>
    <w:rsid w:val="00221E46"/>
    <w:rsid w:val="00222573"/>
    <w:rsid w:val="00222926"/>
    <w:rsid w:val="00222D00"/>
    <w:rsid w:val="00223BEF"/>
    <w:rsid w:val="00223C09"/>
    <w:rsid w:val="00223C83"/>
    <w:rsid w:val="00224077"/>
    <w:rsid w:val="002240B5"/>
    <w:rsid w:val="002245F7"/>
    <w:rsid w:val="00224D05"/>
    <w:rsid w:val="0022519D"/>
    <w:rsid w:val="002253D1"/>
    <w:rsid w:val="002265A3"/>
    <w:rsid w:val="00226D98"/>
    <w:rsid w:val="00227DB7"/>
    <w:rsid w:val="002306A9"/>
    <w:rsid w:val="0023083B"/>
    <w:rsid w:val="002310AF"/>
    <w:rsid w:val="002310E3"/>
    <w:rsid w:val="00231212"/>
    <w:rsid w:val="00231477"/>
    <w:rsid w:val="0023168F"/>
    <w:rsid w:val="002317B6"/>
    <w:rsid w:val="0023293D"/>
    <w:rsid w:val="00232C3B"/>
    <w:rsid w:val="00232E52"/>
    <w:rsid w:val="00233408"/>
    <w:rsid w:val="002335CF"/>
    <w:rsid w:val="002337E3"/>
    <w:rsid w:val="0023431D"/>
    <w:rsid w:val="002344E9"/>
    <w:rsid w:val="00234DCE"/>
    <w:rsid w:val="00235891"/>
    <w:rsid w:val="00235909"/>
    <w:rsid w:val="00235C37"/>
    <w:rsid w:val="00236337"/>
    <w:rsid w:val="002368D8"/>
    <w:rsid w:val="00236A44"/>
    <w:rsid w:val="00236ACE"/>
    <w:rsid w:val="00236D3E"/>
    <w:rsid w:val="00240040"/>
    <w:rsid w:val="002408CC"/>
    <w:rsid w:val="00240FBE"/>
    <w:rsid w:val="0024155E"/>
    <w:rsid w:val="00241673"/>
    <w:rsid w:val="00241A72"/>
    <w:rsid w:val="00242025"/>
    <w:rsid w:val="002421DC"/>
    <w:rsid w:val="002424CD"/>
    <w:rsid w:val="002427E3"/>
    <w:rsid w:val="00243EB5"/>
    <w:rsid w:val="00244C3C"/>
    <w:rsid w:val="002450AE"/>
    <w:rsid w:val="00245441"/>
    <w:rsid w:val="00245598"/>
    <w:rsid w:val="002455E4"/>
    <w:rsid w:val="00245973"/>
    <w:rsid w:val="00245A68"/>
    <w:rsid w:val="00245B48"/>
    <w:rsid w:val="00245D84"/>
    <w:rsid w:val="002466C5"/>
    <w:rsid w:val="00246DA1"/>
    <w:rsid w:val="00246F67"/>
    <w:rsid w:val="00247015"/>
    <w:rsid w:val="002471FD"/>
    <w:rsid w:val="0024725A"/>
    <w:rsid w:val="002472E7"/>
    <w:rsid w:val="002477BE"/>
    <w:rsid w:val="002478A2"/>
    <w:rsid w:val="00247C48"/>
    <w:rsid w:val="00247ECD"/>
    <w:rsid w:val="00250A4B"/>
    <w:rsid w:val="00251754"/>
    <w:rsid w:val="002518EA"/>
    <w:rsid w:val="00252A5A"/>
    <w:rsid w:val="00252BAA"/>
    <w:rsid w:val="002533AE"/>
    <w:rsid w:val="00253602"/>
    <w:rsid w:val="00254857"/>
    <w:rsid w:val="0025545F"/>
    <w:rsid w:val="00256022"/>
    <w:rsid w:val="002562C6"/>
    <w:rsid w:val="0026040F"/>
    <w:rsid w:val="00260F57"/>
    <w:rsid w:val="00261487"/>
    <w:rsid w:val="00261B66"/>
    <w:rsid w:val="0026231E"/>
    <w:rsid w:val="0026233C"/>
    <w:rsid w:val="00262A34"/>
    <w:rsid w:val="00262D22"/>
    <w:rsid w:val="00263112"/>
    <w:rsid w:val="00263630"/>
    <w:rsid w:val="0026377A"/>
    <w:rsid w:val="00263911"/>
    <w:rsid w:val="00263CD0"/>
    <w:rsid w:val="00263CF8"/>
    <w:rsid w:val="00263F3C"/>
    <w:rsid w:val="00264F92"/>
    <w:rsid w:val="00265119"/>
    <w:rsid w:val="00265457"/>
    <w:rsid w:val="002655AB"/>
    <w:rsid w:val="0026577C"/>
    <w:rsid w:val="00265DA5"/>
    <w:rsid w:val="0026644A"/>
    <w:rsid w:val="002667D1"/>
    <w:rsid w:val="00266964"/>
    <w:rsid w:val="00266A31"/>
    <w:rsid w:val="00266BF8"/>
    <w:rsid w:val="00266E3E"/>
    <w:rsid w:val="00267918"/>
    <w:rsid w:val="00267A68"/>
    <w:rsid w:val="00267BA3"/>
    <w:rsid w:val="00270363"/>
    <w:rsid w:val="002715DA"/>
    <w:rsid w:val="002718C8"/>
    <w:rsid w:val="00271C0E"/>
    <w:rsid w:val="00271D47"/>
    <w:rsid w:val="00272B8B"/>
    <w:rsid w:val="00273411"/>
    <w:rsid w:val="002735FB"/>
    <w:rsid w:val="00273AA8"/>
    <w:rsid w:val="00273C3D"/>
    <w:rsid w:val="00275080"/>
    <w:rsid w:val="0027516B"/>
    <w:rsid w:val="00275310"/>
    <w:rsid w:val="0027595F"/>
    <w:rsid w:val="00275C23"/>
    <w:rsid w:val="00275C42"/>
    <w:rsid w:val="00275F58"/>
    <w:rsid w:val="002762DF"/>
    <w:rsid w:val="00276306"/>
    <w:rsid w:val="00276468"/>
    <w:rsid w:val="00277DD7"/>
    <w:rsid w:val="00277DED"/>
    <w:rsid w:val="0028035D"/>
    <w:rsid w:val="00280706"/>
    <w:rsid w:val="00280CEC"/>
    <w:rsid w:val="00281227"/>
    <w:rsid w:val="00281DC0"/>
    <w:rsid w:val="00282150"/>
    <w:rsid w:val="00282377"/>
    <w:rsid w:val="00282682"/>
    <w:rsid w:val="002829E0"/>
    <w:rsid w:val="00282EAA"/>
    <w:rsid w:val="00283064"/>
    <w:rsid w:val="0028379C"/>
    <w:rsid w:val="002846F7"/>
    <w:rsid w:val="00284738"/>
    <w:rsid w:val="00284B96"/>
    <w:rsid w:val="00284BAD"/>
    <w:rsid w:val="00285469"/>
    <w:rsid w:val="002857DA"/>
    <w:rsid w:val="00286326"/>
    <w:rsid w:val="0028677B"/>
    <w:rsid w:val="00287270"/>
    <w:rsid w:val="00287274"/>
    <w:rsid w:val="0029018F"/>
    <w:rsid w:val="002913A0"/>
    <w:rsid w:val="00291740"/>
    <w:rsid w:val="0029189D"/>
    <w:rsid w:val="002918E8"/>
    <w:rsid w:val="00291B9F"/>
    <w:rsid w:val="00292B42"/>
    <w:rsid w:val="00292D5A"/>
    <w:rsid w:val="00293DCA"/>
    <w:rsid w:val="00294380"/>
    <w:rsid w:val="002943EB"/>
    <w:rsid w:val="002943FA"/>
    <w:rsid w:val="002950F2"/>
    <w:rsid w:val="002954BF"/>
    <w:rsid w:val="002969BC"/>
    <w:rsid w:val="00296A33"/>
    <w:rsid w:val="00296BA3"/>
    <w:rsid w:val="00296BF1"/>
    <w:rsid w:val="002970D7"/>
    <w:rsid w:val="00297113"/>
    <w:rsid w:val="002975F8"/>
    <w:rsid w:val="00297EB3"/>
    <w:rsid w:val="002A07BA"/>
    <w:rsid w:val="002A0C23"/>
    <w:rsid w:val="002A2AD6"/>
    <w:rsid w:val="002A2C26"/>
    <w:rsid w:val="002A2FDE"/>
    <w:rsid w:val="002A35E3"/>
    <w:rsid w:val="002A51DA"/>
    <w:rsid w:val="002A571F"/>
    <w:rsid w:val="002A579D"/>
    <w:rsid w:val="002A585F"/>
    <w:rsid w:val="002A58AB"/>
    <w:rsid w:val="002A599B"/>
    <w:rsid w:val="002A5CC9"/>
    <w:rsid w:val="002A5F86"/>
    <w:rsid w:val="002A6238"/>
    <w:rsid w:val="002A62AA"/>
    <w:rsid w:val="002A6379"/>
    <w:rsid w:val="002A66CC"/>
    <w:rsid w:val="002A7354"/>
    <w:rsid w:val="002A73CA"/>
    <w:rsid w:val="002A7938"/>
    <w:rsid w:val="002B04CF"/>
    <w:rsid w:val="002B0727"/>
    <w:rsid w:val="002B2527"/>
    <w:rsid w:val="002B2CD5"/>
    <w:rsid w:val="002B2FB0"/>
    <w:rsid w:val="002B3614"/>
    <w:rsid w:val="002B36D1"/>
    <w:rsid w:val="002B3F1F"/>
    <w:rsid w:val="002B4206"/>
    <w:rsid w:val="002B4614"/>
    <w:rsid w:val="002B4AA1"/>
    <w:rsid w:val="002B59C9"/>
    <w:rsid w:val="002B5B4F"/>
    <w:rsid w:val="002B6D14"/>
    <w:rsid w:val="002B785D"/>
    <w:rsid w:val="002B7DF7"/>
    <w:rsid w:val="002C046C"/>
    <w:rsid w:val="002C0523"/>
    <w:rsid w:val="002C0676"/>
    <w:rsid w:val="002C0AA9"/>
    <w:rsid w:val="002C0D8E"/>
    <w:rsid w:val="002C154A"/>
    <w:rsid w:val="002C15E0"/>
    <w:rsid w:val="002C24D0"/>
    <w:rsid w:val="002C261B"/>
    <w:rsid w:val="002C2984"/>
    <w:rsid w:val="002C2A21"/>
    <w:rsid w:val="002C2C07"/>
    <w:rsid w:val="002C3136"/>
    <w:rsid w:val="002C37D1"/>
    <w:rsid w:val="002C3D3C"/>
    <w:rsid w:val="002C3E04"/>
    <w:rsid w:val="002C3EC8"/>
    <w:rsid w:val="002C42ED"/>
    <w:rsid w:val="002C4620"/>
    <w:rsid w:val="002C4D8D"/>
    <w:rsid w:val="002C5E70"/>
    <w:rsid w:val="002C653F"/>
    <w:rsid w:val="002C668B"/>
    <w:rsid w:val="002C6C7C"/>
    <w:rsid w:val="002C701A"/>
    <w:rsid w:val="002C7148"/>
    <w:rsid w:val="002C7441"/>
    <w:rsid w:val="002C7549"/>
    <w:rsid w:val="002C75DD"/>
    <w:rsid w:val="002C7C84"/>
    <w:rsid w:val="002D0AFE"/>
    <w:rsid w:val="002D1396"/>
    <w:rsid w:val="002D176E"/>
    <w:rsid w:val="002D1B15"/>
    <w:rsid w:val="002D26C0"/>
    <w:rsid w:val="002D2C35"/>
    <w:rsid w:val="002D32E7"/>
    <w:rsid w:val="002D3359"/>
    <w:rsid w:val="002D399A"/>
    <w:rsid w:val="002D39B2"/>
    <w:rsid w:val="002D3DF0"/>
    <w:rsid w:val="002D457C"/>
    <w:rsid w:val="002D4E68"/>
    <w:rsid w:val="002D5217"/>
    <w:rsid w:val="002D548F"/>
    <w:rsid w:val="002D58B2"/>
    <w:rsid w:val="002D5BE9"/>
    <w:rsid w:val="002D61C2"/>
    <w:rsid w:val="002D63BB"/>
    <w:rsid w:val="002D6557"/>
    <w:rsid w:val="002D67B7"/>
    <w:rsid w:val="002D7981"/>
    <w:rsid w:val="002E0AE7"/>
    <w:rsid w:val="002E1160"/>
    <w:rsid w:val="002E18FB"/>
    <w:rsid w:val="002E1D1E"/>
    <w:rsid w:val="002E1E37"/>
    <w:rsid w:val="002E28C2"/>
    <w:rsid w:val="002E311A"/>
    <w:rsid w:val="002E3286"/>
    <w:rsid w:val="002E35B6"/>
    <w:rsid w:val="002E38F6"/>
    <w:rsid w:val="002E3DB7"/>
    <w:rsid w:val="002E3F1C"/>
    <w:rsid w:val="002E4287"/>
    <w:rsid w:val="002E4A28"/>
    <w:rsid w:val="002E4A53"/>
    <w:rsid w:val="002E4C8D"/>
    <w:rsid w:val="002E4DE9"/>
    <w:rsid w:val="002E5122"/>
    <w:rsid w:val="002E53D7"/>
    <w:rsid w:val="002E5A3E"/>
    <w:rsid w:val="002E5AA2"/>
    <w:rsid w:val="002E5AAC"/>
    <w:rsid w:val="002E62C4"/>
    <w:rsid w:val="002E6E74"/>
    <w:rsid w:val="002E7093"/>
    <w:rsid w:val="002E729D"/>
    <w:rsid w:val="002E7383"/>
    <w:rsid w:val="002E784F"/>
    <w:rsid w:val="002F11C1"/>
    <w:rsid w:val="002F1241"/>
    <w:rsid w:val="002F1334"/>
    <w:rsid w:val="002F17DB"/>
    <w:rsid w:val="002F181F"/>
    <w:rsid w:val="002F1B94"/>
    <w:rsid w:val="002F1C67"/>
    <w:rsid w:val="002F1E18"/>
    <w:rsid w:val="002F23F8"/>
    <w:rsid w:val="002F2C36"/>
    <w:rsid w:val="002F4156"/>
    <w:rsid w:val="002F4544"/>
    <w:rsid w:val="002F4581"/>
    <w:rsid w:val="002F4842"/>
    <w:rsid w:val="002F48CC"/>
    <w:rsid w:val="002F492B"/>
    <w:rsid w:val="002F4965"/>
    <w:rsid w:val="002F5B3C"/>
    <w:rsid w:val="002F5D2F"/>
    <w:rsid w:val="002F5DBB"/>
    <w:rsid w:val="002F5EF9"/>
    <w:rsid w:val="002F64B1"/>
    <w:rsid w:val="002F65BB"/>
    <w:rsid w:val="002F6947"/>
    <w:rsid w:val="002F7023"/>
    <w:rsid w:val="002F73CB"/>
    <w:rsid w:val="002F7CA6"/>
    <w:rsid w:val="003000FF"/>
    <w:rsid w:val="003003CE"/>
    <w:rsid w:val="003003DC"/>
    <w:rsid w:val="0030068D"/>
    <w:rsid w:val="0030097F"/>
    <w:rsid w:val="003009D7"/>
    <w:rsid w:val="00300AAE"/>
    <w:rsid w:val="00300C1E"/>
    <w:rsid w:val="00300E1D"/>
    <w:rsid w:val="0030113A"/>
    <w:rsid w:val="003023BE"/>
    <w:rsid w:val="003026FC"/>
    <w:rsid w:val="00302785"/>
    <w:rsid w:val="003029C5"/>
    <w:rsid w:val="00302BFB"/>
    <w:rsid w:val="00302C20"/>
    <w:rsid w:val="003032AE"/>
    <w:rsid w:val="00303316"/>
    <w:rsid w:val="003033AB"/>
    <w:rsid w:val="00303CED"/>
    <w:rsid w:val="00304126"/>
    <w:rsid w:val="00304571"/>
    <w:rsid w:val="00304EA3"/>
    <w:rsid w:val="003050B5"/>
    <w:rsid w:val="00305318"/>
    <w:rsid w:val="0030550E"/>
    <w:rsid w:val="0030564C"/>
    <w:rsid w:val="003061BF"/>
    <w:rsid w:val="00306419"/>
    <w:rsid w:val="00306725"/>
    <w:rsid w:val="00310388"/>
    <w:rsid w:val="003106C4"/>
    <w:rsid w:val="00311273"/>
    <w:rsid w:val="00311C62"/>
    <w:rsid w:val="00311CA9"/>
    <w:rsid w:val="003127C2"/>
    <w:rsid w:val="00312A8C"/>
    <w:rsid w:val="00312B02"/>
    <w:rsid w:val="00312CBD"/>
    <w:rsid w:val="00313260"/>
    <w:rsid w:val="003137BB"/>
    <w:rsid w:val="00313C4F"/>
    <w:rsid w:val="003141D2"/>
    <w:rsid w:val="00314592"/>
    <w:rsid w:val="00314F18"/>
    <w:rsid w:val="0031550B"/>
    <w:rsid w:val="0031558B"/>
    <w:rsid w:val="00315BEB"/>
    <w:rsid w:val="00316610"/>
    <w:rsid w:val="00316A38"/>
    <w:rsid w:val="00317442"/>
    <w:rsid w:val="0031770B"/>
    <w:rsid w:val="003177E4"/>
    <w:rsid w:val="00317A53"/>
    <w:rsid w:val="00317D05"/>
    <w:rsid w:val="003204DD"/>
    <w:rsid w:val="00320A18"/>
    <w:rsid w:val="003212C1"/>
    <w:rsid w:val="00321312"/>
    <w:rsid w:val="00321427"/>
    <w:rsid w:val="00321490"/>
    <w:rsid w:val="00321BCF"/>
    <w:rsid w:val="00321ECB"/>
    <w:rsid w:val="003224AA"/>
    <w:rsid w:val="00322970"/>
    <w:rsid w:val="00322C0B"/>
    <w:rsid w:val="00322D06"/>
    <w:rsid w:val="00322D8B"/>
    <w:rsid w:val="003236EE"/>
    <w:rsid w:val="003248C3"/>
    <w:rsid w:val="0032495B"/>
    <w:rsid w:val="003250A0"/>
    <w:rsid w:val="0032517C"/>
    <w:rsid w:val="003251C4"/>
    <w:rsid w:val="00325511"/>
    <w:rsid w:val="00325AAD"/>
    <w:rsid w:val="00325F54"/>
    <w:rsid w:val="0032601D"/>
    <w:rsid w:val="00326FD2"/>
    <w:rsid w:val="0032700E"/>
    <w:rsid w:val="003270D1"/>
    <w:rsid w:val="00327922"/>
    <w:rsid w:val="00327DE0"/>
    <w:rsid w:val="00330276"/>
    <w:rsid w:val="00330C37"/>
    <w:rsid w:val="0033141B"/>
    <w:rsid w:val="00331941"/>
    <w:rsid w:val="00331989"/>
    <w:rsid w:val="00332289"/>
    <w:rsid w:val="0033299E"/>
    <w:rsid w:val="00332DC4"/>
    <w:rsid w:val="003331B2"/>
    <w:rsid w:val="003333A9"/>
    <w:rsid w:val="00333A91"/>
    <w:rsid w:val="003341B2"/>
    <w:rsid w:val="003343AF"/>
    <w:rsid w:val="00334688"/>
    <w:rsid w:val="00335423"/>
    <w:rsid w:val="003358A3"/>
    <w:rsid w:val="00335D7F"/>
    <w:rsid w:val="00336811"/>
    <w:rsid w:val="00340227"/>
    <w:rsid w:val="00340279"/>
    <w:rsid w:val="0034092C"/>
    <w:rsid w:val="00340B36"/>
    <w:rsid w:val="003412EB"/>
    <w:rsid w:val="00341815"/>
    <w:rsid w:val="00341DF5"/>
    <w:rsid w:val="00341E27"/>
    <w:rsid w:val="00342A57"/>
    <w:rsid w:val="00342DC1"/>
    <w:rsid w:val="0034382C"/>
    <w:rsid w:val="0034396C"/>
    <w:rsid w:val="003439F6"/>
    <w:rsid w:val="003442FA"/>
    <w:rsid w:val="003451C0"/>
    <w:rsid w:val="00345339"/>
    <w:rsid w:val="00345739"/>
    <w:rsid w:val="00345831"/>
    <w:rsid w:val="0034632B"/>
    <w:rsid w:val="00346993"/>
    <w:rsid w:val="00346C3A"/>
    <w:rsid w:val="00347891"/>
    <w:rsid w:val="003478E2"/>
    <w:rsid w:val="00347D8C"/>
    <w:rsid w:val="00350C70"/>
    <w:rsid w:val="00350D9A"/>
    <w:rsid w:val="00350F0F"/>
    <w:rsid w:val="00351103"/>
    <w:rsid w:val="0035159C"/>
    <w:rsid w:val="00351EFD"/>
    <w:rsid w:val="00351FF5"/>
    <w:rsid w:val="00352165"/>
    <w:rsid w:val="00352413"/>
    <w:rsid w:val="00353853"/>
    <w:rsid w:val="00355DC5"/>
    <w:rsid w:val="00355E10"/>
    <w:rsid w:val="00356CE8"/>
    <w:rsid w:val="003575D8"/>
    <w:rsid w:val="00360046"/>
    <w:rsid w:val="00360316"/>
    <w:rsid w:val="00360A96"/>
    <w:rsid w:val="003634C8"/>
    <w:rsid w:val="0036385C"/>
    <w:rsid w:val="00364453"/>
    <w:rsid w:val="00364948"/>
    <w:rsid w:val="00365153"/>
    <w:rsid w:val="0036607E"/>
    <w:rsid w:val="00366372"/>
    <w:rsid w:val="00366379"/>
    <w:rsid w:val="00366CBA"/>
    <w:rsid w:val="003672E8"/>
    <w:rsid w:val="00367681"/>
    <w:rsid w:val="0036793A"/>
    <w:rsid w:val="00370035"/>
    <w:rsid w:val="0037012E"/>
    <w:rsid w:val="0037017A"/>
    <w:rsid w:val="00370AA2"/>
    <w:rsid w:val="00370E74"/>
    <w:rsid w:val="00371995"/>
    <w:rsid w:val="00371A7F"/>
    <w:rsid w:val="00371AA1"/>
    <w:rsid w:val="003720E9"/>
    <w:rsid w:val="00372D56"/>
    <w:rsid w:val="00372FA0"/>
    <w:rsid w:val="00373AA5"/>
    <w:rsid w:val="0037404A"/>
    <w:rsid w:val="0037407D"/>
    <w:rsid w:val="00374087"/>
    <w:rsid w:val="00374CD4"/>
    <w:rsid w:val="0037502B"/>
    <w:rsid w:val="00375406"/>
    <w:rsid w:val="00376FEE"/>
    <w:rsid w:val="00377190"/>
    <w:rsid w:val="00377357"/>
    <w:rsid w:val="00377C03"/>
    <w:rsid w:val="003800EB"/>
    <w:rsid w:val="003802FB"/>
    <w:rsid w:val="003805A5"/>
    <w:rsid w:val="0038072A"/>
    <w:rsid w:val="00380A86"/>
    <w:rsid w:val="00380ACB"/>
    <w:rsid w:val="00381557"/>
    <w:rsid w:val="00381B73"/>
    <w:rsid w:val="0038247C"/>
    <w:rsid w:val="00382599"/>
    <w:rsid w:val="00382AF0"/>
    <w:rsid w:val="0038348B"/>
    <w:rsid w:val="003834B5"/>
    <w:rsid w:val="0038380A"/>
    <w:rsid w:val="00383D7A"/>
    <w:rsid w:val="00383E08"/>
    <w:rsid w:val="00383F67"/>
    <w:rsid w:val="00383FB4"/>
    <w:rsid w:val="00384551"/>
    <w:rsid w:val="00384576"/>
    <w:rsid w:val="003848C1"/>
    <w:rsid w:val="00384AC5"/>
    <w:rsid w:val="00384B81"/>
    <w:rsid w:val="00384D85"/>
    <w:rsid w:val="00385222"/>
    <w:rsid w:val="003858D2"/>
    <w:rsid w:val="00385C98"/>
    <w:rsid w:val="003860C3"/>
    <w:rsid w:val="0038653A"/>
    <w:rsid w:val="00386803"/>
    <w:rsid w:val="00386CE3"/>
    <w:rsid w:val="00386D00"/>
    <w:rsid w:val="003877AB"/>
    <w:rsid w:val="0038783A"/>
    <w:rsid w:val="003902A8"/>
    <w:rsid w:val="00391270"/>
    <w:rsid w:val="00391856"/>
    <w:rsid w:val="00392171"/>
    <w:rsid w:val="00392192"/>
    <w:rsid w:val="003927AE"/>
    <w:rsid w:val="0039298F"/>
    <w:rsid w:val="00392F49"/>
    <w:rsid w:val="00394035"/>
    <w:rsid w:val="00394EA2"/>
    <w:rsid w:val="003952EC"/>
    <w:rsid w:val="003956F9"/>
    <w:rsid w:val="00395733"/>
    <w:rsid w:val="00395D7B"/>
    <w:rsid w:val="00395DBD"/>
    <w:rsid w:val="00396079"/>
    <w:rsid w:val="00396345"/>
    <w:rsid w:val="00396AF4"/>
    <w:rsid w:val="00396E35"/>
    <w:rsid w:val="00396F74"/>
    <w:rsid w:val="00397072"/>
    <w:rsid w:val="003977BB"/>
    <w:rsid w:val="00397A22"/>
    <w:rsid w:val="003A0DBB"/>
    <w:rsid w:val="003A136F"/>
    <w:rsid w:val="003A22C9"/>
    <w:rsid w:val="003A2ED1"/>
    <w:rsid w:val="003A2F64"/>
    <w:rsid w:val="003A3D9A"/>
    <w:rsid w:val="003A3E79"/>
    <w:rsid w:val="003A430A"/>
    <w:rsid w:val="003A490F"/>
    <w:rsid w:val="003A49C2"/>
    <w:rsid w:val="003A4C57"/>
    <w:rsid w:val="003A5296"/>
    <w:rsid w:val="003A594C"/>
    <w:rsid w:val="003A6827"/>
    <w:rsid w:val="003A7AB5"/>
    <w:rsid w:val="003A7CEF"/>
    <w:rsid w:val="003B04E2"/>
    <w:rsid w:val="003B057A"/>
    <w:rsid w:val="003B0606"/>
    <w:rsid w:val="003B07CE"/>
    <w:rsid w:val="003B09C5"/>
    <w:rsid w:val="003B1C24"/>
    <w:rsid w:val="003B2E6C"/>
    <w:rsid w:val="003B3DA2"/>
    <w:rsid w:val="003B42F3"/>
    <w:rsid w:val="003B467D"/>
    <w:rsid w:val="003B4BE9"/>
    <w:rsid w:val="003B5222"/>
    <w:rsid w:val="003B5294"/>
    <w:rsid w:val="003B5890"/>
    <w:rsid w:val="003B5D23"/>
    <w:rsid w:val="003B5F59"/>
    <w:rsid w:val="003B6248"/>
    <w:rsid w:val="003B64B2"/>
    <w:rsid w:val="003B69D0"/>
    <w:rsid w:val="003B6F88"/>
    <w:rsid w:val="003B7404"/>
    <w:rsid w:val="003B7407"/>
    <w:rsid w:val="003B7582"/>
    <w:rsid w:val="003B7CF3"/>
    <w:rsid w:val="003C00E6"/>
    <w:rsid w:val="003C07A2"/>
    <w:rsid w:val="003C0D5D"/>
    <w:rsid w:val="003C11C0"/>
    <w:rsid w:val="003C232A"/>
    <w:rsid w:val="003C2796"/>
    <w:rsid w:val="003C39EA"/>
    <w:rsid w:val="003C3BA2"/>
    <w:rsid w:val="003C3D00"/>
    <w:rsid w:val="003C40E7"/>
    <w:rsid w:val="003C41B7"/>
    <w:rsid w:val="003C49AA"/>
    <w:rsid w:val="003C4FA8"/>
    <w:rsid w:val="003C7099"/>
    <w:rsid w:val="003D002A"/>
    <w:rsid w:val="003D036C"/>
    <w:rsid w:val="003D0AEF"/>
    <w:rsid w:val="003D0D9A"/>
    <w:rsid w:val="003D1A08"/>
    <w:rsid w:val="003D1AC3"/>
    <w:rsid w:val="003D2013"/>
    <w:rsid w:val="003D2C4E"/>
    <w:rsid w:val="003D3032"/>
    <w:rsid w:val="003D4201"/>
    <w:rsid w:val="003D4287"/>
    <w:rsid w:val="003D42AD"/>
    <w:rsid w:val="003D43F8"/>
    <w:rsid w:val="003D4AD9"/>
    <w:rsid w:val="003D4B1E"/>
    <w:rsid w:val="003D51B5"/>
    <w:rsid w:val="003D52DB"/>
    <w:rsid w:val="003D533E"/>
    <w:rsid w:val="003D5FEC"/>
    <w:rsid w:val="003D6553"/>
    <w:rsid w:val="003D6979"/>
    <w:rsid w:val="003D7AA0"/>
    <w:rsid w:val="003D7F12"/>
    <w:rsid w:val="003E004A"/>
    <w:rsid w:val="003E0214"/>
    <w:rsid w:val="003E043B"/>
    <w:rsid w:val="003E0A00"/>
    <w:rsid w:val="003E0C7D"/>
    <w:rsid w:val="003E1117"/>
    <w:rsid w:val="003E1223"/>
    <w:rsid w:val="003E2080"/>
    <w:rsid w:val="003E240F"/>
    <w:rsid w:val="003E35A8"/>
    <w:rsid w:val="003E4CC1"/>
    <w:rsid w:val="003E4D09"/>
    <w:rsid w:val="003E5036"/>
    <w:rsid w:val="003E539F"/>
    <w:rsid w:val="003E57A2"/>
    <w:rsid w:val="003E6520"/>
    <w:rsid w:val="003E71D6"/>
    <w:rsid w:val="003E7898"/>
    <w:rsid w:val="003E7B2E"/>
    <w:rsid w:val="003F13AF"/>
    <w:rsid w:val="003F22B1"/>
    <w:rsid w:val="003F2A2E"/>
    <w:rsid w:val="003F2E46"/>
    <w:rsid w:val="003F33B7"/>
    <w:rsid w:val="003F4036"/>
    <w:rsid w:val="003F4777"/>
    <w:rsid w:val="003F4CF1"/>
    <w:rsid w:val="003F51AF"/>
    <w:rsid w:val="003F52EC"/>
    <w:rsid w:val="003F5CA5"/>
    <w:rsid w:val="003F6084"/>
    <w:rsid w:val="003F62FE"/>
    <w:rsid w:val="003F6334"/>
    <w:rsid w:val="003F7788"/>
    <w:rsid w:val="003F7AA8"/>
    <w:rsid w:val="00400110"/>
    <w:rsid w:val="004001A8"/>
    <w:rsid w:val="00400730"/>
    <w:rsid w:val="00400CC3"/>
    <w:rsid w:val="00401170"/>
    <w:rsid w:val="00401669"/>
    <w:rsid w:val="004019EC"/>
    <w:rsid w:val="00401BE2"/>
    <w:rsid w:val="00401C76"/>
    <w:rsid w:val="00401ED7"/>
    <w:rsid w:val="00401F0E"/>
    <w:rsid w:val="00401FC7"/>
    <w:rsid w:val="0040296D"/>
    <w:rsid w:val="00402EC4"/>
    <w:rsid w:val="004039B2"/>
    <w:rsid w:val="00403F76"/>
    <w:rsid w:val="004042B8"/>
    <w:rsid w:val="00404392"/>
    <w:rsid w:val="00404629"/>
    <w:rsid w:val="004046EE"/>
    <w:rsid w:val="00404904"/>
    <w:rsid w:val="00404A79"/>
    <w:rsid w:val="00404C9D"/>
    <w:rsid w:val="00405996"/>
    <w:rsid w:val="00405F6F"/>
    <w:rsid w:val="00406923"/>
    <w:rsid w:val="00406EDF"/>
    <w:rsid w:val="004072ED"/>
    <w:rsid w:val="00407A2C"/>
    <w:rsid w:val="00407CA0"/>
    <w:rsid w:val="00407DCB"/>
    <w:rsid w:val="004100D8"/>
    <w:rsid w:val="00410C84"/>
    <w:rsid w:val="00410F93"/>
    <w:rsid w:val="00410FD8"/>
    <w:rsid w:val="0041125B"/>
    <w:rsid w:val="00411681"/>
    <w:rsid w:val="00411C87"/>
    <w:rsid w:val="00412BB8"/>
    <w:rsid w:val="00412E2E"/>
    <w:rsid w:val="00413464"/>
    <w:rsid w:val="004139F0"/>
    <w:rsid w:val="00413B89"/>
    <w:rsid w:val="00413C82"/>
    <w:rsid w:val="004144D1"/>
    <w:rsid w:val="004144E8"/>
    <w:rsid w:val="00414D55"/>
    <w:rsid w:val="004150B4"/>
    <w:rsid w:val="00415687"/>
    <w:rsid w:val="004159D2"/>
    <w:rsid w:val="004165CA"/>
    <w:rsid w:val="004165D3"/>
    <w:rsid w:val="00416F2A"/>
    <w:rsid w:val="0041703E"/>
    <w:rsid w:val="0041709C"/>
    <w:rsid w:val="004174C0"/>
    <w:rsid w:val="00417643"/>
    <w:rsid w:val="00417B1A"/>
    <w:rsid w:val="00420771"/>
    <w:rsid w:val="00420772"/>
    <w:rsid w:val="00420FD1"/>
    <w:rsid w:val="00421171"/>
    <w:rsid w:val="00421371"/>
    <w:rsid w:val="004221D2"/>
    <w:rsid w:val="00423745"/>
    <w:rsid w:val="0042388B"/>
    <w:rsid w:val="00423C8D"/>
    <w:rsid w:val="0042448B"/>
    <w:rsid w:val="00425288"/>
    <w:rsid w:val="0042569E"/>
    <w:rsid w:val="004256B3"/>
    <w:rsid w:val="004256D3"/>
    <w:rsid w:val="00425B5C"/>
    <w:rsid w:val="00427DDD"/>
    <w:rsid w:val="00427E05"/>
    <w:rsid w:val="00430972"/>
    <w:rsid w:val="00430C73"/>
    <w:rsid w:val="0043205F"/>
    <w:rsid w:val="004334B8"/>
    <w:rsid w:val="00433A30"/>
    <w:rsid w:val="00433A5A"/>
    <w:rsid w:val="00433B12"/>
    <w:rsid w:val="00433E6D"/>
    <w:rsid w:val="00435028"/>
    <w:rsid w:val="004352B8"/>
    <w:rsid w:val="00435301"/>
    <w:rsid w:val="004355CB"/>
    <w:rsid w:val="004363AF"/>
    <w:rsid w:val="00436A07"/>
    <w:rsid w:val="00436AB6"/>
    <w:rsid w:val="00436C6C"/>
    <w:rsid w:val="00436DA6"/>
    <w:rsid w:val="00437892"/>
    <w:rsid w:val="00437D88"/>
    <w:rsid w:val="0044031A"/>
    <w:rsid w:val="00440B21"/>
    <w:rsid w:val="00440C8F"/>
    <w:rsid w:val="00440D8B"/>
    <w:rsid w:val="00440EA0"/>
    <w:rsid w:val="00441DE7"/>
    <w:rsid w:val="00441EC3"/>
    <w:rsid w:val="004422A7"/>
    <w:rsid w:val="00442A47"/>
    <w:rsid w:val="00442ECD"/>
    <w:rsid w:val="004431E6"/>
    <w:rsid w:val="0044386E"/>
    <w:rsid w:val="0044396C"/>
    <w:rsid w:val="00443BFE"/>
    <w:rsid w:val="0044409D"/>
    <w:rsid w:val="004446B2"/>
    <w:rsid w:val="00444A09"/>
    <w:rsid w:val="00444F30"/>
    <w:rsid w:val="0044550E"/>
    <w:rsid w:val="00445925"/>
    <w:rsid w:val="00446348"/>
    <w:rsid w:val="00446ABE"/>
    <w:rsid w:val="004470E4"/>
    <w:rsid w:val="004476F0"/>
    <w:rsid w:val="004478FE"/>
    <w:rsid w:val="00447976"/>
    <w:rsid w:val="00447EAF"/>
    <w:rsid w:val="00450C9F"/>
    <w:rsid w:val="00450ED8"/>
    <w:rsid w:val="00450F43"/>
    <w:rsid w:val="00451DBA"/>
    <w:rsid w:val="00452C7B"/>
    <w:rsid w:val="00452E01"/>
    <w:rsid w:val="00452E37"/>
    <w:rsid w:val="00453230"/>
    <w:rsid w:val="004545DE"/>
    <w:rsid w:val="0045517B"/>
    <w:rsid w:val="004552E9"/>
    <w:rsid w:val="00455343"/>
    <w:rsid w:val="00456297"/>
    <w:rsid w:val="00456F72"/>
    <w:rsid w:val="00457CFA"/>
    <w:rsid w:val="00457FE9"/>
    <w:rsid w:val="004601FA"/>
    <w:rsid w:val="0046090B"/>
    <w:rsid w:val="00460AA4"/>
    <w:rsid w:val="0046110F"/>
    <w:rsid w:val="004614A8"/>
    <w:rsid w:val="00461DFC"/>
    <w:rsid w:val="004620D0"/>
    <w:rsid w:val="0046210C"/>
    <w:rsid w:val="00462249"/>
    <w:rsid w:val="0046224E"/>
    <w:rsid w:val="00462251"/>
    <w:rsid w:val="00462C28"/>
    <w:rsid w:val="004632CC"/>
    <w:rsid w:val="0046358A"/>
    <w:rsid w:val="00463839"/>
    <w:rsid w:val="004638F5"/>
    <w:rsid w:val="00463A11"/>
    <w:rsid w:val="004642D6"/>
    <w:rsid w:val="00464A61"/>
    <w:rsid w:val="00464A67"/>
    <w:rsid w:val="00465219"/>
    <w:rsid w:val="004652B6"/>
    <w:rsid w:val="00465C1F"/>
    <w:rsid w:val="00466200"/>
    <w:rsid w:val="00466326"/>
    <w:rsid w:val="00466858"/>
    <w:rsid w:val="00466A1A"/>
    <w:rsid w:val="004671E1"/>
    <w:rsid w:val="0046726D"/>
    <w:rsid w:val="004700FD"/>
    <w:rsid w:val="00470534"/>
    <w:rsid w:val="00470D96"/>
    <w:rsid w:val="00471051"/>
    <w:rsid w:val="00471356"/>
    <w:rsid w:val="004713D6"/>
    <w:rsid w:val="0047147F"/>
    <w:rsid w:val="004717E9"/>
    <w:rsid w:val="00471B7B"/>
    <w:rsid w:val="00471C65"/>
    <w:rsid w:val="00472559"/>
    <w:rsid w:val="004728FE"/>
    <w:rsid w:val="00472C56"/>
    <w:rsid w:val="004735E0"/>
    <w:rsid w:val="004745D2"/>
    <w:rsid w:val="004745DF"/>
    <w:rsid w:val="00474979"/>
    <w:rsid w:val="00474B11"/>
    <w:rsid w:val="00474BE6"/>
    <w:rsid w:val="00474D0D"/>
    <w:rsid w:val="00474F98"/>
    <w:rsid w:val="00475055"/>
    <w:rsid w:val="00475779"/>
    <w:rsid w:val="00475B67"/>
    <w:rsid w:val="0047641D"/>
    <w:rsid w:val="004769CF"/>
    <w:rsid w:val="00476A61"/>
    <w:rsid w:val="00476BDD"/>
    <w:rsid w:val="00477478"/>
    <w:rsid w:val="004776CD"/>
    <w:rsid w:val="00477DC6"/>
    <w:rsid w:val="004803B5"/>
    <w:rsid w:val="004813EF"/>
    <w:rsid w:val="00481EAE"/>
    <w:rsid w:val="004821DA"/>
    <w:rsid w:val="004823A3"/>
    <w:rsid w:val="00483240"/>
    <w:rsid w:val="0048329C"/>
    <w:rsid w:val="0048369A"/>
    <w:rsid w:val="00483A02"/>
    <w:rsid w:val="004841E4"/>
    <w:rsid w:val="004848B0"/>
    <w:rsid w:val="00484AC0"/>
    <w:rsid w:val="00485724"/>
    <w:rsid w:val="00485B29"/>
    <w:rsid w:val="00485C2B"/>
    <w:rsid w:val="00485C65"/>
    <w:rsid w:val="00486264"/>
    <w:rsid w:val="00486EE0"/>
    <w:rsid w:val="00486F2C"/>
    <w:rsid w:val="004873E7"/>
    <w:rsid w:val="00487BC5"/>
    <w:rsid w:val="00487FEB"/>
    <w:rsid w:val="00490D2B"/>
    <w:rsid w:val="00491092"/>
    <w:rsid w:val="00491E12"/>
    <w:rsid w:val="00492AA6"/>
    <w:rsid w:val="00492C29"/>
    <w:rsid w:val="00492CAA"/>
    <w:rsid w:val="00493963"/>
    <w:rsid w:val="00493B7A"/>
    <w:rsid w:val="00493E3A"/>
    <w:rsid w:val="0049406D"/>
    <w:rsid w:val="00494313"/>
    <w:rsid w:val="004947F4"/>
    <w:rsid w:val="00494A96"/>
    <w:rsid w:val="004950E6"/>
    <w:rsid w:val="00495822"/>
    <w:rsid w:val="00495FDC"/>
    <w:rsid w:val="0049620B"/>
    <w:rsid w:val="0049681C"/>
    <w:rsid w:val="00496DC3"/>
    <w:rsid w:val="004970CE"/>
    <w:rsid w:val="00497964"/>
    <w:rsid w:val="004A06E5"/>
    <w:rsid w:val="004A09C7"/>
    <w:rsid w:val="004A0B94"/>
    <w:rsid w:val="004A0C49"/>
    <w:rsid w:val="004A1150"/>
    <w:rsid w:val="004A1F33"/>
    <w:rsid w:val="004A2A32"/>
    <w:rsid w:val="004A2B23"/>
    <w:rsid w:val="004A3834"/>
    <w:rsid w:val="004A3C41"/>
    <w:rsid w:val="004A4004"/>
    <w:rsid w:val="004A418D"/>
    <w:rsid w:val="004A4336"/>
    <w:rsid w:val="004A4487"/>
    <w:rsid w:val="004A4598"/>
    <w:rsid w:val="004A475C"/>
    <w:rsid w:val="004A47B0"/>
    <w:rsid w:val="004A4F12"/>
    <w:rsid w:val="004A51F1"/>
    <w:rsid w:val="004A5D23"/>
    <w:rsid w:val="004A63C0"/>
    <w:rsid w:val="004A679E"/>
    <w:rsid w:val="004A6CE8"/>
    <w:rsid w:val="004A6E79"/>
    <w:rsid w:val="004A6F41"/>
    <w:rsid w:val="004A7159"/>
    <w:rsid w:val="004A73A3"/>
    <w:rsid w:val="004A73DA"/>
    <w:rsid w:val="004A7789"/>
    <w:rsid w:val="004B008C"/>
    <w:rsid w:val="004B022C"/>
    <w:rsid w:val="004B0B03"/>
    <w:rsid w:val="004B0FDC"/>
    <w:rsid w:val="004B163D"/>
    <w:rsid w:val="004B164B"/>
    <w:rsid w:val="004B1CF4"/>
    <w:rsid w:val="004B1D55"/>
    <w:rsid w:val="004B2579"/>
    <w:rsid w:val="004B2D68"/>
    <w:rsid w:val="004B2EFE"/>
    <w:rsid w:val="004B320E"/>
    <w:rsid w:val="004B38A6"/>
    <w:rsid w:val="004B39BD"/>
    <w:rsid w:val="004B3A3A"/>
    <w:rsid w:val="004B3A82"/>
    <w:rsid w:val="004B3D27"/>
    <w:rsid w:val="004B4108"/>
    <w:rsid w:val="004B443C"/>
    <w:rsid w:val="004B454D"/>
    <w:rsid w:val="004B4C0B"/>
    <w:rsid w:val="004B550D"/>
    <w:rsid w:val="004B67C6"/>
    <w:rsid w:val="004B68E3"/>
    <w:rsid w:val="004B713F"/>
    <w:rsid w:val="004B73D2"/>
    <w:rsid w:val="004B7946"/>
    <w:rsid w:val="004C0BDC"/>
    <w:rsid w:val="004C0CC2"/>
    <w:rsid w:val="004C152C"/>
    <w:rsid w:val="004C1552"/>
    <w:rsid w:val="004C1F3A"/>
    <w:rsid w:val="004C1F4C"/>
    <w:rsid w:val="004C3209"/>
    <w:rsid w:val="004C3926"/>
    <w:rsid w:val="004C3CFD"/>
    <w:rsid w:val="004C3E86"/>
    <w:rsid w:val="004C3F3F"/>
    <w:rsid w:val="004C45DA"/>
    <w:rsid w:val="004C4937"/>
    <w:rsid w:val="004C53ED"/>
    <w:rsid w:val="004C5972"/>
    <w:rsid w:val="004C5B4C"/>
    <w:rsid w:val="004C5CF9"/>
    <w:rsid w:val="004C6165"/>
    <w:rsid w:val="004C63B6"/>
    <w:rsid w:val="004C69EF"/>
    <w:rsid w:val="004C6B7D"/>
    <w:rsid w:val="004C6D30"/>
    <w:rsid w:val="004C715D"/>
    <w:rsid w:val="004C733F"/>
    <w:rsid w:val="004C7B45"/>
    <w:rsid w:val="004D1E55"/>
    <w:rsid w:val="004D2C25"/>
    <w:rsid w:val="004D3197"/>
    <w:rsid w:val="004D3495"/>
    <w:rsid w:val="004D3C29"/>
    <w:rsid w:val="004D40A8"/>
    <w:rsid w:val="004D4263"/>
    <w:rsid w:val="004D433D"/>
    <w:rsid w:val="004D4373"/>
    <w:rsid w:val="004D44C9"/>
    <w:rsid w:val="004D4B6D"/>
    <w:rsid w:val="004D4C72"/>
    <w:rsid w:val="004D4F73"/>
    <w:rsid w:val="004D5439"/>
    <w:rsid w:val="004D586E"/>
    <w:rsid w:val="004D5998"/>
    <w:rsid w:val="004D59A9"/>
    <w:rsid w:val="004D5BB4"/>
    <w:rsid w:val="004D5EFF"/>
    <w:rsid w:val="004D6830"/>
    <w:rsid w:val="004D7083"/>
    <w:rsid w:val="004D73A5"/>
    <w:rsid w:val="004D7C66"/>
    <w:rsid w:val="004D7F14"/>
    <w:rsid w:val="004E10FA"/>
    <w:rsid w:val="004E2732"/>
    <w:rsid w:val="004E276F"/>
    <w:rsid w:val="004E2FED"/>
    <w:rsid w:val="004E3EC7"/>
    <w:rsid w:val="004E40C9"/>
    <w:rsid w:val="004E4719"/>
    <w:rsid w:val="004E49C0"/>
    <w:rsid w:val="004E49D1"/>
    <w:rsid w:val="004E4B55"/>
    <w:rsid w:val="004E575A"/>
    <w:rsid w:val="004E57AC"/>
    <w:rsid w:val="004E5C20"/>
    <w:rsid w:val="004E5D94"/>
    <w:rsid w:val="004E61A5"/>
    <w:rsid w:val="004E6927"/>
    <w:rsid w:val="004E69B7"/>
    <w:rsid w:val="004E6C69"/>
    <w:rsid w:val="004E7501"/>
    <w:rsid w:val="004F0C99"/>
    <w:rsid w:val="004F0DA2"/>
    <w:rsid w:val="004F1BEA"/>
    <w:rsid w:val="004F2CD7"/>
    <w:rsid w:val="004F2DCC"/>
    <w:rsid w:val="004F3186"/>
    <w:rsid w:val="004F50F5"/>
    <w:rsid w:val="004F5250"/>
    <w:rsid w:val="004F6B5E"/>
    <w:rsid w:val="004F6BB7"/>
    <w:rsid w:val="004F6E71"/>
    <w:rsid w:val="004F709E"/>
    <w:rsid w:val="004F748C"/>
    <w:rsid w:val="004F78CE"/>
    <w:rsid w:val="004F7F08"/>
    <w:rsid w:val="004F7F94"/>
    <w:rsid w:val="0050001D"/>
    <w:rsid w:val="005001B9"/>
    <w:rsid w:val="00500298"/>
    <w:rsid w:val="0050046B"/>
    <w:rsid w:val="00500502"/>
    <w:rsid w:val="00500D59"/>
    <w:rsid w:val="0050160B"/>
    <w:rsid w:val="005017FB"/>
    <w:rsid w:val="005019D3"/>
    <w:rsid w:val="0050251F"/>
    <w:rsid w:val="00502547"/>
    <w:rsid w:val="00502A97"/>
    <w:rsid w:val="005034D2"/>
    <w:rsid w:val="005039D4"/>
    <w:rsid w:val="00503EE5"/>
    <w:rsid w:val="005040E1"/>
    <w:rsid w:val="0050427D"/>
    <w:rsid w:val="00504C72"/>
    <w:rsid w:val="00504FF1"/>
    <w:rsid w:val="00505297"/>
    <w:rsid w:val="0050586A"/>
    <w:rsid w:val="00505B32"/>
    <w:rsid w:val="00505BEE"/>
    <w:rsid w:val="00506131"/>
    <w:rsid w:val="005062AB"/>
    <w:rsid w:val="005064AE"/>
    <w:rsid w:val="00506722"/>
    <w:rsid w:val="00506732"/>
    <w:rsid w:val="00506E67"/>
    <w:rsid w:val="00506F80"/>
    <w:rsid w:val="005077C0"/>
    <w:rsid w:val="00507881"/>
    <w:rsid w:val="005106F6"/>
    <w:rsid w:val="00510C87"/>
    <w:rsid w:val="005111A1"/>
    <w:rsid w:val="005111AD"/>
    <w:rsid w:val="00511520"/>
    <w:rsid w:val="00511523"/>
    <w:rsid w:val="005116AA"/>
    <w:rsid w:val="005116B7"/>
    <w:rsid w:val="00511B93"/>
    <w:rsid w:val="00511FC7"/>
    <w:rsid w:val="00512144"/>
    <w:rsid w:val="005127B9"/>
    <w:rsid w:val="00513289"/>
    <w:rsid w:val="00513DD7"/>
    <w:rsid w:val="00514073"/>
    <w:rsid w:val="005142D8"/>
    <w:rsid w:val="005148F6"/>
    <w:rsid w:val="00514919"/>
    <w:rsid w:val="005149B6"/>
    <w:rsid w:val="00514FE2"/>
    <w:rsid w:val="005150EE"/>
    <w:rsid w:val="0051563F"/>
    <w:rsid w:val="005160E1"/>
    <w:rsid w:val="00516D0A"/>
    <w:rsid w:val="00516E3F"/>
    <w:rsid w:val="0051757D"/>
    <w:rsid w:val="00520012"/>
    <w:rsid w:val="005200EB"/>
    <w:rsid w:val="00520F2F"/>
    <w:rsid w:val="00521063"/>
    <w:rsid w:val="00521910"/>
    <w:rsid w:val="005221CD"/>
    <w:rsid w:val="00522394"/>
    <w:rsid w:val="0052265B"/>
    <w:rsid w:val="00523664"/>
    <w:rsid w:val="005237FE"/>
    <w:rsid w:val="005238FB"/>
    <w:rsid w:val="00523C39"/>
    <w:rsid w:val="00524C35"/>
    <w:rsid w:val="005263EC"/>
    <w:rsid w:val="00526B96"/>
    <w:rsid w:val="00526BC8"/>
    <w:rsid w:val="00527A0E"/>
    <w:rsid w:val="00527D5A"/>
    <w:rsid w:val="00530078"/>
    <w:rsid w:val="005302A2"/>
    <w:rsid w:val="00530AB2"/>
    <w:rsid w:val="00531FC7"/>
    <w:rsid w:val="00532605"/>
    <w:rsid w:val="00532967"/>
    <w:rsid w:val="00532A93"/>
    <w:rsid w:val="00533382"/>
    <w:rsid w:val="00533D4E"/>
    <w:rsid w:val="0053451D"/>
    <w:rsid w:val="005346DD"/>
    <w:rsid w:val="00534E87"/>
    <w:rsid w:val="00535483"/>
    <w:rsid w:val="005355F5"/>
    <w:rsid w:val="00535768"/>
    <w:rsid w:val="00535C92"/>
    <w:rsid w:val="005364AB"/>
    <w:rsid w:val="00536A5D"/>
    <w:rsid w:val="0054016C"/>
    <w:rsid w:val="0054064A"/>
    <w:rsid w:val="005406ED"/>
    <w:rsid w:val="00540F2B"/>
    <w:rsid w:val="0054116C"/>
    <w:rsid w:val="00542398"/>
    <w:rsid w:val="005429A6"/>
    <w:rsid w:val="005435C5"/>
    <w:rsid w:val="00543724"/>
    <w:rsid w:val="00544704"/>
    <w:rsid w:val="005447DD"/>
    <w:rsid w:val="0054546F"/>
    <w:rsid w:val="00545A48"/>
    <w:rsid w:val="00546412"/>
    <w:rsid w:val="00546A5D"/>
    <w:rsid w:val="00546FD2"/>
    <w:rsid w:val="00546FEF"/>
    <w:rsid w:val="0054708C"/>
    <w:rsid w:val="00547C3C"/>
    <w:rsid w:val="00547C86"/>
    <w:rsid w:val="00547CA4"/>
    <w:rsid w:val="00550033"/>
    <w:rsid w:val="005506B5"/>
    <w:rsid w:val="005508F6"/>
    <w:rsid w:val="00551A37"/>
    <w:rsid w:val="005527C0"/>
    <w:rsid w:val="005535FE"/>
    <w:rsid w:val="00553F91"/>
    <w:rsid w:val="005542BF"/>
    <w:rsid w:val="005543DB"/>
    <w:rsid w:val="00554538"/>
    <w:rsid w:val="005545EF"/>
    <w:rsid w:val="00554B85"/>
    <w:rsid w:val="005551DB"/>
    <w:rsid w:val="00555752"/>
    <w:rsid w:val="00556F95"/>
    <w:rsid w:val="00557013"/>
    <w:rsid w:val="005571AF"/>
    <w:rsid w:val="005571F6"/>
    <w:rsid w:val="00557D2F"/>
    <w:rsid w:val="00560464"/>
    <w:rsid w:val="00561008"/>
    <w:rsid w:val="0056103E"/>
    <w:rsid w:val="00561592"/>
    <w:rsid w:val="00562E85"/>
    <w:rsid w:val="0056300B"/>
    <w:rsid w:val="00563867"/>
    <w:rsid w:val="00563D8B"/>
    <w:rsid w:val="005640D0"/>
    <w:rsid w:val="0056484F"/>
    <w:rsid w:val="00564E19"/>
    <w:rsid w:val="0056575D"/>
    <w:rsid w:val="005659F1"/>
    <w:rsid w:val="00565CD0"/>
    <w:rsid w:val="005662C8"/>
    <w:rsid w:val="0056632D"/>
    <w:rsid w:val="0056635B"/>
    <w:rsid w:val="00567357"/>
    <w:rsid w:val="00567480"/>
    <w:rsid w:val="00567B6F"/>
    <w:rsid w:val="00567DA5"/>
    <w:rsid w:val="005701C0"/>
    <w:rsid w:val="005709BF"/>
    <w:rsid w:val="00570E13"/>
    <w:rsid w:val="00571168"/>
    <w:rsid w:val="00571406"/>
    <w:rsid w:val="0057186F"/>
    <w:rsid w:val="00572AF4"/>
    <w:rsid w:val="00573332"/>
    <w:rsid w:val="00574183"/>
    <w:rsid w:val="00575DF2"/>
    <w:rsid w:val="00576B26"/>
    <w:rsid w:val="00576E52"/>
    <w:rsid w:val="005770FB"/>
    <w:rsid w:val="005774D8"/>
    <w:rsid w:val="00577DD1"/>
    <w:rsid w:val="00580E88"/>
    <w:rsid w:val="00581274"/>
    <w:rsid w:val="005818B2"/>
    <w:rsid w:val="00582B49"/>
    <w:rsid w:val="00582B57"/>
    <w:rsid w:val="00582D15"/>
    <w:rsid w:val="005830D0"/>
    <w:rsid w:val="0058453D"/>
    <w:rsid w:val="005847A5"/>
    <w:rsid w:val="00584ADF"/>
    <w:rsid w:val="00584D28"/>
    <w:rsid w:val="00584E3F"/>
    <w:rsid w:val="00585572"/>
    <w:rsid w:val="005855B4"/>
    <w:rsid w:val="005859F0"/>
    <w:rsid w:val="0058643E"/>
    <w:rsid w:val="00587279"/>
    <w:rsid w:val="0058759E"/>
    <w:rsid w:val="00591A25"/>
    <w:rsid w:val="00592175"/>
    <w:rsid w:val="005930DA"/>
    <w:rsid w:val="0059329C"/>
    <w:rsid w:val="0059341F"/>
    <w:rsid w:val="005938D6"/>
    <w:rsid w:val="00593B38"/>
    <w:rsid w:val="00593F6E"/>
    <w:rsid w:val="00593FD0"/>
    <w:rsid w:val="005948A2"/>
    <w:rsid w:val="00594D9C"/>
    <w:rsid w:val="0059584E"/>
    <w:rsid w:val="005958E2"/>
    <w:rsid w:val="005958E4"/>
    <w:rsid w:val="00596A9A"/>
    <w:rsid w:val="00596B45"/>
    <w:rsid w:val="005971E5"/>
    <w:rsid w:val="005973B5"/>
    <w:rsid w:val="005973B8"/>
    <w:rsid w:val="005973BE"/>
    <w:rsid w:val="005A00CD"/>
    <w:rsid w:val="005A02D0"/>
    <w:rsid w:val="005A0538"/>
    <w:rsid w:val="005A0843"/>
    <w:rsid w:val="005A0C8C"/>
    <w:rsid w:val="005A0C9E"/>
    <w:rsid w:val="005A1869"/>
    <w:rsid w:val="005A202B"/>
    <w:rsid w:val="005A21B1"/>
    <w:rsid w:val="005A24A3"/>
    <w:rsid w:val="005A2B0E"/>
    <w:rsid w:val="005A32A7"/>
    <w:rsid w:val="005A349E"/>
    <w:rsid w:val="005A3E4C"/>
    <w:rsid w:val="005A4430"/>
    <w:rsid w:val="005A4591"/>
    <w:rsid w:val="005A47A9"/>
    <w:rsid w:val="005A4814"/>
    <w:rsid w:val="005A4A52"/>
    <w:rsid w:val="005A520A"/>
    <w:rsid w:val="005A5283"/>
    <w:rsid w:val="005A5334"/>
    <w:rsid w:val="005A57E7"/>
    <w:rsid w:val="005A5B20"/>
    <w:rsid w:val="005A5D5B"/>
    <w:rsid w:val="005A5E07"/>
    <w:rsid w:val="005A6413"/>
    <w:rsid w:val="005A6C37"/>
    <w:rsid w:val="005A6D36"/>
    <w:rsid w:val="005A7787"/>
    <w:rsid w:val="005A7E55"/>
    <w:rsid w:val="005B013F"/>
    <w:rsid w:val="005B01EC"/>
    <w:rsid w:val="005B0981"/>
    <w:rsid w:val="005B0A91"/>
    <w:rsid w:val="005B191C"/>
    <w:rsid w:val="005B2FDF"/>
    <w:rsid w:val="005B3557"/>
    <w:rsid w:val="005B3F33"/>
    <w:rsid w:val="005B430B"/>
    <w:rsid w:val="005B436C"/>
    <w:rsid w:val="005B458A"/>
    <w:rsid w:val="005B46ED"/>
    <w:rsid w:val="005B4A93"/>
    <w:rsid w:val="005B501F"/>
    <w:rsid w:val="005B5A61"/>
    <w:rsid w:val="005B70EF"/>
    <w:rsid w:val="005C00CE"/>
    <w:rsid w:val="005C015E"/>
    <w:rsid w:val="005C0412"/>
    <w:rsid w:val="005C071F"/>
    <w:rsid w:val="005C08C3"/>
    <w:rsid w:val="005C09B8"/>
    <w:rsid w:val="005C137D"/>
    <w:rsid w:val="005C1A7C"/>
    <w:rsid w:val="005C215C"/>
    <w:rsid w:val="005C25A6"/>
    <w:rsid w:val="005C31D4"/>
    <w:rsid w:val="005C3210"/>
    <w:rsid w:val="005C35AA"/>
    <w:rsid w:val="005C3CE7"/>
    <w:rsid w:val="005C3F43"/>
    <w:rsid w:val="005C4106"/>
    <w:rsid w:val="005C4BCC"/>
    <w:rsid w:val="005C4D09"/>
    <w:rsid w:val="005C5AAA"/>
    <w:rsid w:val="005C6546"/>
    <w:rsid w:val="005C660F"/>
    <w:rsid w:val="005C6AB2"/>
    <w:rsid w:val="005C6B13"/>
    <w:rsid w:val="005C6D05"/>
    <w:rsid w:val="005C705F"/>
    <w:rsid w:val="005C71C6"/>
    <w:rsid w:val="005C74AB"/>
    <w:rsid w:val="005D052A"/>
    <w:rsid w:val="005D0792"/>
    <w:rsid w:val="005D0BED"/>
    <w:rsid w:val="005D197D"/>
    <w:rsid w:val="005D19F1"/>
    <w:rsid w:val="005D26FE"/>
    <w:rsid w:val="005D2E3C"/>
    <w:rsid w:val="005D3212"/>
    <w:rsid w:val="005D3390"/>
    <w:rsid w:val="005D3A90"/>
    <w:rsid w:val="005D3EDE"/>
    <w:rsid w:val="005D3FD5"/>
    <w:rsid w:val="005D4755"/>
    <w:rsid w:val="005D4AE7"/>
    <w:rsid w:val="005D4F30"/>
    <w:rsid w:val="005D5527"/>
    <w:rsid w:val="005D5FCD"/>
    <w:rsid w:val="005D65DC"/>
    <w:rsid w:val="005D6830"/>
    <w:rsid w:val="005D6C6A"/>
    <w:rsid w:val="005D6DEC"/>
    <w:rsid w:val="005D6F8F"/>
    <w:rsid w:val="005D7510"/>
    <w:rsid w:val="005D75F2"/>
    <w:rsid w:val="005D7ADA"/>
    <w:rsid w:val="005D7D72"/>
    <w:rsid w:val="005D7DE2"/>
    <w:rsid w:val="005E0051"/>
    <w:rsid w:val="005E0B71"/>
    <w:rsid w:val="005E239A"/>
    <w:rsid w:val="005E2EA3"/>
    <w:rsid w:val="005E30A0"/>
    <w:rsid w:val="005E32DC"/>
    <w:rsid w:val="005E344C"/>
    <w:rsid w:val="005E3D14"/>
    <w:rsid w:val="005E4470"/>
    <w:rsid w:val="005E4ACC"/>
    <w:rsid w:val="005E4C56"/>
    <w:rsid w:val="005E559B"/>
    <w:rsid w:val="005E5A64"/>
    <w:rsid w:val="005E5D3C"/>
    <w:rsid w:val="005E60C8"/>
    <w:rsid w:val="005E764E"/>
    <w:rsid w:val="005F0167"/>
    <w:rsid w:val="005F01A6"/>
    <w:rsid w:val="005F0509"/>
    <w:rsid w:val="005F0987"/>
    <w:rsid w:val="005F0F09"/>
    <w:rsid w:val="005F10D2"/>
    <w:rsid w:val="005F10E5"/>
    <w:rsid w:val="005F186F"/>
    <w:rsid w:val="005F1B15"/>
    <w:rsid w:val="005F25ED"/>
    <w:rsid w:val="005F2779"/>
    <w:rsid w:val="005F3038"/>
    <w:rsid w:val="005F41A6"/>
    <w:rsid w:val="005F44A3"/>
    <w:rsid w:val="005F4AFE"/>
    <w:rsid w:val="005F4CB7"/>
    <w:rsid w:val="005F5288"/>
    <w:rsid w:val="005F554A"/>
    <w:rsid w:val="005F559D"/>
    <w:rsid w:val="005F5771"/>
    <w:rsid w:val="005F5B18"/>
    <w:rsid w:val="005F63B5"/>
    <w:rsid w:val="005F6EC5"/>
    <w:rsid w:val="00600190"/>
    <w:rsid w:val="00600885"/>
    <w:rsid w:val="00600DA7"/>
    <w:rsid w:val="006013AA"/>
    <w:rsid w:val="00601765"/>
    <w:rsid w:val="00601BB0"/>
    <w:rsid w:val="00602227"/>
    <w:rsid w:val="00602263"/>
    <w:rsid w:val="00602496"/>
    <w:rsid w:val="00602744"/>
    <w:rsid w:val="006029C1"/>
    <w:rsid w:val="00602A98"/>
    <w:rsid w:val="00602E7F"/>
    <w:rsid w:val="00602F70"/>
    <w:rsid w:val="00603074"/>
    <w:rsid w:val="00603436"/>
    <w:rsid w:val="00603737"/>
    <w:rsid w:val="00603EB2"/>
    <w:rsid w:val="00604425"/>
    <w:rsid w:val="00604735"/>
    <w:rsid w:val="00604C55"/>
    <w:rsid w:val="00605452"/>
    <w:rsid w:val="0060552F"/>
    <w:rsid w:val="006055F2"/>
    <w:rsid w:val="0060592D"/>
    <w:rsid w:val="00605DAD"/>
    <w:rsid w:val="00606047"/>
    <w:rsid w:val="00606700"/>
    <w:rsid w:val="00606849"/>
    <w:rsid w:val="00606EE0"/>
    <w:rsid w:val="0060749F"/>
    <w:rsid w:val="006111A5"/>
    <w:rsid w:val="00611CCF"/>
    <w:rsid w:val="00612067"/>
    <w:rsid w:val="006123B6"/>
    <w:rsid w:val="006123F3"/>
    <w:rsid w:val="00612F63"/>
    <w:rsid w:val="006130AC"/>
    <w:rsid w:val="00613BED"/>
    <w:rsid w:val="00613F83"/>
    <w:rsid w:val="006149F2"/>
    <w:rsid w:val="00614DFE"/>
    <w:rsid w:val="00615254"/>
    <w:rsid w:val="00615444"/>
    <w:rsid w:val="0061563E"/>
    <w:rsid w:val="00615BCA"/>
    <w:rsid w:val="00615F01"/>
    <w:rsid w:val="006163B6"/>
    <w:rsid w:val="00617452"/>
    <w:rsid w:val="0061751B"/>
    <w:rsid w:val="00617619"/>
    <w:rsid w:val="00617BB9"/>
    <w:rsid w:val="00617BE4"/>
    <w:rsid w:val="0062065C"/>
    <w:rsid w:val="00620775"/>
    <w:rsid w:val="00620A70"/>
    <w:rsid w:val="00620E98"/>
    <w:rsid w:val="00621058"/>
    <w:rsid w:val="00621123"/>
    <w:rsid w:val="00621A20"/>
    <w:rsid w:val="00621BA9"/>
    <w:rsid w:val="00621E6A"/>
    <w:rsid w:val="006220AF"/>
    <w:rsid w:val="00622393"/>
    <w:rsid w:val="006227EE"/>
    <w:rsid w:val="00622A10"/>
    <w:rsid w:val="00622EF5"/>
    <w:rsid w:val="006232B8"/>
    <w:rsid w:val="00624A28"/>
    <w:rsid w:val="00624A6B"/>
    <w:rsid w:val="00624A8E"/>
    <w:rsid w:val="00625356"/>
    <w:rsid w:val="006253D7"/>
    <w:rsid w:val="00625C84"/>
    <w:rsid w:val="006262BE"/>
    <w:rsid w:val="006265DC"/>
    <w:rsid w:val="00626825"/>
    <w:rsid w:val="00626A85"/>
    <w:rsid w:val="00627CB4"/>
    <w:rsid w:val="00627E34"/>
    <w:rsid w:val="00630639"/>
    <w:rsid w:val="00630DFC"/>
    <w:rsid w:val="0063189B"/>
    <w:rsid w:val="00631955"/>
    <w:rsid w:val="00631EF6"/>
    <w:rsid w:val="00632097"/>
    <w:rsid w:val="00632359"/>
    <w:rsid w:val="006325A4"/>
    <w:rsid w:val="0063278F"/>
    <w:rsid w:val="00632B4B"/>
    <w:rsid w:val="00632D76"/>
    <w:rsid w:val="00633091"/>
    <w:rsid w:val="0063342B"/>
    <w:rsid w:val="006339DB"/>
    <w:rsid w:val="00633AEA"/>
    <w:rsid w:val="0063462F"/>
    <w:rsid w:val="006350F3"/>
    <w:rsid w:val="006351AF"/>
    <w:rsid w:val="0063566E"/>
    <w:rsid w:val="00635720"/>
    <w:rsid w:val="00635E42"/>
    <w:rsid w:val="0063607A"/>
    <w:rsid w:val="00636092"/>
    <w:rsid w:val="00636F48"/>
    <w:rsid w:val="00636F5B"/>
    <w:rsid w:val="0063710B"/>
    <w:rsid w:val="006378DC"/>
    <w:rsid w:val="00637B6E"/>
    <w:rsid w:val="00637D6C"/>
    <w:rsid w:val="00640583"/>
    <w:rsid w:val="00640B82"/>
    <w:rsid w:val="00640EC0"/>
    <w:rsid w:val="0064110E"/>
    <w:rsid w:val="00641DCA"/>
    <w:rsid w:val="0064262C"/>
    <w:rsid w:val="006426DF"/>
    <w:rsid w:val="00644318"/>
    <w:rsid w:val="006443E8"/>
    <w:rsid w:val="00644D1F"/>
    <w:rsid w:val="0064512A"/>
    <w:rsid w:val="006453C6"/>
    <w:rsid w:val="006455EE"/>
    <w:rsid w:val="006459AA"/>
    <w:rsid w:val="00645F5E"/>
    <w:rsid w:val="00646365"/>
    <w:rsid w:val="006469F7"/>
    <w:rsid w:val="00646B40"/>
    <w:rsid w:val="00647C34"/>
    <w:rsid w:val="00647FBE"/>
    <w:rsid w:val="0065015B"/>
    <w:rsid w:val="006501A3"/>
    <w:rsid w:val="006503E9"/>
    <w:rsid w:val="006508D0"/>
    <w:rsid w:val="006515C6"/>
    <w:rsid w:val="00651A2C"/>
    <w:rsid w:val="00651B41"/>
    <w:rsid w:val="006532D6"/>
    <w:rsid w:val="006533A1"/>
    <w:rsid w:val="006535DB"/>
    <w:rsid w:val="00653D3C"/>
    <w:rsid w:val="00653E0D"/>
    <w:rsid w:val="00653FC4"/>
    <w:rsid w:val="0065418E"/>
    <w:rsid w:val="006543DD"/>
    <w:rsid w:val="0065452C"/>
    <w:rsid w:val="00654BFC"/>
    <w:rsid w:val="00655314"/>
    <w:rsid w:val="00655462"/>
    <w:rsid w:val="0065584D"/>
    <w:rsid w:val="00655978"/>
    <w:rsid w:val="00655FC7"/>
    <w:rsid w:val="00657147"/>
    <w:rsid w:val="00657248"/>
    <w:rsid w:val="0065768B"/>
    <w:rsid w:val="00657AD5"/>
    <w:rsid w:val="006601A6"/>
    <w:rsid w:val="0066050E"/>
    <w:rsid w:val="00661161"/>
    <w:rsid w:val="00661244"/>
    <w:rsid w:val="00661581"/>
    <w:rsid w:val="00662986"/>
    <w:rsid w:val="00662BFF"/>
    <w:rsid w:val="00662C34"/>
    <w:rsid w:val="00662C40"/>
    <w:rsid w:val="0066316D"/>
    <w:rsid w:val="00663210"/>
    <w:rsid w:val="00663726"/>
    <w:rsid w:val="00663AE3"/>
    <w:rsid w:val="00663BC0"/>
    <w:rsid w:val="00664216"/>
    <w:rsid w:val="006644C0"/>
    <w:rsid w:val="0066495A"/>
    <w:rsid w:val="00664BF0"/>
    <w:rsid w:val="00664D18"/>
    <w:rsid w:val="00664F7B"/>
    <w:rsid w:val="00665481"/>
    <w:rsid w:val="006654DE"/>
    <w:rsid w:val="006659CB"/>
    <w:rsid w:val="00665AAF"/>
    <w:rsid w:val="006660B6"/>
    <w:rsid w:val="00666796"/>
    <w:rsid w:val="00666F90"/>
    <w:rsid w:val="006679F5"/>
    <w:rsid w:val="00667F0A"/>
    <w:rsid w:val="0067064D"/>
    <w:rsid w:val="00670904"/>
    <w:rsid w:val="006709E4"/>
    <w:rsid w:val="00670AEF"/>
    <w:rsid w:val="00670C72"/>
    <w:rsid w:val="006716A6"/>
    <w:rsid w:val="00671DB3"/>
    <w:rsid w:val="006727AB"/>
    <w:rsid w:val="006729C4"/>
    <w:rsid w:val="00673CFD"/>
    <w:rsid w:val="00673E4B"/>
    <w:rsid w:val="00674128"/>
    <w:rsid w:val="006743FF"/>
    <w:rsid w:val="00674D57"/>
    <w:rsid w:val="0067511C"/>
    <w:rsid w:val="0067521D"/>
    <w:rsid w:val="00675FDD"/>
    <w:rsid w:val="006762B8"/>
    <w:rsid w:val="0067666F"/>
    <w:rsid w:val="00677611"/>
    <w:rsid w:val="006776CC"/>
    <w:rsid w:val="00677812"/>
    <w:rsid w:val="00680091"/>
    <w:rsid w:val="00680267"/>
    <w:rsid w:val="00680C23"/>
    <w:rsid w:val="00681349"/>
    <w:rsid w:val="0068136C"/>
    <w:rsid w:val="006813BC"/>
    <w:rsid w:val="006815D1"/>
    <w:rsid w:val="00681A8D"/>
    <w:rsid w:val="00681F13"/>
    <w:rsid w:val="00681FF9"/>
    <w:rsid w:val="00682002"/>
    <w:rsid w:val="00682D59"/>
    <w:rsid w:val="00682FD2"/>
    <w:rsid w:val="006834BF"/>
    <w:rsid w:val="00683DAC"/>
    <w:rsid w:val="006840AC"/>
    <w:rsid w:val="006844E2"/>
    <w:rsid w:val="00685659"/>
    <w:rsid w:val="00685A05"/>
    <w:rsid w:val="00686311"/>
    <w:rsid w:val="00686639"/>
    <w:rsid w:val="0068695A"/>
    <w:rsid w:val="00686B13"/>
    <w:rsid w:val="00686C7E"/>
    <w:rsid w:val="006872EC"/>
    <w:rsid w:val="0069027E"/>
    <w:rsid w:val="00690B7C"/>
    <w:rsid w:val="006911AC"/>
    <w:rsid w:val="00691EC6"/>
    <w:rsid w:val="006922F9"/>
    <w:rsid w:val="006923A2"/>
    <w:rsid w:val="00692475"/>
    <w:rsid w:val="00692ECF"/>
    <w:rsid w:val="00692F54"/>
    <w:rsid w:val="00693042"/>
    <w:rsid w:val="0069327D"/>
    <w:rsid w:val="006937C0"/>
    <w:rsid w:val="00693847"/>
    <w:rsid w:val="006939C0"/>
    <w:rsid w:val="00694543"/>
    <w:rsid w:val="00694A97"/>
    <w:rsid w:val="0069558B"/>
    <w:rsid w:val="00695A9B"/>
    <w:rsid w:val="0069688B"/>
    <w:rsid w:val="00696A8E"/>
    <w:rsid w:val="00696E39"/>
    <w:rsid w:val="006971D0"/>
    <w:rsid w:val="0069734A"/>
    <w:rsid w:val="006976A2"/>
    <w:rsid w:val="006978E1"/>
    <w:rsid w:val="00697E28"/>
    <w:rsid w:val="006A04D8"/>
    <w:rsid w:val="006A08EB"/>
    <w:rsid w:val="006A0D35"/>
    <w:rsid w:val="006A10A5"/>
    <w:rsid w:val="006A11A5"/>
    <w:rsid w:val="006A2CF5"/>
    <w:rsid w:val="006A2DE5"/>
    <w:rsid w:val="006A2FB9"/>
    <w:rsid w:val="006A3071"/>
    <w:rsid w:val="006A332F"/>
    <w:rsid w:val="006A338E"/>
    <w:rsid w:val="006A3695"/>
    <w:rsid w:val="006A39CA"/>
    <w:rsid w:val="006A3C9F"/>
    <w:rsid w:val="006A42D2"/>
    <w:rsid w:val="006A4746"/>
    <w:rsid w:val="006A4C72"/>
    <w:rsid w:val="006A4EA3"/>
    <w:rsid w:val="006A5064"/>
    <w:rsid w:val="006A51D0"/>
    <w:rsid w:val="006A5798"/>
    <w:rsid w:val="006A61C5"/>
    <w:rsid w:val="006A663C"/>
    <w:rsid w:val="006A6F91"/>
    <w:rsid w:val="006A75A3"/>
    <w:rsid w:val="006A7B37"/>
    <w:rsid w:val="006B0424"/>
    <w:rsid w:val="006B047B"/>
    <w:rsid w:val="006B107F"/>
    <w:rsid w:val="006B1FDF"/>
    <w:rsid w:val="006B232C"/>
    <w:rsid w:val="006B2767"/>
    <w:rsid w:val="006B2946"/>
    <w:rsid w:val="006B37C4"/>
    <w:rsid w:val="006B3965"/>
    <w:rsid w:val="006B3D27"/>
    <w:rsid w:val="006B3D51"/>
    <w:rsid w:val="006B4636"/>
    <w:rsid w:val="006B464E"/>
    <w:rsid w:val="006B5290"/>
    <w:rsid w:val="006B5731"/>
    <w:rsid w:val="006B58F8"/>
    <w:rsid w:val="006B5B56"/>
    <w:rsid w:val="006B5EBE"/>
    <w:rsid w:val="006B6B82"/>
    <w:rsid w:val="006B7F15"/>
    <w:rsid w:val="006C00B5"/>
    <w:rsid w:val="006C01ED"/>
    <w:rsid w:val="006C04AA"/>
    <w:rsid w:val="006C0B08"/>
    <w:rsid w:val="006C0C32"/>
    <w:rsid w:val="006C0EB9"/>
    <w:rsid w:val="006C0F08"/>
    <w:rsid w:val="006C1A86"/>
    <w:rsid w:val="006C1B09"/>
    <w:rsid w:val="006C1E94"/>
    <w:rsid w:val="006C2211"/>
    <w:rsid w:val="006C2704"/>
    <w:rsid w:val="006C2E0B"/>
    <w:rsid w:val="006C3049"/>
    <w:rsid w:val="006C34A4"/>
    <w:rsid w:val="006C37B5"/>
    <w:rsid w:val="006C4207"/>
    <w:rsid w:val="006C4528"/>
    <w:rsid w:val="006C4C40"/>
    <w:rsid w:val="006C5744"/>
    <w:rsid w:val="006C5FB1"/>
    <w:rsid w:val="006C6378"/>
    <w:rsid w:val="006C66E3"/>
    <w:rsid w:val="006C71CF"/>
    <w:rsid w:val="006C725F"/>
    <w:rsid w:val="006C7F57"/>
    <w:rsid w:val="006D02C0"/>
    <w:rsid w:val="006D09B9"/>
    <w:rsid w:val="006D0BF6"/>
    <w:rsid w:val="006D0C12"/>
    <w:rsid w:val="006D0C92"/>
    <w:rsid w:val="006D0E95"/>
    <w:rsid w:val="006D102B"/>
    <w:rsid w:val="006D1972"/>
    <w:rsid w:val="006D2247"/>
    <w:rsid w:val="006D2439"/>
    <w:rsid w:val="006D2D73"/>
    <w:rsid w:val="006D2DD3"/>
    <w:rsid w:val="006D2F31"/>
    <w:rsid w:val="006D3210"/>
    <w:rsid w:val="006D3D3E"/>
    <w:rsid w:val="006D427E"/>
    <w:rsid w:val="006D43DA"/>
    <w:rsid w:val="006D4A42"/>
    <w:rsid w:val="006D4C46"/>
    <w:rsid w:val="006D5D0A"/>
    <w:rsid w:val="006D62EB"/>
    <w:rsid w:val="006D6311"/>
    <w:rsid w:val="006D6DBE"/>
    <w:rsid w:val="006D709E"/>
    <w:rsid w:val="006D7BBF"/>
    <w:rsid w:val="006E0DAA"/>
    <w:rsid w:val="006E134C"/>
    <w:rsid w:val="006E169F"/>
    <w:rsid w:val="006E1781"/>
    <w:rsid w:val="006E17F7"/>
    <w:rsid w:val="006E1AC5"/>
    <w:rsid w:val="006E20A8"/>
    <w:rsid w:val="006E268B"/>
    <w:rsid w:val="006E2B40"/>
    <w:rsid w:val="006E2CE5"/>
    <w:rsid w:val="006E3224"/>
    <w:rsid w:val="006E4230"/>
    <w:rsid w:val="006E499B"/>
    <w:rsid w:val="006E4AAD"/>
    <w:rsid w:val="006E52C6"/>
    <w:rsid w:val="006E594D"/>
    <w:rsid w:val="006E7055"/>
    <w:rsid w:val="006E7205"/>
    <w:rsid w:val="006E7C00"/>
    <w:rsid w:val="006F01EA"/>
    <w:rsid w:val="006F02F2"/>
    <w:rsid w:val="006F080A"/>
    <w:rsid w:val="006F133C"/>
    <w:rsid w:val="006F1760"/>
    <w:rsid w:val="006F21E3"/>
    <w:rsid w:val="006F2618"/>
    <w:rsid w:val="006F2CF3"/>
    <w:rsid w:val="006F3703"/>
    <w:rsid w:val="006F4032"/>
    <w:rsid w:val="006F4A70"/>
    <w:rsid w:val="006F4BDA"/>
    <w:rsid w:val="006F521F"/>
    <w:rsid w:val="006F5BC8"/>
    <w:rsid w:val="006F6003"/>
    <w:rsid w:val="006F661A"/>
    <w:rsid w:val="006F6BCB"/>
    <w:rsid w:val="006F6EF2"/>
    <w:rsid w:val="006F791E"/>
    <w:rsid w:val="006F7BEC"/>
    <w:rsid w:val="00700669"/>
    <w:rsid w:val="007006FA"/>
    <w:rsid w:val="0070086C"/>
    <w:rsid w:val="00700B00"/>
    <w:rsid w:val="00700B11"/>
    <w:rsid w:val="00700C4B"/>
    <w:rsid w:val="00701135"/>
    <w:rsid w:val="00701ABA"/>
    <w:rsid w:val="00701EEE"/>
    <w:rsid w:val="00702034"/>
    <w:rsid w:val="0070203E"/>
    <w:rsid w:val="00702345"/>
    <w:rsid w:val="00702899"/>
    <w:rsid w:val="00702CFA"/>
    <w:rsid w:val="00703283"/>
    <w:rsid w:val="007034BA"/>
    <w:rsid w:val="007038CB"/>
    <w:rsid w:val="007039FA"/>
    <w:rsid w:val="00703C24"/>
    <w:rsid w:val="00704088"/>
    <w:rsid w:val="007058B8"/>
    <w:rsid w:val="00705BD1"/>
    <w:rsid w:val="00706630"/>
    <w:rsid w:val="00706B20"/>
    <w:rsid w:val="00706F89"/>
    <w:rsid w:val="007076A8"/>
    <w:rsid w:val="0070792C"/>
    <w:rsid w:val="00707AFF"/>
    <w:rsid w:val="0071016A"/>
    <w:rsid w:val="00710305"/>
    <w:rsid w:val="00711293"/>
    <w:rsid w:val="00711767"/>
    <w:rsid w:val="007119C6"/>
    <w:rsid w:val="0071267F"/>
    <w:rsid w:val="00712E12"/>
    <w:rsid w:val="00712F15"/>
    <w:rsid w:val="0071316B"/>
    <w:rsid w:val="0071351E"/>
    <w:rsid w:val="00713D50"/>
    <w:rsid w:val="00714131"/>
    <w:rsid w:val="0071499B"/>
    <w:rsid w:val="00714AA8"/>
    <w:rsid w:val="00714D99"/>
    <w:rsid w:val="007150DF"/>
    <w:rsid w:val="00715128"/>
    <w:rsid w:val="00715161"/>
    <w:rsid w:val="0071516E"/>
    <w:rsid w:val="007161E6"/>
    <w:rsid w:val="0071626D"/>
    <w:rsid w:val="0071665E"/>
    <w:rsid w:val="00716ADC"/>
    <w:rsid w:val="00716B3F"/>
    <w:rsid w:val="0071719C"/>
    <w:rsid w:val="00717519"/>
    <w:rsid w:val="00717675"/>
    <w:rsid w:val="00717D66"/>
    <w:rsid w:val="00717E59"/>
    <w:rsid w:val="007201D8"/>
    <w:rsid w:val="007204DF"/>
    <w:rsid w:val="00720934"/>
    <w:rsid w:val="00720EE6"/>
    <w:rsid w:val="00721276"/>
    <w:rsid w:val="0072128B"/>
    <w:rsid w:val="00721783"/>
    <w:rsid w:val="007217A8"/>
    <w:rsid w:val="0072270A"/>
    <w:rsid w:val="00722916"/>
    <w:rsid w:val="00722CB0"/>
    <w:rsid w:val="00723776"/>
    <w:rsid w:val="00724277"/>
    <w:rsid w:val="0072468C"/>
    <w:rsid w:val="0072475F"/>
    <w:rsid w:val="00725247"/>
    <w:rsid w:val="00725B36"/>
    <w:rsid w:val="00725D3B"/>
    <w:rsid w:val="00725ECC"/>
    <w:rsid w:val="00725ECD"/>
    <w:rsid w:val="00726475"/>
    <w:rsid w:val="00726A30"/>
    <w:rsid w:val="00726A48"/>
    <w:rsid w:val="00726E3A"/>
    <w:rsid w:val="007279FC"/>
    <w:rsid w:val="00727B85"/>
    <w:rsid w:val="00727CE6"/>
    <w:rsid w:val="00730873"/>
    <w:rsid w:val="0073097E"/>
    <w:rsid w:val="00730FEC"/>
    <w:rsid w:val="0073119D"/>
    <w:rsid w:val="00731220"/>
    <w:rsid w:val="007313CD"/>
    <w:rsid w:val="00731CDC"/>
    <w:rsid w:val="00731D0C"/>
    <w:rsid w:val="00732D7C"/>
    <w:rsid w:val="0073519E"/>
    <w:rsid w:val="0073551B"/>
    <w:rsid w:val="00735D3D"/>
    <w:rsid w:val="0073669D"/>
    <w:rsid w:val="007366AF"/>
    <w:rsid w:val="0073670B"/>
    <w:rsid w:val="0073682B"/>
    <w:rsid w:val="00736CF6"/>
    <w:rsid w:val="00737526"/>
    <w:rsid w:val="00740329"/>
    <w:rsid w:val="007408C1"/>
    <w:rsid w:val="00740E31"/>
    <w:rsid w:val="00741834"/>
    <w:rsid w:val="00741F2A"/>
    <w:rsid w:val="00742ECD"/>
    <w:rsid w:val="00743041"/>
    <w:rsid w:val="007436D3"/>
    <w:rsid w:val="00743E3A"/>
    <w:rsid w:val="00744057"/>
    <w:rsid w:val="00744A8E"/>
    <w:rsid w:val="00744B93"/>
    <w:rsid w:val="00744E62"/>
    <w:rsid w:val="00745538"/>
    <w:rsid w:val="00745E03"/>
    <w:rsid w:val="00745F72"/>
    <w:rsid w:val="007463DD"/>
    <w:rsid w:val="007465C0"/>
    <w:rsid w:val="0074752C"/>
    <w:rsid w:val="0075040D"/>
    <w:rsid w:val="007504D3"/>
    <w:rsid w:val="0075054A"/>
    <w:rsid w:val="00750B82"/>
    <w:rsid w:val="00750D7C"/>
    <w:rsid w:val="00751254"/>
    <w:rsid w:val="00751A00"/>
    <w:rsid w:val="00752479"/>
    <w:rsid w:val="00752642"/>
    <w:rsid w:val="00752644"/>
    <w:rsid w:val="00752DE9"/>
    <w:rsid w:val="00753A36"/>
    <w:rsid w:val="00753D96"/>
    <w:rsid w:val="00753F56"/>
    <w:rsid w:val="0075433A"/>
    <w:rsid w:val="00754D0A"/>
    <w:rsid w:val="00754DC5"/>
    <w:rsid w:val="00755394"/>
    <w:rsid w:val="00756152"/>
    <w:rsid w:val="00756498"/>
    <w:rsid w:val="00756AF6"/>
    <w:rsid w:val="00756B25"/>
    <w:rsid w:val="00757B79"/>
    <w:rsid w:val="007609D1"/>
    <w:rsid w:val="00760C21"/>
    <w:rsid w:val="007610DD"/>
    <w:rsid w:val="0076163C"/>
    <w:rsid w:val="007616BB"/>
    <w:rsid w:val="0076170F"/>
    <w:rsid w:val="00761C7A"/>
    <w:rsid w:val="00761D41"/>
    <w:rsid w:val="007627EB"/>
    <w:rsid w:val="007627EC"/>
    <w:rsid w:val="00762BD6"/>
    <w:rsid w:val="0076408A"/>
    <w:rsid w:val="0076417C"/>
    <w:rsid w:val="00766A5A"/>
    <w:rsid w:val="00767386"/>
    <w:rsid w:val="007677A2"/>
    <w:rsid w:val="00767BB8"/>
    <w:rsid w:val="00770798"/>
    <w:rsid w:val="00770816"/>
    <w:rsid w:val="007709CC"/>
    <w:rsid w:val="007709CF"/>
    <w:rsid w:val="007709DF"/>
    <w:rsid w:val="00770A70"/>
    <w:rsid w:val="00771731"/>
    <w:rsid w:val="00771B84"/>
    <w:rsid w:val="00772024"/>
    <w:rsid w:val="00772762"/>
    <w:rsid w:val="00772C34"/>
    <w:rsid w:val="0077303B"/>
    <w:rsid w:val="007730B7"/>
    <w:rsid w:val="007732E0"/>
    <w:rsid w:val="007736A7"/>
    <w:rsid w:val="007739D5"/>
    <w:rsid w:val="00773E67"/>
    <w:rsid w:val="00773FCE"/>
    <w:rsid w:val="007747AF"/>
    <w:rsid w:val="007763F6"/>
    <w:rsid w:val="00777556"/>
    <w:rsid w:val="007800D8"/>
    <w:rsid w:val="007802AD"/>
    <w:rsid w:val="007804CF"/>
    <w:rsid w:val="00780594"/>
    <w:rsid w:val="0078087B"/>
    <w:rsid w:val="00780D03"/>
    <w:rsid w:val="00780F8B"/>
    <w:rsid w:val="00781272"/>
    <w:rsid w:val="00781346"/>
    <w:rsid w:val="00782253"/>
    <w:rsid w:val="007827D4"/>
    <w:rsid w:val="00783514"/>
    <w:rsid w:val="00783C2E"/>
    <w:rsid w:val="00783FBD"/>
    <w:rsid w:val="0078457A"/>
    <w:rsid w:val="00784EFF"/>
    <w:rsid w:val="007859B0"/>
    <w:rsid w:val="00785F9E"/>
    <w:rsid w:val="007865B6"/>
    <w:rsid w:val="007874C2"/>
    <w:rsid w:val="00787663"/>
    <w:rsid w:val="00787675"/>
    <w:rsid w:val="0078771D"/>
    <w:rsid w:val="00787B81"/>
    <w:rsid w:val="00790771"/>
    <w:rsid w:val="00790C56"/>
    <w:rsid w:val="0079117B"/>
    <w:rsid w:val="00791291"/>
    <w:rsid w:val="007914EC"/>
    <w:rsid w:val="007915FC"/>
    <w:rsid w:val="007917EE"/>
    <w:rsid w:val="0079184C"/>
    <w:rsid w:val="00791BBE"/>
    <w:rsid w:val="0079215C"/>
    <w:rsid w:val="0079236C"/>
    <w:rsid w:val="007925A4"/>
    <w:rsid w:val="007931E3"/>
    <w:rsid w:val="0079332B"/>
    <w:rsid w:val="00793BC7"/>
    <w:rsid w:val="00793F44"/>
    <w:rsid w:val="007946DE"/>
    <w:rsid w:val="00794E50"/>
    <w:rsid w:val="00795256"/>
    <w:rsid w:val="00795503"/>
    <w:rsid w:val="00796930"/>
    <w:rsid w:val="00796AC9"/>
    <w:rsid w:val="007971A0"/>
    <w:rsid w:val="00797A5D"/>
    <w:rsid w:val="00797AFC"/>
    <w:rsid w:val="007A03BF"/>
    <w:rsid w:val="007A04E1"/>
    <w:rsid w:val="007A0CE8"/>
    <w:rsid w:val="007A112B"/>
    <w:rsid w:val="007A119C"/>
    <w:rsid w:val="007A1600"/>
    <w:rsid w:val="007A1876"/>
    <w:rsid w:val="007A190A"/>
    <w:rsid w:val="007A1A18"/>
    <w:rsid w:val="007A2005"/>
    <w:rsid w:val="007A2279"/>
    <w:rsid w:val="007A2541"/>
    <w:rsid w:val="007A27D2"/>
    <w:rsid w:val="007A29C3"/>
    <w:rsid w:val="007A3355"/>
    <w:rsid w:val="007A3450"/>
    <w:rsid w:val="007A36FF"/>
    <w:rsid w:val="007A3CB9"/>
    <w:rsid w:val="007A406C"/>
    <w:rsid w:val="007A4072"/>
    <w:rsid w:val="007A421B"/>
    <w:rsid w:val="007A4657"/>
    <w:rsid w:val="007A4A30"/>
    <w:rsid w:val="007A5AB3"/>
    <w:rsid w:val="007A5C4A"/>
    <w:rsid w:val="007A6354"/>
    <w:rsid w:val="007A6378"/>
    <w:rsid w:val="007A6629"/>
    <w:rsid w:val="007A7788"/>
    <w:rsid w:val="007B0891"/>
    <w:rsid w:val="007B0BEE"/>
    <w:rsid w:val="007B11FF"/>
    <w:rsid w:val="007B139A"/>
    <w:rsid w:val="007B16B7"/>
    <w:rsid w:val="007B1BCB"/>
    <w:rsid w:val="007B1BD8"/>
    <w:rsid w:val="007B2127"/>
    <w:rsid w:val="007B2563"/>
    <w:rsid w:val="007B271D"/>
    <w:rsid w:val="007B29BE"/>
    <w:rsid w:val="007B30EC"/>
    <w:rsid w:val="007B32C9"/>
    <w:rsid w:val="007B435A"/>
    <w:rsid w:val="007B46E2"/>
    <w:rsid w:val="007B4732"/>
    <w:rsid w:val="007B48B1"/>
    <w:rsid w:val="007B48BB"/>
    <w:rsid w:val="007B5415"/>
    <w:rsid w:val="007B5E3C"/>
    <w:rsid w:val="007B635F"/>
    <w:rsid w:val="007B6394"/>
    <w:rsid w:val="007B6ED1"/>
    <w:rsid w:val="007B7406"/>
    <w:rsid w:val="007B76E7"/>
    <w:rsid w:val="007B780A"/>
    <w:rsid w:val="007B79AA"/>
    <w:rsid w:val="007B7F6C"/>
    <w:rsid w:val="007B7FED"/>
    <w:rsid w:val="007C0275"/>
    <w:rsid w:val="007C088B"/>
    <w:rsid w:val="007C1EA3"/>
    <w:rsid w:val="007C237B"/>
    <w:rsid w:val="007C29AB"/>
    <w:rsid w:val="007C2C56"/>
    <w:rsid w:val="007C2CE2"/>
    <w:rsid w:val="007C3249"/>
    <w:rsid w:val="007C34D2"/>
    <w:rsid w:val="007C3567"/>
    <w:rsid w:val="007C3D55"/>
    <w:rsid w:val="007C419E"/>
    <w:rsid w:val="007C461F"/>
    <w:rsid w:val="007C46F0"/>
    <w:rsid w:val="007C49AE"/>
    <w:rsid w:val="007C4CF8"/>
    <w:rsid w:val="007C4EF1"/>
    <w:rsid w:val="007C51F1"/>
    <w:rsid w:val="007C5554"/>
    <w:rsid w:val="007C5E53"/>
    <w:rsid w:val="007C5F92"/>
    <w:rsid w:val="007C6160"/>
    <w:rsid w:val="007C6D2B"/>
    <w:rsid w:val="007C76A8"/>
    <w:rsid w:val="007C77D2"/>
    <w:rsid w:val="007C7B92"/>
    <w:rsid w:val="007D00F8"/>
    <w:rsid w:val="007D16C8"/>
    <w:rsid w:val="007D1DF6"/>
    <w:rsid w:val="007D22FD"/>
    <w:rsid w:val="007D2314"/>
    <w:rsid w:val="007D2338"/>
    <w:rsid w:val="007D25D7"/>
    <w:rsid w:val="007D279D"/>
    <w:rsid w:val="007D2CE0"/>
    <w:rsid w:val="007D3C3A"/>
    <w:rsid w:val="007D4014"/>
    <w:rsid w:val="007D404A"/>
    <w:rsid w:val="007D446B"/>
    <w:rsid w:val="007D484F"/>
    <w:rsid w:val="007D4A24"/>
    <w:rsid w:val="007D53D4"/>
    <w:rsid w:val="007D64D3"/>
    <w:rsid w:val="007D68E9"/>
    <w:rsid w:val="007D6CD7"/>
    <w:rsid w:val="007D6E5D"/>
    <w:rsid w:val="007D7193"/>
    <w:rsid w:val="007D739F"/>
    <w:rsid w:val="007E007E"/>
    <w:rsid w:val="007E0155"/>
    <w:rsid w:val="007E05F6"/>
    <w:rsid w:val="007E08CC"/>
    <w:rsid w:val="007E0B99"/>
    <w:rsid w:val="007E0FA0"/>
    <w:rsid w:val="007E12A9"/>
    <w:rsid w:val="007E15B6"/>
    <w:rsid w:val="007E1DF2"/>
    <w:rsid w:val="007E21E9"/>
    <w:rsid w:val="007E2920"/>
    <w:rsid w:val="007E3A4C"/>
    <w:rsid w:val="007E3BD5"/>
    <w:rsid w:val="007E4679"/>
    <w:rsid w:val="007E4736"/>
    <w:rsid w:val="007E5126"/>
    <w:rsid w:val="007E54BA"/>
    <w:rsid w:val="007E6079"/>
    <w:rsid w:val="007E66D5"/>
    <w:rsid w:val="007E7299"/>
    <w:rsid w:val="007E79FB"/>
    <w:rsid w:val="007E7B32"/>
    <w:rsid w:val="007E7C14"/>
    <w:rsid w:val="007E7DB7"/>
    <w:rsid w:val="007F1494"/>
    <w:rsid w:val="007F18EE"/>
    <w:rsid w:val="007F2268"/>
    <w:rsid w:val="007F261F"/>
    <w:rsid w:val="007F32C3"/>
    <w:rsid w:val="007F344A"/>
    <w:rsid w:val="007F45C9"/>
    <w:rsid w:val="007F464A"/>
    <w:rsid w:val="007F4BAC"/>
    <w:rsid w:val="007F5411"/>
    <w:rsid w:val="007F5D8B"/>
    <w:rsid w:val="007F640D"/>
    <w:rsid w:val="007F661E"/>
    <w:rsid w:val="007F6902"/>
    <w:rsid w:val="007F6C68"/>
    <w:rsid w:val="007F6F1A"/>
    <w:rsid w:val="007F7300"/>
    <w:rsid w:val="007F756A"/>
    <w:rsid w:val="007F7963"/>
    <w:rsid w:val="007F7B7D"/>
    <w:rsid w:val="007F7E1B"/>
    <w:rsid w:val="008002DB"/>
    <w:rsid w:val="00800760"/>
    <w:rsid w:val="0080106D"/>
    <w:rsid w:val="00801559"/>
    <w:rsid w:val="00801851"/>
    <w:rsid w:val="00802975"/>
    <w:rsid w:val="00802E8B"/>
    <w:rsid w:val="00803994"/>
    <w:rsid w:val="00804058"/>
    <w:rsid w:val="0080410F"/>
    <w:rsid w:val="008044D3"/>
    <w:rsid w:val="0080502A"/>
    <w:rsid w:val="00805178"/>
    <w:rsid w:val="00805582"/>
    <w:rsid w:val="008057EC"/>
    <w:rsid w:val="00805BAF"/>
    <w:rsid w:val="008063D0"/>
    <w:rsid w:val="00806CD6"/>
    <w:rsid w:val="00807611"/>
    <w:rsid w:val="008100AB"/>
    <w:rsid w:val="00810C63"/>
    <w:rsid w:val="00811E79"/>
    <w:rsid w:val="00812046"/>
    <w:rsid w:val="00812AA7"/>
    <w:rsid w:val="00812D05"/>
    <w:rsid w:val="00812FC0"/>
    <w:rsid w:val="008130CB"/>
    <w:rsid w:val="0081429C"/>
    <w:rsid w:val="008144AC"/>
    <w:rsid w:val="0081501D"/>
    <w:rsid w:val="00815060"/>
    <w:rsid w:val="008152DE"/>
    <w:rsid w:val="00815896"/>
    <w:rsid w:val="00815D95"/>
    <w:rsid w:val="00815F9F"/>
    <w:rsid w:val="00816505"/>
    <w:rsid w:val="00816A1C"/>
    <w:rsid w:val="00816D1F"/>
    <w:rsid w:val="00817103"/>
    <w:rsid w:val="008175AD"/>
    <w:rsid w:val="00817F9E"/>
    <w:rsid w:val="008200E3"/>
    <w:rsid w:val="0082279A"/>
    <w:rsid w:val="00822A76"/>
    <w:rsid w:val="00823245"/>
    <w:rsid w:val="00823678"/>
    <w:rsid w:val="00823C58"/>
    <w:rsid w:val="0082470B"/>
    <w:rsid w:val="00824ADE"/>
    <w:rsid w:val="00824B09"/>
    <w:rsid w:val="00824C8D"/>
    <w:rsid w:val="00825D30"/>
    <w:rsid w:val="00825E86"/>
    <w:rsid w:val="008263B2"/>
    <w:rsid w:val="00826DC7"/>
    <w:rsid w:val="008275EF"/>
    <w:rsid w:val="00827A51"/>
    <w:rsid w:val="00827FC4"/>
    <w:rsid w:val="00830C8E"/>
    <w:rsid w:val="00830CDB"/>
    <w:rsid w:val="00830FBE"/>
    <w:rsid w:val="0083109E"/>
    <w:rsid w:val="008311E0"/>
    <w:rsid w:val="00831560"/>
    <w:rsid w:val="00832063"/>
    <w:rsid w:val="00832FFC"/>
    <w:rsid w:val="00833EFD"/>
    <w:rsid w:val="00834023"/>
    <w:rsid w:val="00834160"/>
    <w:rsid w:val="00834180"/>
    <w:rsid w:val="008345F3"/>
    <w:rsid w:val="00834BE7"/>
    <w:rsid w:val="00834C37"/>
    <w:rsid w:val="008351BD"/>
    <w:rsid w:val="008356EE"/>
    <w:rsid w:val="0083592D"/>
    <w:rsid w:val="00835AAD"/>
    <w:rsid w:val="00836008"/>
    <w:rsid w:val="008363EC"/>
    <w:rsid w:val="00836532"/>
    <w:rsid w:val="00836E53"/>
    <w:rsid w:val="008372E8"/>
    <w:rsid w:val="00837327"/>
    <w:rsid w:val="00837732"/>
    <w:rsid w:val="00837755"/>
    <w:rsid w:val="00837B06"/>
    <w:rsid w:val="00837B39"/>
    <w:rsid w:val="00837EC9"/>
    <w:rsid w:val="00840116"/>
    <w:rsid w:val="008403A1"/>
    <w:rsid w:val="008403F1"/>
    <w:rsid w:val="00840DFE"/>
    <w:rsid w:val="00841120"/>
    <w:rsid w:val="00842040"/>
    <w:rsid w:val="008424EF"/>
    <w:rsid w:val="008427F1"/>
    <w:rsid w:val="00843D79"/>
    <w:rsid w:val="00844EF3"/>
    <w:rsid w:val="00845088"/>
    <w:rsid w:val="00845913"/>
    <w:rsid w:val="00845C27"/>
    <w:rsid w:val="00845E83"/>
    <w:rsid w:val="0084682D"/>
    <w:rsid w:val="00846E51"/>
    <w:rsid w:val="00847E4C"/>
    <w:rsid w:val="00850EE5"/>
    <w:rsid w:val="00851C08"/>
    <w:rsid w:val="0085206A"/>
    <w:rsid w:val="0085269A"/>
    <w:rsid w:val="00852C9F"/>
    <w:rsid w:val="00853B8B"/>
    <w:rsid w:val="008546E8"/>
    <w:rsid w:val="00854792"/>
    <w:rsid w:val="00854B54"/>
    <w:rsid w:val="00854EEC"/>
    <w:rsid w:val="008552CF"/>
    <w:rsid w:val="0085597D"/>
    <w:rsid w:val="00855CF6"/>
    <w:rsid w:val="00856BD6"/>
    <w:rsid w:val="00856F17"/>
    <w:rsid w:val="00856F1F"/>
    <w:rsid w:val="0085721D"/>
    <w:rsid w:val="008572CA"/>
    <w:rsid w:val="008574E0"/>
    <w:rsid w:val="0085785E"/>
    <w:rsid w:val="00857BFD"/>
    <w:rsid w:val="00857DDD"/>
    <w:rsid w:val="0086001F"/>
    <w:rsid w:val="0086067D"/>
    <w:rsid w:val="00860C33"/>
    <w:rsid w:val="00860D68"/>
    <w:rsid w:val="0086148B"/>
    <w:rsid w:val="00861502"/>
    <w:rsid w:val="008618C0"/>
    <w:rsid w:val="00861D6C"/>
    <w:rsid w:val="00861FC6"/>
    <w:rsid w:val="00862263"/>
    <w:rsid w:val="00862D16"/>
    <w:rsid w:val="00862EBF"/>
    <w:rsid w:val="0086315A"/>
    <w:rsid w:val="00863220"/>
    <w:rsid w:val="00863609"/>
    <w:rsid w:val="008638DB"/>
    <w:rsid w:val="0086399F"/>
    <w:rsid w:val="00863C09"/>
    <w:rsid w:val="00863F95"/>
    <w:rsid w:val="008648AA"/>
    <w:rsid w:val="008651C7"/>
    <w:rsid w:val="008656A6"/>
    <w:rsid w:val="00865836"/>
    <w:rsid w:val="00865B13"/>
    <w:rsid w:val="00865DCE"/>
    <w:rsid w:val="00865FB6"/>
    <w:rsid w:val="008665B9"/>
    <w:rsid w:val="00866654"/>
    <w:rsid w:val="00866C25"/>
    <w:rsid w:val="00866C90"/>
    <w:rsid w:val="00867A4B"/>
    <w:rsid w:val="00867B56"/>
    <w:rsid w:val="00867B81"/>
    <w:rsid w:val="00870238"/>
    <w:rsid w:val="00870FBE"/>
    <w:rsid w:val="00870FEE"/>
    <w:rsid w:val="00871476"/>
    <w:rsid w:val="00871E88"/>
    <w:rsid w:val="00872424"/>
    <w:rsid w:val="008729FE"/>
    <w:rsid w:val="00872D6D"/>
    <w:rsid w:val="00873A00"/>
    <w:rsid w:val="0087422C"/>
    <w:rsid w:val="00874C16"/>
    <w:rsid w:val="00874C96"/>
    <w:rsid w:val="00874F2F"/>
    <w:rsid w:val="008753CE"/>
    <w:rsid w:val="00875897"/>
    <w:rsid w:val="008761D7"/>
    <w:rsid w:val="008761FA"/>
    <w:rsid w:val="008763A7"/>
    <w:rsid w:val="0087654B"/>
    <w:rsid w:val="0087675E"/>
    <w:rsid w:val="00876B18"/>
    <w:rsid w:val="00876DCF"/>
    <w:rsid w:val="00877003"/>
    <w:rsid w:val="008774A1"/>
    <w:rsid w:val="00877B48"/>
    <w:rsid w:val="008801C5"/>
    <w:rsid w:val="008802B9"/>
    <w:rsid w:val="00880AB4"/>
    <w:rsid w:val="00880D19"/>
    <w:rsid w:val="00880FD4"/>
    <w:rsid w:val="008810EA"/>
    <w:rsid w:val="0088128D"/>
    <w:rsid w:val="0088168D"/>
    <w:rsid w:val="00881F98"/>
    <w:rsid w:val="00881FBA"/>
    <w:rsid w:val="008827FD"/>
    <w:rsid w:val="00882E9D"/>
    <w:rsid w:val="00882F50"/>
    <w:rsid w:val="0088358A"/>
    <w:rsid w:val="00883613"/>
    <w:rsid w:val="00883663"/>
    <w:rsid w:val="00883774"/>
    <w:rsid w:val="008838D2"/>
    <w:rsid w:val="00883B68"/>
    <w:rsid w:val="00883DF4"/>
    <w:rsid w:val="00883E64"/>
    <w:rsid w:val="00884010"/>
    <w:rsid w:val="00885015"/>
    <w:rsid w:val="008855DA"/>
    <w:rsid w:val="00885625"/>
    <w:rsid w:val="008857EE"/>
    <w:rsid w:val="0088581B"/>
    <w:rsid w:val="00885ACA"/>
    <w:rsid w:val="00886ADF"/>
    <w:rsid w:val="00886E04"/>
    <w:rsid w:val="0088710D"/>
    <w:rsid w:val="008879A1"/>
    <w:rsid w:val="0089023B"/>
    <w:rsid w:val="00890F60"/>
    <w:rsid w:val="008918D7"/>
    <w:rsid w:val="008920CA"/>
    <w:rsid w:val="00892646"/>
    <w:rsid w:val="008928FC"/>
    <w:rsid w:val="0089313A"/>
    <w:rsid w:val="00894CEC"/>
    <w:rsid w:val="00894E9F"/>
    <w:rsid w:val="0089535A"/>
    <w:rsid w:val="0089564D"/>
    <w:rsid w:val="008958A3"/>
    <w:rsid w:val="0089590A"/>
    <w:rsid w:val="00896319"/>
    <w:rsid w:val="0089648A"/>
    <w:rsid w:val="00897135"/>
    <w:rsid w:val="00897187"/>
    <w:rsid w:val="0089727F"/>
    <w:rsid w:val="00897A7C"/>
    <w:rsid w:val="00897B50"/>
    <w:rsid w:val="008A0A2C"/>
    <w:rsid w:val="008A0D08"/>
    <w:rsid w:val="008A1018"/>
    <w:rsid w:val="008A11A0"/>
    <w:rsid w:val="008A13D4"/>
    <w:rsid w:val="008A17AF"/>
    <w:rsid w:val="008A1E8A"/>
    <w:rsid w:val="008A3259"/>
    <w:rsid w:val="008A372C"/>
    <w:rsid w:val="008A3B15"/>
    <w:rsid w:val="008A4BE0"/>
    <w:rsid w:val="008A55BA"/>
    <w:rsid w:val="008A6937"/>
    <w:rsid w:val="008A6B32"/>
    <w:rsid w:val="008A7B36"/>
    <w:rsid w:val="008A7C01"/>
    <w:rsid w:val="008A7CCC"/>
    <w:rsid w:val="008A7DB5"/>
    <w:rsid w:val="008B0600"/>
    <w:rsid w:val="008B0803"/>
    <w:rsid w:val="008B09B6"/>
    <w:rsid w:val="008B0D04"/>
    <w:rsid w:val="008B1956"/>
    <w:rsid w:val="008B199A"/>
    <w:rsid w:val="008B1D40"/>
    <w:rsid w:val="008B22C6"/>
    <w:rsid w:val="008B237B"/>
    <w:rsid w:val="008B29CD"/>
    <w:rsid w:val="008B2EC5"/>
    <w:rsid w:val="008B2FA3"/>
    <w:rsid w:val="008B3129"/>
    <w:rsid w:val="008B3322"/>
    <w:rsid w:val="008B3A18"/>
    <w:rsid w:val="008B3D0B"/>
    <w:rsid w:val="008B3EA2"/>
    <w:rsid w:val="008B48E5"/>
    <w:rsid w:val="008B4D91"/>
    <w:rsid w:val="008B51C9"/>
    <w:rsid w:val="008B54B3"/>
    <w:rsid w:val="008B5A79"/>
    <w:rsid w:val="008B5E38"/>
    <w:rsid w:val="008B5F7B"/>
    <w:rsid w:val="008B6297"/>
    <w:rsid w:val="008B633E"/>
    <w:rsid w:val="008B6416"/>
    <w:rsid w:val="008B7341"/>
    <w:rsid w:val="008B7846"/>
    <w:rsid w:val="008B7E3E"/>
    <w:rsid w:val="008C021B"/>
    <w:rsid w:val="008C0636"/>
    <w:rsid w:val="008C14C8"/>
    <w:rsid w:val="008C173E"/>
    <w:rsid w:val="008C1DBA"/>
    <w:rsid w:val="008C206A"/>
    <w:rsid w:val="008C2B7C"/>
    <w:rsid w:val="008C35F1"/>
    <w:rsid w:val="008C40DA"/>
    <w:rsid w:val="008C51E7"/>
    <w:rsid w:val="008C5255"/>
    <w:rsid w:val="008C5393"/>
    <w:rsid w:val="008C586F"/>
    <w:rsid w:val="008C5A91"/>
    <w:rsid w:val="008C6598"/>
    <w:rsid w:val="008C68A3"/>
    <w:rsid w:val="008C6C7F"/>
    <w:rsid w:val="008C6D73"/>
    <w:rsid w:val="008C7BB9"/>
    <w:rsid w:val="008C7E0C"/>
    <w:rsid w:val="008D0D23"/>
    <w:rsid w:val="008D13FC"/>
    <w:rsid w:val="008D236C"/>
    <w:rsid w:val="008D2A9A"/>
    <w:rsid w:val="008D2B07"/>
    <w:rsid w:val="008D2F69"/>
    <w:rsid w:val="008D325B"/>
    <w:rsid w:val="008D3360"/>
    <w:rsid w:val="008D3AC4"/>
    <w:rsid w:val="008D3D44"/>
    <w:rsid w:val="008D3EA7"/>
    <w:rsid w:val="008D4455"/>
    <w:rsid w:val="008D45D6"/>
    <w:rsid w:val="008D5480"/>
    <w:rsid w:val="008D6A77"/>
    <w:rsid w:val="008D6D00"/>
    <w:rsid w:val="008D76CC"/>
    <w:rsid w:val="008D7CE5"/>
    <w:rsid w:val="008E00BB"/>
    <w:rsid w:val="008E0636"/>
    <w:rsid w:val="008E06EC"/>
    <w:rsid w:val="008E07FD"/>
    <w:rsid w:val="008E0C56"/>
    <w:rsid w:val="008E0CA0"/>
    <w:rsid w:val="008E117D"/>
    <w:rsid w:val="008E128F"/>
    <w:rsid w:val="008E212D"/>
    <w:rsid w:val="008E2554"/>
    <w:rsid w:val="008E2726"/>
    <w:rsid w:val="008E2AF4"/>
    <w:rsid w:val="008E2B35"/>
    <w:rsid w:val="008E2E44"/>
    <w:rsid w:val="008E32EE"/>
    <w:rsid w:val="008E3328"/>
    <w:rsid w:val="008E34AE"/>
    <w:rsid w:val="008E3AA9"/>
    <w:rsid w:val="008E3DAA"/>
    <w:rsid w:val="008E4299"/>
    <w:rsid w:val="008E5958"/>
    <w:rsid w:val="008E6261"/>
    <w:rsid w:val="008E6733"/>
    <w:rsid w:val="008E6F8A"/>
    <w:rsid w:val="008E7152"/>
    <w:rsid w:val="008F0829"/>
    <w:rsid w:val="008F0F77"/>
    <w:rsid w:val="008F13C1"/>
    <w:rsid w:val="008F178F"/>
    <w:rsid w:val="008F1C24"/>
    <w:rsid w:val="008F28D7"/>
    <w:rsid w:val="008F2D24"/>
    <w:rsid w:val="008F4855"/>
    <w:rsid w:val="008F504C"/>
    <w:rsid w:val="008F50C0"/>
    <w:rsid w:val="008F569F"/>
    <w:rsid w:val="008F6B1C"/>
    <w:rsid w:val="008F6E95"/>
    <w:rsid w:val="008F7087"/>
    <w:rsid w:val="008F7548"/>
    <w:rsid w:val="008F7CA8"/>
    <w:rsid w:val="008F7D77"/>
    <w:rsid w:val="0090016B"/>
    <w:rsid w:val="009004EA"/>
    <w:rsid w:val="009008F8"/>
    <w:rsid w:val="00901030"/>
    <w:rsid w:val="0090119D"/>
    <w:rsid w:val="00901EF6"/>
    <w:rsid w:val="00902033"/>
    <w:rsid w:val="00902CCE"/>
    <w:rsid w:val="00902D60"/>
    <w:rsid w:val="00902E18"/>
    <w:rsid w:val="00902E92"/>
    <w:rsid w:val="00904A76"/>
    <w:rsid w:val="00905189"/>
    <w:rsid w:val="0090550A"/>
    <w:rsid w:val="0090558F"/>
    <w:rsid w:val="00905AEE"/>
    <w:rsid w:val="0090601E"/>
    <w:rsid w:val="00906415"/>
    <w:rsid w:val="009064FC"/>
    <w:rsid w:val="0090651D"/>
    <w:rsid w:val="0090665D"/>
    <w:rsid w:val="00906D22"/>
    <w:rsid w:val="00907AD8"/>
    <w:rsid w:val="009113AB"/>
    <w:rsid w:val="009113B1"/>
    <w:rsid w:val="0091143F"/>
    <w:rsid w:val="009117B4"/>
    <w:rsid w:val="00911C66"/>
    <w:rsid w:val="00911C7F"/>
    <w:rsid w:val="00912C69"/>
    <w:rsid w:val="00912CCD"/>
    <w:rsid w:val="00913059"/>
    <w:rsid w:val="009139FB"/>
    <w:rsid w:val="00913EE1"/>
    <w:rsid w:val="0091429E"/>
    <w:rsid w:val="0091455C"/>
    <w:rsid w:val="0091477E"/>
    <w:rsid w:val="009147F8"/>
    <w:rsid w:val="00914D50"/>
    <w:rsid w:val="00914E0E"/>
    <w:rsid w:val="009151ED"/>
    <w:rsid w:val="0091560D"/>
    <w:rsid w:val="0091560F"/>
    <w:rsid w:val="00915A93"/>
    <w:rsid w:val="009163D4"/>
    <w:rsid w:val="00916CA5"/>
    <w:rsid w:val="0091736C"/>
    <w:rsid w:val="00917688"/>
    <w:rsid w:val="00917FFD"/>
    <w:rsid w:val="009214DE"/>
    <w:rsid w:val="00921799"/>
    <w:rsid w:val="00921E13"/>
    <w:rsid w:val="0092320F"/>
    <w:rsid w:val="009232BC"/>
    <w:rsid w:val="00923786"/>
    <w:rsid w:val="00923A12"/>
    <w:rsid w:val="00923C10"/>
    <w:rsid w:val="009240FD"/>
    <w:rsid w:val="0092418D"/>
    <w:rsid w:val="00924314"/>
    <w:rsid w:val="00924577"/>
    <w:rsid w:val="00924CCB"/>
    <w:rsid w:val="00925C54"/>
    <w:rsid w:val="0092721C"/>
    <w:rsid w:val="0092756B"/>
    <w:rsid w:val="00927BC9"/>
    <w:rsid w:val="00927D43"/>
    <w:rsid w:val="009300D1"/>
    <w:rsid w:val="009304FC"/>
    <w:rsid w:val="00931087"/>
    <w:rsid w:val="0093125C"/>
    <w:rsid w:val="00932881"/>
    <w:rsid w:val="00932A33"/>
    <w:rsid w:val="00932BC2"/>
    <w:rsid w:val="00932BF5"/>
    <w:rsid w:val="00932F21"/>
    <w:rsid w:val="0093382D"/>
    <w:rsid w:val="00933B88"/>
    <w:rsid w:val="00933CC8"/>
    <w:rsid w:val="00933CEC"/>
    <w:rsid w:val="00933E9A"/>
    <w:rsid w:val="009342ED"/>
    <w:rsid w:val="009347A6"/>
    <w:rsid w:val="00934A55"/>
    <w:rsid w:val="00935619"/>
    <w:rsid w:val="009357DD"/>
    <w:rsid w:val="0093594E"/>
    <w:rsid w:val="00935D4B"/>
    <w:rsid w:val="00935F8B"/>
    <w:rsid w:val="00936049"/>
    <w:rsid w:val="0093629B"/>
    <w:rsid w:val="009365C2"/>
    <w:rsid w:val="00936BF3"/>
    <w:rsid w:val="009371DF"/>
    <w:rsid w:val="009376DF"/>
    <w:rsid w:val="009406DB"/>
    <w:rsid w:val="009409CA"/>
    <w:rsid w:val="00940AC4"/>
    <w:rsid w:val="00940C35"/>
    <w:rsid w:val="009410BB"/>
    <w:rsid w:val="009414AA"/>
    <w:rsid w:val="009414B7"/>
    <w:rsid w:val="00941840"/>
    <w:rsid w:val="00941F55"/>
    <w:rsid w:val="00941FD5"/>
    <w:rsid w:val="009422D9"/>
    <w:rsid w:val="009436FB"/>
    <w:rsid w:val="009439E5"/>
    <w:rsid w:val="009447F7"/>
    <w:rsid w:val="00944E63"/>
    <w:rsid w:val="0094511A"/>
    <w:rsid w:val="00945FC3"/>
    <w:rsid w:val="0094676A"/>
    <w:rsid w:val="0094689C"/>
    <w:rsid w:val="00946CE8"/>
    <w:rsid w:val="00946E09"/>
    <w:rsid w:val="00946E6C"/>
    <w:rsid w:val="00947ECF"/>
    <w:rsid w:val="00950123"/>
    <w:rsid w:val="00950D2B"/>
    <w:rsid w:val="009513D8"/>
    <w:rsid w:val="00951D7D"/>
    <w:rsid w:val="00951D9F"/>
    <w:rsid w:val="009521F2"/>
    <w:rsid w:val="00952681"/>
    <w:rsid w:val="00952873"/>
    <w:rsid w:val="009529DE"/>
    <w:rsid w:val="00952BFB"/>
    <w:rsid w:val="009532EF"/>
    <w:rsid w:val="00954140"/>
    <w:rsid w:val="00954375"/>
    <w:rsid w:val="009548D0"/>
    <w:rsid w:val="00954A96"/>
    <w:rsid w:val="00955586"/>
    <w:rsid w:val="0095574A"/>
    <w:rsid w:val="00955F23"/>
    <w:rsid w:val="00956874"/>
    <w:rsid w:val="00956B61"/>
    <w:rsid w:val="00956C64"/>
    <w:rsid w:val="00956DFB"/>
    <w:rsid w:val="009571C5"/>
    <w:rsid w:val="00957547"/>
    <w:rsid w:val="00957903"/>
    <w:rsid w:val="009600DE"/>
    <w:rsid w:val="009604F3"/>
    <w:rsid w:val="00960A97"/>
    <w:rsid w:val="00960BC2"/>
    <w:rsid w:val="00961364"/>
    <w:rsid w:val="0096163F"/>
    <w:rsid w:val="00961C00"/>
    <w:rsid w:val="00961DBB"/>
    <w:rsid w:val="009627F2"/>
    <w:rsid w:val="00962E29"/>
    <w:rsid w:val="00962F3C"/>
    <w:rsid w:val="00963153"/>
    <w:rsid w:val="009636BC"/>
    <w:rsid w:val="00964933"/>
    <w:rsid w:val="00965EE9"/>
    <w:rsid w:val="00965F27"/>
    <w:rsid w:val="00966288"/>
    <w:rsid w:val="0096660E"/>
    <w:rsid w:val="009669B1"/>
    <w:rsid w:val="00967EE0"/>
    <w:rsid w:val="009704B4"/>
    <w:rsid w:val="00970C16"/>
    <w:rsid w:val="00971298"/>
    <w:rsid w:val="00971B49"/>
    <w:rsid w:val="00971BDA"/>
    <w:rsid w:val="00971CD8"/>
    <w:rsid w:val="00972000"/>
    <w:rsid w:val="009722BA"/>
    <w:rsid w:val="0097328F"/>
    <w:rsid w:val="00973502"/>
    <w:rsid w:val="00973B6D"/>
    <w:rsid w:val="00973C1D"/>
    <w:rsid w:val="00973F6C"/>
    <w:rsid w:val="00973FA8"/>
    <w:rsid w:val="00974466"/>
    <w:rsid w:val="00974516"/>
    <w:rsid w:val="00974B0A"/>
    <w:rsid w:val="00974B4D"/>
    <w:rsid w:val="00974CEB"/>
    <w:rsid w:val="00975CBC"/>
    <w:rsid w:val="00975CEB"/>
    <w:rsid w:val="00976B1B"/>
    <w:rsid w:val="009770F3"/>
    <w:rsid w:val="0097778E"/>
    <w:rsid w:val="00977873"/>
    <w:rsid w:val="00977A4A"/>
    <w:rsid w:val="009804C8"/>
    <w:rsid w:val="009804DC"/>
    <w:rsid w:val="00980668"/>
    <w:rsid w:val="0098199E"/>
    <w:rsid w:val="009824E1"/>
    <w:rsid w:val="00982884"/>
    <w:rsid w:val="00983A00"/>
    <w:rsid w:val="00983C5D"/>
    <w:rsid w:val="00983DB7"/>
    <w:rsid w:val="0098445F"/>
    <w:rsid w:val="00984D09"/>
    <w:rsid w:val="00984F10"/>
    <w:rsid w:val="00985462"/>
    <w:rsid w:val="0098587A"/>
    <w:rsid w:val="00985CA8"/>
    <w:rsid w:val="00986274"/>
    <w:rsid w:val="0098634E"/>
    <w:rsid w:val="00986571"/>
    <w:rsid w:val="009868D7"/>
    <w:rsid w:val="00986AA9"/>
    <w:rsid w:val="00986BA5"/>
    <w:rsid w:val="00986C5B"/>
    <w:rsid w:val="0098726E"/>
    <w:rsid w:val="0099093C"/>
    <w:rsid w:val="0099133A"/>
    <w:rsid w:val="009915DC"/>
    <w:rsid w:val="009917C5"/>
    <w:rsid w:val="00991B87"/>
    <w:rsid w:val="00991D1B"/>
    <w:rsid w:val="00991EBE"/>
    <w:rsid w:val="00992AC2"/>
    <w:rsid w:val="00993427"/>
    <w:rsid w:val="0099347C"/>
    <w:rsid w:val="00993AE6"/>
    <w:rsid w:val="00993FC7"/>
    <w:rsid w:val="00994288"/>
    <w:rsid w:val="00994421"/>
    <w:rsid w:val="0099450E"/>
    <w:rsid w:val="00994C32"/>
    <w:rsid w:val="00994D07"/>
    <w:rsid w:val="009952AE"/>
    <w:rsid w:val="00995309"/>
    <w:rsid w:val="0099534F"/>
    <w:rsid w:val="00995567"/>
    <w:rsid w:val="00995D7C"/>
    <w:rsid w:val="00996244"/>
    <w:rsid w:val="0099687A"/>
    <w:rsid w:val="00996E70"/>
    <w:rsid w:val="00996EDB"/>
    <w:rsid w:val="00996F3A"/>
    <w:rsid w:val="00997410"/>
    <w:rsid w:val="00997613"/>
    <w:rsid w:val="00997B22"/>
    <w:rsid w:val="009A016E"/>
    <w:rsid w:val="009A0A6C"/>
    <w:rsid w:val="009A0F1E"/>
    <w:rsid w:val="009A14FD"/>
    <w:rsid w:val="009A1FA7"/>
    <w:rsid w:val="009A202D"/>
    <w:rsid w:val="009A3134"/>
    <w:rsid w:val="009A37EE"/>
    <w:rsid w:val="009A393A"/>
    <w:rsid w:val="009A3C0D"/>
    <w:rsid w:val="009A3C6C"/>
    <w:rsid w:val="009A3F1E"/>
    <w:rsid w:val="009A4052"/>
    <w:rsid w:val="009A438E"/>
    <w:rsid w:val="009A445E"/>
    <w:rsid w:val="009A466B"/>
    <w:rsid w:val="009A46B7"/>
    <w:rsid w:val="009A4E23"/>
    <w:rsid w:val="009A5109"/>
    <w:rsid w:val="009A555C"/>
    <w:rsid w:val="009A588C"/>
    <w:rsid w:val="009A654F"/>
    <w:rsid w:val="009A6594"/>
    <w:rsid w:val="009A6DD3"/>
    <w:rsid w:val="009A7973"/>
    <w:rsid w:val="009A7A67"/>
    <w:rsid w:val="009B0708"/>
    <w:rsid w:val="009B0DEC"/>
    <w:rsid w:val="009B0E2F"/>
    <w:rsid w:val="009B0FEF"/>
    <w:rsid w:val="009B1178"/>
    <w:rsid w:val="009B149D"/>
    <w:rsid w:val="009B1D29"/>
    <w:rsid w:val="009B23F6"/>
    <w:rsid w:val="009B241E"/>
    <w:rsid w:val="009B24E3"/>
    <w:rsid w:val="009B2E1A"/>
    <w:rsid w:val="009B35DF"/>
    <w:rsid w:val="009B3C24"/>
    <w:rsid w:val="009B48A3"/>
    <w:rsid w:val="009B4EC1"/>
    <w:rsid w:val="009B54CC"/>
    <w:rsid w:val="009B60A1"/>
    <w:rsid w:val="009B6C13"/>
    <w:rsid w:val="009B6F93"/>
    <w:rsid w:val="009C07C7"/>
    <w:rsid w:val="009C0A3E"/>
    <w:rsid w:val="009C0F62"/>
    <w:rsid w:val="009C1579"/>
    <w:rsid w:val="009C1880"/>
    <w:rsid w:val="009C18B1"/>
    <w:rsid w:val="009C194A"/>
    <w:rsid w:val="009C2EA7"/>
    <w:rsid w:val="009C3A5A"/>
    <w:rsid w:val="009C3EDC"/>
    <w:rsid w:val="009C467D"/>
    <w:rsid w:val="009C4CEA"/>
    <w:rsid w:val="009C4E90"/>
    <w:rsid w:val="009C57C8"/>
    <w:rsid w:val="009C586E"/>
    <w:rsid w:val="009C598D"/>
    <w:rsid w:val="009C60CC"/>
    <w:rsid w:val="009C6691"/>
    <w:rsid w:val="009C684D"/>
    <w:rsid w:val="009C6FD9"/>
    <w:rsid w:val="009C7F51"/>
    <w:rsid w:val="009D022B"/>
    <w:rsid w:val="009D0D74"/>
    <w:rsid w:val="009D10B7"/>
    <w:rsid w:val="009D11D6"/>
    <w:rsid w:val="009D129E"/>
    <w:rsid w:val="009D1456"/>
    <w:rsid w:val="009D1C90"/>
    <w:rsid w:val="009D21D5"/>
    <w:rsid w:val="009D221C"/>
    <w:rsid w:val="009D22CD"/>
    <w:rsid w:val="009D2412"/>
    <w:rsid w:val="009D2DFE"/>
    <w:rsid w:val="009D3F71"/>
    <w:rsid w:val="009D45BD"/>
    <w:rsid w:val="009D4A91"/>
    <w:rsid w:val="009D4F9D"/>
    <w:rsid w:val="009D584B"/>
    <w:rsid w:val="009D6423"/>
    <w:rsid w:val="009D7089"/>
    <w:rsid w:val="009D7302"/>
    <w:rsid w:val="009D7453"/>
    <w:rsid w:val="009D7D01"/>
    <w:rsid w:val="009E0524"/>
    <w:rsid w:val="009E0951"/>
    <w:rsid w:val="009E0A4A"/>
    <w:rsid w:val="009E0B98"/>
    <w:rsid w:val="009E0FC8"/>
    <w:rsid w:val="009E209E"/>
    <w:rsid w:val="009E2561"/>
    <w:rsid w:val="009E38F3"/>
    <w:rsid w:val="009E47F1"/>
    <w:rsid w:val="009E4AA3"/>
    <w:rsid w:val="009E4B38"/>
    <w:rsid w:val="009E4BC5"/>
    <w:rsid w:val="009E4F39"/>
    <w:rsid w:val="009E54CD"/>
    <w:rsid w:val="009E56F5"/>
    <w:rsid w:val="009E571B"/>
    <w:rsid w:val="009E58ED"/>
    <w:rsid w:val="009E61FE"/>
    <w:rsid w:val="009E68DB"/>
    <w:rsid w:val="009E69B3"/>
    <w:rsid w:val="009E6FEF"/>
    <w:rsid w:val="009E79E2"/>
    <w:rsid w:val="009E7CAA"/>
    <w:rsid w:val="009F04B9"/>
    <w:rsid w:val="009F0C06"/>
    <w:rsid w:val="009F134A"/>
    <w:rsid w:val="009F1EAB"/>
    <w:rsid w:val="009F2BF5"/>
    <w:rsid w:val="009F2DD0"/>
    <w:rsid w:val="009F2E9E"/>
    <w:rsid w:val="009F3522"/>
    <w:rsid w:val="009F3E78"/>
    <w:rsid w:val="009F43DD"/>
    <w:rsid w:val="009F43EE"/>
    <w:rsid w:val="009F43F9"/>
    <w:rsid w:val="009F4D04"/>
    <w:rsid w:val="009F4D4A"/>
    <w:rsid w:val="009F5685"/>
    <w:rsid w:val="009F56B0"/>
    <w:rsid w:val="009F6CEC"/>
    <w:rsid w:val="009F6F55"/>
    <w:rsid w:val="009F7769"/>
    <w:rsid w:val="00A00139"/>
    <w:rsid w:val="00A00824"/>
    <w:rsid w:val="00A00AF2"/>
    <w:rsid w:val="00A00B6D"/>
    <w:rsid w:val="00A015EE"/>
    <w:rsid w:val="00A01AEC"/>
    <w:rsid w:val="00A02220"/>
    <w:rsid w:val="00A022C2"/>
    <w:rsid w:val="00A02441"/>
    <w:rsid w:val="00A025F3"/>
    <w:rsid w:val="00A02AC4"/>
    <w:rsid w:val="00A03CE8"/>
    <w:rsid w:val="00A0487E"/>
    <w:rsid w:val="00A055A7"/>
    <w:rsid w:val="00A057B2"/>
    <w:rsid w:val="00A05996"/>
    <w:rsid w:val="00A05AB6"/>
    <w:rsid w:val="00A0731A"/>
    <w:rsid w:val="00A07355"/>
    <w:rsid w:val="00A073C4"/>
    <w:rsid w:val="00A07B3A"/>
    <w:rsid w:val="00A10C19"/>
    <w:rsid w:val="00A10CBE"/>
    <w:rsid w:val="00A10D9B"/>
    <w:rsid w:val="00A10E89"/>
    <w:rsid w:val="00A10EDF"/>
    <w:rsid w:val="00A1254F"/>
    <w:rsid w:val="00A12991"/>
    <w:rsid w:val="00A12CB2"/>
    <w:rsid w:val="00A12DB8"/>
    <w:rsid w:val="00A1390E"/>
    <w:rsid w:val="00A13A6E"/>
    <w:rsid w:val="00A13A85"/>
    <w:rsid w:val="00A14E68"/>
    <w:rsid w:val="00A153D1"/>
    <w:rsid w:val="00A16575"/>
    <w:rsid w:val="00A166BA"/>
    <w:rsid w:val="00A16755"/>
    <w:rsid w:val="00A169CE"/>
    <w:rsid w:val="00A17294"/>
    <w:rsid w:val="00A1738B"/>
    <w:rsid w:val="00A17811"/>
    <w:rsid w:val="00A20594"/>
    <w:rsid w:val="00A207B4"/>
    <w:rsid w:val="00A20CC6"/>
    <w:rsid w:val="00A2199D"/>
    <w:rsid w:val="00A2211B"/>
    <w:rsid w:val="00A22E8C"/>
    <w:rsid w:val="00A239C0"/>
    <w:rsid w:val="00A23B24"/>
    <w:rsid w:val="00A23F2D"/>
    <w:rsid w:val="00A23FB3"/>
    <w:rsid w:val="00A24741"/>
    <w:rsid w:val="00A24CA6"/>
    <w:rsid w:val="00A24E87"/>
    <w:rsid w:val="00A25160"/>
    <w:rsid w:val="00A25EDD"/>
    <w:rsid w:val="00A25FF5"/>
    <w:rsid w:val="00A268E7"/>
    <w:rsid w:val="00A27578"/>
    <w:rsid w:val="00A276D2"/>
    <w:rsid w:val="00A27842"/>
    <w:rsid w:val="00A3035A"/>
    <w:rsid w:val="00A304BF"/>
    <w:rsid w:val="00A313C6"/>
    <w:rsid w:val="00A316D2"/>
    <w:rsid w:val="00A31926"/>
    <w:rsid w:val="00A31C28"/>
    <w:rsid w:val="00A32693"/>
    <w:rsid w:val="00A3298F"/>
    <w:rsid w:val="00A336FA"/>
    <w:rsid w:val="00A345C0"/>
    <w:rsid w:val="00A3489B"/>
    <w:rsid w:val="00A34C68"/>
    <w:rsid w:val="00A34D8F"/>
    <w:rsid w:val="00A350AF"/>
    <w:rsid w:val="00A35139"/>
    <w:rsid w:val="00A363AE"/>
    <w:rsid w:val="00A36CBC"/>
    <w:rsid w:val="00A3702E"/>
    <w:rsid w:val="00A40491"/>
    <w:rsid w:val="00A4079E"/>
    <w:rsid w:val="00A4090D"/>
    <w:rsid w:val="00A411C0"/>
    <w:rsid w:val="00A42C8C"/>
    <w:rsid w:val="00A42E0C"/>
    <w:rsid w:val="00A437BC"/>
    <w:rsid w:val="00A43CDF"/>
    <w:rsid w:val="00A43D78"/>
    <w:rsid w:val="00A449AD"/>
    <w:rsid w:val="00A45EAC"/>
    <w:rsid w:val="00A46472"/>
    <w:rsid w:val="00A46755"/>
    <w:rsid w:val="00A46A2C"/>
    <w:rsid w:val="00A46BA7"/>
    <w:rsid w:val="00A46EEC"/>
    <w:rsid w:val="00A47521"/>
    <w:rsid w:val="00A47873"/>
    <w:rsid w:val="00A502E2"/>
    <w:rsid w:val="00A50A4D"/>
    <w:rsid w:val="00A50C62"/>
    <w:rsid w:val="00A51986"/>
    <w:rsid w:val="00A51FBC"/>
    <w:rsid w:val="00A52252"/>
    <w:rsid w:val="00A52743"/>
    <w:rsid w:val="00A527EE"/>
    <w:rsid w:val="00A5301A"/>
    <w:rsid w:val="00A53DAC"/>
    <w:rsid w:val="00A53DB2"/>
    <w:rsid w:val="00A53DFC"/>
    <w:rsid w:val="00A53FF6"/>
    <w:rsid w:val="00A54072"/>
    <w:rsid w:val="00A548D4"/>
    <w:rsid w:val="00A54C1A"/>
    <w:rsid w:val="00A54C56"/>
    <w:rsid w:val="00A54F36"/>
    <w:rsid w:val="00A554E6"/>
    <w:rsid w:val="00A556EE"/>
    <w:rsid w:val="00A562E8"/>
    <w:rsid w:val="00A5677D"/>
    <w:rsid w:val="00A56AFD"/>
    <w:rsid w:val="00A56CA2"/>
    <w:rsid w:val="00A56EC6"/>
    <w:rsid w:val="00A57014"/>
    <w:rsid w:val="00A605E6"/>
    <w:rsid w:val="00A60603"/>
    <w:rsid w:val="00A606BA"/>
    <w:rsid w:val="00A607C9"/>
    <w:rsid w:val="00A60DCA"/>
    <w:rsid w:val="00A610EC"/>
    <w:rsid w:val="00A618B6"/>
    <w:rsid w:val="00A61C3B"/>
    <w:rsid w:val="00A61DE0"/>
    <w:rsid w:val="00A62328"/>
    <w:rsid w:val="00A624A1"/>
    <w:rsid w:val="00A62DF5"/>
    <w:rsid w:val="00A6324F"/>
    <w:rsid w:val="00A6339D"/>
    <w:rsid w:val="00A63858"/>
    <w:rsid w:val="00A64045"/>
    <w:rsid w:val="00A642DB"/>
    <w:rsid w:val="00A64952"/>
    <w:rsid w:val="00A64C3C"/>
    <w:rsid w:val="00A65022"/>
    <w:rsid w:val="00A65921"/>
    <w:rsid w:val="00A65DDD"/>
    <w:rsid w:val="00A66693"/>
    <w:rsid w:val="00A670A4"/>
    <w:rsid w:val="00A67739"/>
    <w:rsid w:val="00A677C0"/>
    <w:rsid w:val="00A67C20"/>
    <w:rsid w:val="00A67D29"/>
    <w:rsid w:val="00A7072F"/>
    <w:rsid w:val="00A70845"/>
    <w:rsid w:val="00A70E67"/>
    <w:rsid w:val="00A70F96"/>
    <w:rsid w:val="00A7140A"/>
    <w:rsid w:val="00A71570"/>
    <w:rsid w:val="00A71602"/>
    <w:rsid w:val="00A718F4"/>
    <w:rsid w:val="00A71BBD"/>
    <w:rsid w:val="00A71DC8"/>
    <w:rsid w:val="00A727F0"/>
    <w:rsid w:val="00A73547"/>
    <w:rsid w:val="00A73BFA"/>
    <w:rsid w:val="00A7433D"/>
    <w:rsid w:val="00A746F4"/>
    <w:rsid w:val="00A74A2B"/>
    <w:rsid w:val="00A750D5"/>
    <w:rsid w:val="00A7539E"/>
    <w:rsid w:val="00A75419"/>
    <w:rsid w:val="00A757C6"/>
    <w:rsid w:val="00A75A95"/>
    <w:rsid w:val="00A76118"/>
    <w:rsid w:val="00A76BA1"/>
    <w:rsid w:val="00A7759E"/>
    <w:rsid w:val="00A77660"/>
    <w:rsid w:val="00A77711"/>
    <w:rsid w:val="00A77DEF"/>
    <w:rsid w:val="00A80242"/>
    <w:rsid w:val="00A808F0"/>
    <w:rsid w:val="00A80A57"/>
    <w:rsid w:val="00A815EB"/>
    <w:rsid w:val="00A82F76"/>
    <w:rsid w:val="00A835E6"/>
    <w:rsid w:val="00A838B6"/>
    <w:rsid w:val="00A839E4"/>
    <w:rsid w:val="00A83A2B"/>
    <w:rsid w:val="00A84FA6"/>
    <w:rsid w:val="00A8505E"/>
    <w:rsid w:val="00A8587A"/>
    <w:rsid w:val="00A858D0"/>
    <w:rsid w:val="00A8606E"/>
    <w:rsid w:val="00A8695E"/>
    <w:rsid w:val="00A86D78"/>
    <w:rsid w:val="00A86E94"/>
    <w:rsid w:val="00A870EE"/>
    <w:rsid w:val="00A8720D"/>
    <w:rsid w:val="00A87331"/>
    <w:rsid w:val="00A879AB"/>
    <w:rsid w:val="00A87FC3"/>
    <w:rsid w:val="00A906ED"/>
    <w:rsid w:val="00A91931"/>
    <w:rsid w:val="00A9210A"/>
    <w:rsid w:val="00A9214D"/>
    <w:rsid w:val="00A92772"/>
    <w:rsid w:val="00A92BD0"/>
    <w:rsid w:val="00A930E5"/>
    <w:rsid w:val="00A938EB"/>
    <w:rsid w:val="00A93A62"/>
    <w:rsid w:val="00A93F3E"/>
    <w:rsid w:val="00A94830"/>
    <w:rsid w:val="00A94A2F"/>
    <w:rsid w:val="00A94BB5"/>
    <w:rsid w:val="00A94C73"/>
    <w:rsid w:val="00A95211"/>
    <w:rsid w:val="00A95366"/>
    <w:rsid w:val="00A95FF0"/>
    <w:rsid w:val="00A96F55"/>
    <w:rsid w:val="00A96FB6"/>
    <w:rsid w:val="00A976DF"/>
    <w:rsid w:val="00A97F2D"/>
    <w:rsid w:val="00A97F46"/>
    <w:rsid w:val="00AA0129"/>
    <w:rsid w:val="00AA059F"/>
    <w:rsid w:val="00AA0C66"/>
    <w:rsid w:val="00AA1818"/>
    <w:rsid w:val="00AA1896"/>
    <w:rsid w:val="00AA22D1"/>
    <w:rsid w:val="00AA23A4"/>
    <w:rsid w:val="00AA2AA6"/>
    <w:rsid w:val="00AA4894"/>
    <w:rsid w:val="00AA4B47"/>
    <w:rsid w:val="00AA4FAE"/>
    <w:rsid w:val="00AA5686"/>
    <w:rsid w:val="00AA6038"/>
    <w:rsid w:val="00AA62C1"/>
    <w:rsid w:val="00AA6A70"/>
    <w:rsid w:val="00AA6BDB"/>
    <w:rsid w:val="00AA6EB6"/>
    <w:rsid w:val="00AA7622"/>
    <w:rsid w:val="00AB06BB"/>
    <w:rsid w:val="00AB0EA4"/>
    <w:rsid w:val="00AB0F91"/>
    <w:rsid w:val="00AB171B"/>
    <w:rsid w:val="00AB237B"/>
    <w:rsid w:val="00AB3AEB"/>
    <w:rsid w:val="00AB3BE9"/>
    <w:rsid w:val="00AB3F87"/>
    <w:rsid w:val="00AB4331"/>
    <w:rsid w:val="00AB485C"/>
    <w:rsid w:val="00AB4948"/>
    <w:rsid w:val="00AB4AF1"/>
    <w:rsid w:val="00AB4B6E"/>
    <w:rsid w:val="00AB5281"/>
    <w:rsid w:val="00AB5D7C"/>
    <w:rsid w:val="00AB5FE1"/>
    <w:rsid w:val="00AB6C45"/>
    <w:rsid w:val="00AB6D3E"/>
    <w:rsid w:val="00AC19C8"/>
    <w:rsid w:val="00AC1BAA"/>
    <w:rsid w:val="00AC231E"/>
    <w:rsid w:val="00AC26ED"/>
    <w:rsid w:val="00AC2701"/>
    <w:rsid w:val="00AC3812"/>
    <w:rsid w:val="00AC4189"/>
    <w:rsid w:val="00AC422C"/>
    <w:rsid w:val="00AC4D89"/>
    <w:rsid w:val="00AC54DF"/>
    <w:rsid w:val="00AC555C"/>
    <w:rsid w:val="00AC55FE"/>
    <w:rsid w:val="00AC56BE"/>
    <w:rsid w:val="00AC5A9F"/>
    <w:rsid w:val="00AC5B14"/>
    <w:rsid w:val="00AC5B16"/>
    <w:rsid w:val="00AC5CCF"/>
    <w:rsid w:val="00AC5DEE"/>
    <w:rsid w:val="00AC7253"/>
    <w:rsid w:val="00AC78CD"/>
    <w:rsid w:val="00AC78E7"/>
    <w:rsid w:val="00AD0D73"/>
    <w:rsid w:val="00AD0F9D"/>
    <w:rsid w:val="00AD1401"/>
    <w:rsid w:val="00AD179B"/>
    <w:rsid w:val="00AD25DC"/>
    <w:rsid w:val="00AD262A"/>
    <w:rsid w:val="00AD29E4"/>
    <w:rsid w:val="00AD2DEF"/>
    <w:rsid w:val="00AD3005"/>
    <w:rsid w:val="00AD356C"/>
    <w:rsid w:val="00AD37DE"/>
    <w:rsid w:val="00AD4BFE"/>
    <w:rsid w:val="00AD4E65"/>
    <w:rsid w:val="00AD5120"/>
    <w:rsid w:val="00AD550F"/>
    <w:rsid w:val="00AD5B38"/>
    <w:rsid w:val="00AD5D31"/>
    <w:rsid w:val="00AD61E7"/>
    <w:rsid w:val="00AD629C"/>
    <w:rsid w:val="00AD6343"/>
    <w:rsid w:val="00AD6387"/>
    <w:rsid w:val="00AD6657"/>
    <w:rsid w:val="00AD68C2"/>
    <w:rsid w:val="00AD75C0"/>
    <w:rsid w:val="00AD7821"/>
    <w:rsid w:val="00AE04CB"/>
    <w:rsid w:val="00AE085D"/>
    <w:rsid w:val="00AE0EFF"/>
    <w:rsid w:val="00AE1075"/>
    <w:rsid w:val="00AE19BB"/>
    <w:rsid w:val="00AE3265"/>
    <w:rsid w:val="00AE33ED"/>
    <w:rsid w:val="00AE3907"/>
    <w:rsid w:val="00AE40FE"/>
    <w:rsid w:val="00AE456C"/>
    <w:rsid w:val="00AE46CE"/>
    <w:rsid w:val="00AE4F2A"/>
    <w:rsid w:val="00AE519D"/>
    <w:rsid w:val="00AE63BF"/>
    <w:rsid w:val="00AE6FE4"/>
    <w:rsid w:val="00AE7086"/>
    <w:rsid w:val="00AE743B"/>
    <w:rsid w:val="00AE7727"/>
    <w:rsid w:val="00AE7C84"/>
    <w:rsid w:val="00AF1BAC"/>
    <w:rsid w:val="00AF20F5"/>
    <w:rsid w:val="00AF2344"/>
    <w:rsid w:val="00AF2615"/>
    <w:rsid w:val="00AF278C"/>
    <w:rsid w:val="00AF2C74"/>
    <w:rsid w:val="00AF2D6E"/>
    <w:rsid w:val="00AF396D"/>
    <w:rsid w:val="00AF3B58"/>
    <w:rsid w:val="00AF3DC1"/>
    <w:rsid w:val="00AF4DF0"/>
    <w:rsid w:val="00AF507C"/>
    <w:rsid w:val="00AF55B8"/>
    <w:rsid w:val="00AF594E"/>
    <w:rsid w:val="00AF5A9C"/>
    <w:rsid w:val="00AF5DD2"/>
    <w:rsid w:val="00AF68B8"/>
    <w:rsid w:val="00AF6B83"/>
    <w:rsid w:val="00AF6F5D"/>
    <w:rsid w:val="00AF7656"/>
    <w:rsid w:val="00AF78F8"/>
    <w:rsid w:val="00B001C5"/>
    <w:rsid w:val="00B00744"/>
    <w:rsid w:val="00B0079D"/>
    <w:rsid w:val="00B01263"/>
    <w:rsid w:val="00B01274"/>
    <w:rsid w:val="00B0135A"/>
    <w:rsid w:val="00B018B1"/>
    <w:rsid w:val="00B01904"/>
    <w:rsid w:val="00B01C8E"/>
    <w:rsid w:val="00B025AD"/>
    <w:rsid w:val="00B02A07"/>
    <w:rsid w:val="00B02CF1"/>
    <w:rsid w:val="00B02F3F"/>
    <w:rsid w:val="00B02F54"/>
    <w:rsid w:val="00B038B6"/>
    <w:rsid w:val="00B039C3"/>
    <w:rsid w:val="00B043EC"/>
    <w:rsid w:val="00B05C02"/>
    <w:rsid w:val="00B05E5D"/>
    <w:rsid w:val="00B06007"/>
    <w:rsid w:val="00B067FA"/>
    <w:rsid w:val="00B0707F"/>
    <w:rsid w:val="00B07135"/>
    <w:rsid w:val="00B07F18"/>
    <w:rsid w:val="00B07FD1"/>
    <w:rsid w:val="00B10783"/>
    <w:rsid w:val="00B10C80"/>
    <w:rsid w:val="00B10EDE"/>
    <w:rsid w:val="00B1116E"/>
    <w:rsid w:val="00B1135C"/>
    <w:rsid w:val="00B1245A"/>
    <w:rsid w:val="00B127C1"/>
    <w:rsid w:val="00B1356C"/>
    <w:rsid w:val="00B13CD2"/>
    <w:rsid w:val="00B148E1"/>
    <w:rsid w:val="00B1575E"/>
    <w:rsid w:val="00B158B9"/>
    <w:rsid w:val="00B15A12"/>
    <w:rsid w:val="00B15B2C"/>
    <w:rsid w:val="00B1627A"/>
    <w:rsid w:val="00B164E6"/>
    <w:rsid w:val="00B16B3F"/>
    <w:rsid w:val="00B17E20"/>
    <w:rsid w:val="00B20140"/>
    <w:rsid w:val="00B2016F"/>
    <w:rsid w:val="00B205DB"/>
    <w:rsid w:val="00B20A63"/>
    <w:rsid w:val="00B20D11"/>
    <w:rsid w:val="00B21123"/>
    <w:rsid w:val="00B212A6"/>
    <w:rsid w:val="00B217D3"/>
    <w:rsid w:val="00B222D0"/>
    <w:rsid w:val="00B2254C"/>
    <w:rsid w:val="00B2299F"/>
    <w:rsid w:val="00B22ACC"/>
    <w:rsid w:val="00B22BED"/>
    <w:rsid w:val="00B22E26"/>
    <w:rsid w:val="00B232F4"/>
    <w:rsid w:val="00B235DE"/>
    <w:rsid w:val="00B239AF"/>
    <w:rsid w:val="00B23CFF"/>
    <w:rsid w:val="00B23F15"/>
    <w:rsid w:val="00B23F9E"/>
    <w:rsid w:val="00B241DF"/>
    <w:rsid w:val="00B2430E"/>
    <w:rsid w:val="00B24709"/>
    <w:rsid w:val="00B250E3"/>
    <w:rsid w:val="00B251F6"/>
    <w:rsid w:val="00B251F7"/>
    <w:rsid w:val="00B25678"/>
    <w:rsid w:val="00B2588A"/>
    <w:rsid w:val="00B26255"/>
    <w:rsid w:val="00B264C5"/>
    <w:rsid w:val="00B266BE"/>
    <w:rsid w:val="00B27544"/>
    <w:rsid w:val="00B2758E"/>
    <w:rsid w:val="00B27E31"/>
    <w:rsid w:val="00B30D06"/>
    <w:rsid w:val="00B3118D"/>
    <w:rsid w:val="00B316C5"/>
    <w:rsid w:val="00B31AD3"/>
    <w:rsid w:val="00B31EA2"/>
    <w:rsid w:val="00B334FF"/>
    <w:rsid w:val="00B3378B"/>
    <w:rsid w:val="00B339CF"/>
    <w:rsid w:val="00B34B39"/>
    <w:rsid w:val="00B35442"/>
    <w:rsid w:val="00B3551E"/>
    <w:rsid w:val="00B35971"/>
    <w:rsid w:val="00B35C4C"/>
    <w:rsid w:val="00B36974"/>
    <w:rsid w:val="00B36A0B"/>
    <w:rsid w:val="00B371DD"/>
    <w:rsid w:val="00B37210"/>
    <w:rsid w:val="00B37596"/>
    <w:rsid w:val="00B375FB"/>
    <w:rsid w:val="00B37C71"/>
    <w:rsid w:val="00B402B9"/>
    <w:rsid w:val="00B41750"/>
    <w:rsid w:val="00B42AD9"/>
    <w:rsid w:val="00B43225"/>
    <w:rsid w:val="00B435E2"/>
    <w:rsid w:val="00B4428F"/>
    <w:rsid w:val="00B44B8E"/>
    <w:rsid w:val="00B44D39"/>
    <w:rsid w:val="00B453CC"/>
    <w:rsid w:val="00B4599F"/>
    <w:rsid w:val="00B45BEA"/>
    <w:rsid w:val="00B45BFE"/>
    <w:rsid w:val="00B46185"/>
    <w:rsid w:val="00B46B86"/>
    <w:rsid w:val="00B47AB9"/>
    <w:rsid w:val="00B47EBA"/>
    <w:rsid w:val="00B47F4C"/>
    <w:rsid w:val="00B5065A"/>
    <w:rsid w:val="00B50807"/>
    <w:rsid w:val="00B5088B"/>
    <w:rsid w:val="00B50C3E"/>
    <w:rsid w:val="00B514D3"/>
    <w:rsid w:val="00B516CE"/>
    <w:rsid w:val="00B51923"/>
    <w:rsid w:val="00B51A65"/>
    <w:rsid w:val="00B51B8B"/>
    <w:rsid w:val="00B5228E"/>
    <w:rsid w:val="00B5233A"/>
    <w:rsid w:val="00B525E9"/>
    <w:rsid w:val="00B52DB2"/>
    <w:rsid w:val="00B53078"/>
    <w:rsid w:val="00B5321E"/>
    <w:rsid w:val="00B53877"/>
    <w:rsid w:val="00B53B9A"/>
    <w:rsid w:val="00B55133"/>
    <w:rsid w:val="00B55FAE"/>
    <w:rsid w:val="00B56235"/>
    <w:rsid w:val="00B563F4"/>
    <w:rsid w:val="00B5656D"/>
    <w:rsid w:val="00B566D7"/>
    <w:rsid w:val="00B56855"/>
    <w:rsid w:val="00B56E58"/>
    <w:rsid w:val="00B5725D"/>
    <w:rsid w:val="00B57AAB"/>
    <w:rsid w:val="00B57F7E"/>
    <w:rsid w:val="00B619B4"/>
    <w:rsid w:val="00B61A4C"/>
    <w:rsid w:val="00B61F14"/>
    <w:rsid w:val="00B61F1B"/>
    <w:rsid w:val="00B624CA"/>
    <w:rsid w:val="00B62907"/>
    <w:rsid w:val="00B62C9D"/>
    <w:rsid w:val="00B62D23"/>
    <w:rsid w:val="00B634B8"/>
    <w:rsid w:val="00B64001"/>
    <w:rsid w:val="00B64112"/>
    <w:rsid w:val="00B64F0F"/>
    <w:rsid w:val="00B66CA6"/>
    <w:rsid w:val="00B66D6C"/>
    <w:rsid w:val="00B676F2"/>
    <w:rsid w:val="00B67D0B"/>
    <w:rsid w:val="00B7057B"/>
    <w:rsid w:val="00B708E5"/>
    <w:rsid w:val="00B70AB8"/>
    <w:rsid w:val="00B712E5"/>
    <w:rsid w:val="00B7195A"/>
    <w:rsid w:val="00B722AD"/>
    <w:rsid w:val="00B732E8"/>
    <w:rsid w:val="00B73638"/>
    <w:rsid w:val="00B73675"/>
    <w:rsid w:val="00B73741"/>
    <w:rsid w:val="00B73800"/>
    <w:rsid w:val="00B7394F"/>
    <w:rsid w:val="00B73ABF"/>
    <w:rsid w:val="00B73C3B"/>
    <w:rsid w:val="00B7409A"/>
    <w:rsid w:val="00B74695"/>
    <w:rsid w:val="00B74ADA"/>
    <w:rsid w:val="00B74D46"/>
    <w:rsid w:val="00B74E1C"/>
    <w:rsid w:val="00B75B67"/>
    <w:rsid w:val="00B75CE5"/>
    <w:rsid w:val="00B75D7E"/>
    <w:rsid w:val="00B76BAE"/>
    <w:rsid w:val="00B76EC2"/>
    <w:rsid w:val="00B76EEF"/>
    <w:rsid w:val="00B77262"/>
    <w:rsid w:val="00B77980"/>
    <w:rsid w:val="00B77F53"/>
    <w:rsid w:val="00B77FFE"/>
    <w:rsid w:val="00B8029B"/>
    <w:rsid w:val="00B80367"/>
    <w:rsid w:val="00B803A4"/>
    <w:rsid w:val="00B803CD"/>
    <w:rsid w:val="00B80FDA"/>
    <w:rsid w:val="00B8107C"/>
    <w:rsid w:val="00B818CD"/>
    <w:rsid w:val="00B81BBA"/>
    <w:rsid w:val="00B81EE2"/>
    <w:rsid w:val="00B82045"/>
    <w:rsid w:val="00B821B1"/>
    <w:rsid w:val="00B83159"/>
    <w:rsid w:val="00B8355C"/>
    <w:rsid w:val="00B8376A"/>
    <w:rsid w:val="00B8442A"/>
    <w:rsid w:val="00B849F1"/>
    <w:rsid w:val="00B84BB3"/>
    <w:rsid w:val="00B84F5A"/>
    <w:rsid w:val="00B8519E"/>
    <w:rsid w:val="00B85851"/>
    <w:rsid w:val="00B8596E"/>
    <w:rsid w:val="00B8676E"/>
    <w:rsid w:val="00B86ABF"/>
    <w:rsid w:val="00B876A6"/>
    <w:rsid w:val="00B90AB0"/>
    <w:rsid w:val="00B90B8F"/>
    <w:rsid w:val="00B91418"/>
    <w:rsid w:val="00B915B1"/>
    <w:rsid w:val="00B916B0"/>
    <w:rsid w:val="00B91B75"/>
    <w:rsid w:val="00B920B3"/>
    <w:rsid w:val="00B9227C"/>
    <w:rsid w:val="00B93468"/>
    <w:rsid w:val="00B936F8"/>
    <w:rsid w:val="00B93702"/>
    <w:rsid w:val="00B93808"/>
    <w:rsid w:val="00B94044"/>
    <w:rsid w:val="00B942C6"/>
    <w:rsid w:val="00B94731"/>
    <w:rsid w:val="00B94CEB"/>
    <w:rsid w:val="00B95104"/>
    <w:rsid w:val="00B95876"/>
    <w:rsid w:val="00B95D30"/>
    <w:rsid w:val="00B96095"/>
    <w:rsid w:val="00B962D8"/>
    <w:rsid w:val="00B967F8"/>
    <w:rsid w:val="00B96996"/>
    <w:rsid w:val="00B96AF7"/>
    <w:rsid w:val="00B970F0"/>
    <w:rsid w:val="00B974D1"/>
    <w:rsid w:val="00B9785F"/>
    <w:rsid w:val="00B97906"/>
    <w:rsid w:val="00B97C57"/>
    <w:rsid w:val="00B97D01"/>
    <w:rsid w:val="00BA10CA"/>
    <w:rsid w:val="00BA1659"/>
    <w:rsid w:val="00BA186C"/>
    <w:rsid w:val="00BA1C71"/>
    <w:rsid w:val="00BA1F4D"/>
    <w:rsid w:val="00BA208A"/>
    <w:rsid w:val="00BA2569"/>
    <w:rsid w:val="00BA2E14"/>
    <w:rsid w:val="00BA2E5C"/>
    <w:rsid w:val="00BA2FB8"/>
    <w:rsid w:val="00BA314C"/>
    <w:rsid w:val="00BA3941"/>
    <w:rsid w:val="00BA3E21"/>
    <w:rsid w:val="00BA486E"/>
    <w:rsid w:val="00BA4BF2"/>
    <w:rsid w:val="00BA5162"/>
    <w:rsid w:val="00BA522A"/>
    <w:rsid w:val="00BA5655"/>
    <w:rsid w:val="00BA56E6"/>
    <w:rsid w:val="00BA57A7"/>
    <w:rsid w:val="00BA5C22"/>
    <w:rsid w:val="00BA5D42"/>
    <w:rsid w:val="00BA5D46"/>
    <w:rsid w:val="00BA6158"/>
    <w:rsid w:val="00BA6F78"/>
    <w:rsid w:val="00BA7153"/>
    <w:rsid w:val="00BA7174"/>
    <w:rsid w:val="00BA7A4C"/>
    <w:rsid w:val="00BB01D2"/>
    <w:rsid w:val="00BB19AF"/>
    <w:rsid w:val="00BB1B6D"/>
    <w:rsid w:val="00BB1F78"/>
    <w:rsid w:val="00BB26D4"/>
    <w:rsid w:val="00BB2A24"/>
    <w:rsid w:val="00BB2F21"/>
    <w:rsid w:val="00BB33B9"/>
    <w:rsid w:val="00BB3507"/>
    <w:rsid w:val="00BB37E3"/>
    <w:rsid w:val="00BB4345"/>
    <w:rsid w:val="00BB438D"/>
    <w:rsid w:val="00BB441D"/>
    <w:rsid w:val="00BB466E"/>
    <w:rsid w:val="00BB47FF"/>
    <w:rsid w:val="00BB49A9"/>
    <w:rsid w:val="00BB5377"/>
    <w:rsid w:val="00BB56B4"/>
    <w:rsid w:val="00BB5A75"/>
    <w:rsid w:val="00BB5CD4"/>
    <w:rsid w:val="00BB5E33"/>
    <w:rsid w:val="00BB6529"/>
    <w:rsid w:val="00BB69DE"/>
    <w:rsid w:val="00BB6AFE"/>
    <w:rsid w:val="00BB713E"/>
    <w:rsid w:val="00BB71B6"/>
    <w:rsid w:val="00BB71D4"/>
    <w:rsid w:val="00BB728D"/>
    <w:rsid w:val="00BB73E0"/>
    <w:rsid w:val="00BB76BF"/>
    <w:rsid w:val="00BB7E99"/>
    <w:rsid w:val="00BC0418"/>
    <w:rsid w:val="00BC0653"/>
    <w:rsid w:val="00BC083D"/>
    <w:rsid w:val="00BC088A"/>
    <w:rsid w:val="00BC0AA3"/>
    <w:rsid w:val="00BC18DF"/>
    <w:rsid w:val="00BC217F"/>
    <w:rsid w:val="00BC23BA"/>
    <w:rsid w:val="00BC2492"/>
    <w:rsid w:val="00BC381A"/>
    <w:rsid w:val="00BC3DBC"/>
    <w:rsid w:val="00BC429E"/>
    <w:rsid w:val="00BC5093"/>
    <w:rsid w:val="00BC50B0"/>
    <w:rsid w:val="00BC52CA"/>
    <w:rsid w:val="00BC597A"/>
    <w:rsid w:val="00BC5B44"/>
    <w:rsid w:val="00BC5C3D"/>
    <w:rsid w:val="00BC6104"/>
    <w:rsid w:val="00BC6722"/>
    <w:rsid w:val="00BC6A90"/>
    <w:rsid w:val="00BC6C4B"/>
    <w:rsid w:val="00BC70CF"/>
    <w:rsid w:val="00BC75D9"/>
    <w:rsid w:val="00BC791C"/>
    <w:rsid w:val="00BD0075"/>
    <w:rsid w:val="00BD04AE"/>
    <w:rsid w:val="00BD0624"/>
    <w:rsid w:val="00BD1988"/>
    <w:rsid w:val="00BD1C15"/>
    <w:rsid w:val="00BD2061"/>
    <w:rsid w:val="00BD2132"/>
    <w:rsid w:val="00BD23C4"/>
    <w:rsid w:val="00BD2B47"/>
    <w:rsid w:val="00BD2DA7"/>
    <w:rsid w:val="00BD2E3F"/>
    <w:rsid w:val="00BD348E"/>
    <w:rsid w:val="00BD3EE2"/>
    <w:rsid w:val="00BD3FBF"/>
    <w:rsid w:val="00BD4B6F"/>
    <w:rsid w:val="00BD4E0C"/>
    <w:rsid w:val="00BD5031"/>
    <w:rsid w:val="00BD54E9"/>
    <w:rsid w:val="00BD5723"/>
    <w:rsid w:val="00BD5DF4"/>
    <w:rsid w:val="00BD5E7A"/>
    <w:rsid w:val="00BD632D"/>
    <w:rsid w:val="00BD63A4"/>
    <w:rsid w:val="00BD6719"/>
    <w:rsid w:val="00BD7141"/>
    <w:rsid w:val="00BD75DF"/>
    <w:rsid w:val="00BD76A4"/>
    <w:rsid w:val="00BD79AA"/>
    <w:rsid w:val="00BD79D2"/>
    <w:rsid w:val="00BD7F85"/>
    <w:rsid w:val="00BE1C0B"/>
    <w:rsid w:val="00BE1DBF"/>
    <w:rsid w:val="00BE2879"/>
    <w:rsid w:val="00BE2ED7"/>
    <w:rsid w:val="00BE339C"/>
    <w:rsid w:val="00BE3939"/>
    <w:rsid w:val="00BE406D"/>
    <w:rsid w:val="00BE45FC"/>
    <w:rsid w:val="00BE4B6B"/>
    <w:rsid w:val="00BE4E42"/>
    <w:rsid w:val="00BE5277"/>
    <w:rsid w:val="00BE5B81"/>
    <w:rsid w:val="00BE629A"/>
    <w:rsid w:val="00BE6640"/>
    <w:rsid w:val="00BE6817"/>
    <w:rsid w:val="00BE7076"/>
    <w:rsid w:val="00BE7448"/>
    <w:rsid w:val="00BF0CEE"/>
    <w:rsid w:val="00BF117E"/>
    <w:rsid w:val="00BF17B2"/>
    <w:rsid w:val="00BF183C"/>
    <w:rsid w:val="00BF1DE9"/>
    <w:rsid w:val="00BF253E"/>
    <w:rsid w:val="00BF2D13"/>
    <w:rsid w:val="00BF37E4"/>
    <w:rsid w:val="00BF40E8"/>
    <w:rsid w:val="00BF4477"/>
    <w:rsid w:val="00BF5259"/>
    <w:rsid w:val="00BF5817"/>
    <w:rsid w:val="00BF600C"/>
    <w:rsid w:val="00BF66C8"/>
    <w:rsid w:val="00BF6C4E"/>
    <w:rsid w:val="00BF74DC"/>
    <w:rsid w:val="00BF766C"/>
    <w:rsid w:val="00BF7BC9"/>
    <w:rsid w:val="00BF7C75"/>
    <w:rsid w:val="00BF7E8C"/>
    <w:rsid w:val="00C00941"/>
    <w:rsid w:val="00C00DAC"/>
    <w:rsid w:val="00C01163"/>
    <w:rsid w:val="00C0182A"/>
    <w:rsid w:val="00C0189F"/>
    <w:rsid w:val="00C030A5"/>
    <w:rsid w:val="00C030B9"/>
    <w:rsid w:val="00C039F2"/>
    <w:rsid w:val="00C040C9"/>
    <w:rsid w:val="00C04561"/>
    <w:rsid w:val="00C0464A"/>
    <w:rsid w:val="00C0495C"/>
    <w:rsid w:val="00C05501"/>
    <w:rsid w:val="00C05AD5"/>
    <w:rsid w:val="00C05C97"/>
    <w:rsid w:val="00C063C6"/>
    <w:rsid w:val="00C06A7C"/>
    <w:rsid w:val="00C06B08"/>
    <w:rsid w:val="00C06E0D"/>
    <w:rsid w:val="00C06F2A"/>
    <w:rsid w:val="00C07095"/>
    <w:rsid w:val="00C0771A"/>
    <w:rsid w:val="00C07B36"/>
    <w:rsid w:val="00C07DAC"/>
    <w:rsid w:val="00C10703"/>
    <w:rsid w:val="00C10CCE"/>
    <w:rsid w:val="00C11965"/>
    <w:rsid w:val="00C119BC"/>
    <w:rsid w:val="00C13272"/>
    <w:rsid w:val="00C146AB"/>
    <w:rsid w:val="00C14ED5"/>
    <w:rsid w:val="00C16232"/>
    <w:rsid w:val="00C162D4"/>
    <w:rsid w:val="00C164C9"/>
    <w:rsid w:val="00C16794"/>
    <w:rsid w:val="00C167C4"/>
    <w:rsid w:val="00C16D93"/>
    <w:rsid w:val="00C170E2"/>
    <w:rsid w:val="00C1768A"/>
    <w:rsid w:val="00C17941"/>
    <w:rsid w:val="00C17DFE"/>
    <w:rsid w:val="00C20227"/>
    <w:rsid w:val="00C2030A"/>
    <w:rsid w:val="00C20701"/>
    <w:rsid w:val="00C20D7B"/>
    <w:rsid w:val="00C20FC4"/>
    <w:rsid w:val="00C213F4"/>
    <w:rsid w:val="00C21A69"/>
    <w:rsid w:val="00C21BA5"/>
    <w:rsid w:val="00C21C4E"/>
    <w:rsid w:val="00C2240B"/>
    <w:rsid w:val="00C22B6B"/>
    <w:rsid w:val="00C2381B"/>
    <w:rsid w:val="00C24460"/>
    <w:rsid w:val="00C24B7F"/>
    <w:rsid w:val="00C25920"/>
    <w:rsid w:val="00C25CE9"/>
    <w:rsid w:val="00C26528"/>
    <w:rsid w:val="00C266B6"/>
    <w:rsid w:val="00C26978"/>
    <w:rsid w:val="00C26AD2"/>
    <w:rsid w:val="00C27A9B"/>
    <w:rsid w:val="00C27C55"/>
    <w:rsid w:val="00C27DE8"/>
    <w:rsid w:val="00C30702"/>
    <w:rsid w:val="00C30C3C"/>
    <w:rsid w:val="00C30D0C"/>
    <w:rsid w:val="00C3171A"/>
    <w:rsid w:val="00C3186C"/>
    <w:rsid w:val="00C33AEA"/>
    <w:rsid w:val="00C33D78"/>
    <w:rsid w:val="00C33DE2"/>
    <w:rsid w:val="00C34D1A"/>
    <w:rsid w:val="00C35268"/>
    <w:rsid w:val="00C35399"/>
    <w:rsid w:val="00C353D2"/>
    <w:rsid w:val="00C35984"/>
    <w:rsid w:val="00C359C9"/>
    <w:rsid w:val="00C35C3C"/>
    <w:rsid w:val="00C35F0A"/>
    <w:rsid w:val="00C36220"/>
    <w:rsid w:val="00C36662"/>
    <w:rsid w:val="00C36E54"/>
    <w:rsid w:val="00C37088"/>
    <w:rsid w:val="00C40372"/>
    <w:rsid w:val="00C414C6"/>
    <w:rsid w:val="00C415FB"/>
    <w:rsid w:val="00C41628"/>
    <w:rsid w:val="00C41B59"/>
    <w:rsid w:val="00C424BA"/>
    <w:rsid w:val="00C4298B"/>
    <w:rsid w:val="00C4302C"/>
    <w:rsid w:val="00C4303F"/>
    <w:rsid w:val="00C43589"/>
    <w:rsid w:val="00C4377A"/>
    <w:rsid w:val="00C43DC6"/>
    <w:rsid w:val="00C43DEC"/>
    <w:rsid w:val="00C43E4C"/>
    <w:rsid w:val="00C44C1E"/>
    <w:rsid w:val="00C456EB"/>
    <w:rsid w:val="00C45A8A"/>
    <w:rsid w:val="00C46A45"/>
    <w:rsid w:val="00C47687"/>
    <w:rsid w:val="00C478C8"/>
    <w:rsid w:val="00C500BE"/>
    <w:rsid w:val="00C50108"/>
    <w:rsid w:val="00C506F5"/>
    <w:rsid w:val="00C50A9F"/>
    <w:rsid w:val="00C50CEA"/>
    <w:rsid w:val="00C50D5B"/>
    <w:rsid w:val="00C50D66"/>
    <w:rsid w:val="00C50DAA"/>
    <w:rsid w:val="00C511F8"/>
    <w:rsid w:val="00C5142B"/>
    <w:rsid w:val="00C51723"/>
    <w:rsid w:val="00C51904"/>
    <w:rsid w:val="00C52439"/>
    <w:rsid w:val="00C525F8"/>
    <w:rsid w:val="00C52FAC"/>
    <w:rsid w:val="00C530FF"/>
    <w:rsid w:val="00C5353C"/>
    <w:rsid w:val="00C53976"/>
    <w:rsid w:val="00C53C82"/>
    <w:rsid w:val="00C542A4"/>
    <w:rsid w:val="00C5446D"/>
    <w:rsid w:val="00C54B48"/>
    <w:rsid w:val="00C55084"/>
    <w:rsid w:val="00C552ED"/>
    <w:rsid w:val="00C55915"/>
    <w:rsid w:val="00C5614D"/>
    <w:rsid w:val="00C56D38"/>
    <w:rsid w:val="00C574E1"/>
    <w:rsid w:val="00C60AF0"/>
    <w:rsid w:val="00C6127B"/>
    <w:rsid w:val="00C613C0"/>
    <w:rsid w:val="00C6171F"/>
    <w:rsid w:val="00C61DB7"/>
    <w:rsid w:val="00C61E29"/>
    <w:rsid w:val="00C6251E"/>
    <w:rsid w:val="00C6270F"/>
    <w:rsid w:val="00C62B5F"/>
    <w:rsid w:val="00C62C7D"/>
    <w:rsid w:val="00C62E8B"/>
    <w:rsid w:val="00C6326E"/>
    <w:rsid w:val="00C63A56"/>
    <w:rsid w:val="00C64EBD"/>
    <w:rsid w:val="00C654F5"/>
    <w:rsid w:val="00C65BF9"/>
    <w:rsid w:val="00C65CC6"/>
    <w:rsid w:val="00C66597"/>
    <w:rsid w:val="00C666FE"/>
    <w:rsid w:val="00C669CA"/>
    <w:rsid w:val="00C66B27"/>
    <w:rsid w:val="00C6745B"/>
    <w:rsid w:val="00C67513"/>
    <w:rsid w:val="00C704C7"/>
    <w:rsid w:val="00C7135C"/>
    <w:rsid w:val="00C71EA2"/>
    <w:rsid w:val="00C728F8"/>
    <w:rsid w:val="00C730B9"/>
    <w:rsid w:val="00C731FD"/>
    <w:rsid w:val="00C73A33"/>
    <w:rsid w:val="00C73B12"/>
    <w:rsid w:val="00C73C28"/>
    <w:rsid w:val="00C73FE2"/>
    <w:rsid w:val="00C742B2"/>
    <w:rsid w:val="00C76117"/>
    <w:rsid w:val="00C7644D"/>
    <w:rsid w:val="00C7684B"/>
    <w:rsid w:val="00C769C3"/>
    <w:rsid w:val="00C76AD5"/>
    <w:rsid w:val="00C7700A"/>
    <w:rsid w:val="00C77D41"/>
    <w:rsid w:val="00C800CB"/>
    <w:rsid w:val="00C805D6"/>
    <w:rsid w:val="00C80828"/>
    <w:rsid w:val="00C808C8"/>
    <w:rsid w:val="00C80D1A"/>
    <w:rsid w:val="00C80F96"/>
    <w:rsid w:val="00C81114"/>
    <w:rsid w:val="00C811D4"/>
    <w:rsid w:val="00C815C8"/>
    <w:rsid w:val="00C81C4D"/>
    <w:rsid w:val="00C82646"/>
    <w:rsid w:val="00C828FF"/>
    <w:rsid w:val="00C83213"/>
    <w:rsid w:val="00C83699"/>
    <w:rsid w:val="00C83990"/>
    <w:rsid w:val="00C839CF"/>
    <w:rsid w:val="00C83CDC"/>
    <w:rsid w:val="00C840C9"/>
    <w:rsid w:val="00C840DF"/>
    <w:rsid w:val="00C84DCC"/>
    <w:rsid w:val="00C85180"/>
    <w:rsid w:val="00C85838"/>
    <w:rsid w:val="00C85CCE"/>
    <w:rsid w:val="00C85D50"/>
    <w:rsid w:val="00C860DE"/>
    <w:rsid w:val="00C867BD"/>
    <w:rsid w:val="00C868CD"/>
    <w:rsid w:val="00C868FF"/>
    <w:rsid w:val="00C8705D"/>
    <w:rsid w:val="00C87671"/>
    <w:rsid w:val="00C8771E"/>
    <w:rsid w:val="00C87A32"/>
    <w:rsid w:val="00C87BF5"/>
    <w:rsid w:val="00C87C81"/>
    <w:rsid w:val="00C87F5C"/>
    <w:rsid w:val="00C90D44"/>
    <w:rsid w:val="00C91306"/>
    <w:rsid w:val="00C91AAB"/>
    <w:rsid w:val="00C91BA8"/>
    <w:rsid w:val="00C91E1A"/>
    <w:rsid w:val="00C9207A"/>
    <w:rsid w:val="00C9238D"/>
    <w:rsid w:val="00C932AD"/>
    <w:rsid w:val="00C93564"/>
    <w:rsid w:val="00C935F6"/>
    <w:rsid w:val="00C93711"/>
    <w:rsid w:val="00C93E4F"/>
    <w:rsid w:val="00C94060"/>
    <w:rsid w:val="00C9423C"/>
    <w:rsid w:val="00C946A7"/>
    <w:rsid w:val="00C947CB"/>
    <w:rsid w:val="00C94E24"/>
    <w:rsid w:val="00C95C27"/>
    <w:rsid w:val="00C95E2C"/>
    <w:rsid w:val="00C95EE9"/>
    <w:rsid w:val="00C95F8D"/>
    <w:rsid w:val="00C9631C"/>
    <w:rsid w:val="00C967B5"/>
    <w:rsid w:val="00C96F1D"/>
    <w:rsid w:val="00C971B1"/>
    <w:rsid w:val="00C972AD"/>
    <w:rsid w:val="00C97889"/>
    <w:rsid w:val="00C97ABC"/>
    <w:rsid w:val="00CA0141"/>
    <w:rsid w:val="00CA085A"/>
    <w:rsid w:val="00CA0C5E"/>
    <w:rsid w:val="00CA14BB"/>
    <w:rsid w:val="00CA192B"/>
    <w:rsid w:val="00CA2551"/>
    <w:rsid w:val="00CA27CE"/>
    <w:rsid w:val="00CA2F31"/>
    <w:rsid w:val="00CA30BB"/>
    <w:rsid w:val="00CA3EBB"/>
    <w:rsid w:val="00CA4F26"/>
    <w:rsid w:val="00CA5182"/>
    <w:rsid w:val="00CA525E"/>
    <w:rsid w:val="00CA52C9"/>
    <w:rsid w:val="00CA5568"/>
    <w:rsid w:val="00CA59E3"/>
    <w:rsid w:val="00CA6046"/>
    <w:rsid w:val="00CA62BA"/>
    <w:rsid w:val="00CA70B3"/>
    <w:rsid w:val="00CA7149"/>
    <w:rsid w:val="00CA741A"/>
    <w:rsid w:val="00CA741B"/>
    <w:rsid w:val="00CA75E9"/>
    <w:rsid w:val="00CA7814"/>
    <w:rsid w:val="00CA789B"/>
    <w:rsid w:val="00CA7A2E"/>
    <w:rsid w:val="00CB195E"/>
    <w:rsid w:val="00CB19CC"/>
    <w:rsid w:val="00CB1D7A"/>
    <w:rsid w:val="00CB2371"/>
    <w:rsid w:val="00CB2D57"/>
    <w:rsid w:val="00CB36E0"/>
    <w:rsid w:val="00CB43C7"/>
    <w:rsid w:val="00CB44A0"/>
    <w:rsid w:val="00CB4782"/>
    <w:rsid w:val="00CB48E6"/>
    <w:rsid w:val="00CB4C11"/>
    <w:rsid w:val="00CB4C2C"/>
    <w:rsid w:val="00CB51BA"/>
    <w:rsid w:val="00CB55CB"/>
    <w:rsid w:val="00CB578D"/>
    <w:rsid w:val="00CB5B61"/>
    <w:rsid w:val="00CB6362"/>
    <w:rsid w:val="00CB65AA"/>
    <w:rsid w:val="00CB7368"/>
    <w:rsid w:val="00CB7775"/>
    <w:rsid w:val="00CB7D06"/>
    <w:rsid w:val="00CC00CA"/>
    <w:rsid w:val="00CC0B0B"/>
    <w:rsid w:val="00CC0B8E"/>
    <w:rsid w:val="00CC11F5"/>
    <w:rsid w:val="00CC1684"/>
    <w:rsid w:val="00CC1DED"/>
    <w:rsid w:val="00CC20F1"/>
    <w:rsid w:val="00CC23A4"/>
    <w:rsid w:val="00CC2D1C"/>
    <w:rsid w:val="00CC355A"/>
    <w:rsid w:val="00CC370F"/>
    <w:rsid w:val="00CC3EA9"/>
    <w:rsid w:val="00CC47B8"/>
    <w:rsid w:val="00CC4BDE"/>
    <w:rsid w:val="00CC4C83"/>
    <w:rsid w:val="00CC5456"/>
    <w:rsid w:val="00CC5A48"/>
    <w:rsid w:val="00CC6620"/>
    <w:rsid w:val="00CC6911"/>
    <w:rsid w:val="00CC6B7B"/>
    <w:rsid w:val="00CC6DB8"/>
    <w:rsid w:val="00CC7943"/>
    <w:rsid w:val="00CC7A8C"/>
    <w:rsid w:val="00CC7C10"/>
    <w:rsid w:val="00CC7DE8"/>
    <w:rsid w:val="00CD009B"/>
    <w:rsid w:val="00CD00A3"/>
    <w:rsid w:val="00CD0240"/>
    <w:rsid w:val="00CD088D"/>
    <w:rsid w:val="00CD12C4"/>
    <w:rsid w:val="00CD1A96"/>
    <w:rsid w:val="00CD21B2"/>
    <w:rsid w:val="00CD293C"/>
    <w:rsid w:val="00CD2E10"/>
    <w:rsid w:val="00CD3BD3"/>
    <w:rsid w:val="00CD58AD"/>
    <w:rsid w:val="00CD6299"/>
    <w:rsid w:val="00CD6343"/>
    <w:rsid w:val="00CD652F"/>
    <w:rsid w:val="00CD69FC"/>
    <w:rsid w:val="00CD6E61"/>
    <w:rsid w:val="00CD73D9"/>
    <w:rsid w:val="00CD75B9"/>
    <w:rsid w:val="00CD7E75"/>
    <w:rsid w:val="00CE022D"/>
    <w:rsid w:val="00CE02A5"/>
    <w:rsid w:val="00CE03B3"/>
    <w:rsid w:val="00CE0B9C"/>
    <w:rsid w:val="00CE0EA8"/>
    <w:rsid w:val="00CE106A"/>
    <w:rsid w:val="00CE1927"/>
    <w:rsid w:val="00CE1AAA"/>
    <w:rsid w:val="00CE2E01"/>
    <w:rsid w:val="00CE316C"/>
    <w:rsid w:val="00CE4242"/>
    <w:rsid w:val="00CE4B67"/>
    <w:rsid w:val="00CE4C20"/>
    <w:rsid w:val="00CE500F"/>
    <w:rsid w:val="00CE52A0"/>
    <w:rsid w:val="00CE548A"/>
    <w:rsid w:val="00CE5B1B"/>
    <w:rsid w:val="00CE6122"/>
    <w:rsid w:val="00CE617E"/>
    <w:rsid w:val="00CE6955"/>
    <w:rsid w:val="00CF0694"/>
    <w:rsid w:val="00CF0AFB"/>
    <w:rsid w:val="00CF1063"/>
    <w:rsid w:val="00CF1196"/>
    <w:rsid w:val="00CF124D"/>
    <w:rsid w:val="00CF17F0"/>
    <w:rsid w:val="00CF1C8E"/>
    <w:rsid w:val="00CF1D21"/>
    <w:rsid w:val="00CF1F28"/>
    <w:rsid w:val="00CF33BE"/>
    <w:rsid w:val="00CF37F6"/>
    <w:rsid w:val="00CF3B41"/>
    <w:rsid w:val="00CF44CC"/>
    <w:rsid w:val="00CF450B"/>
    <w:rsid w:val="00CF47D0"/>
    <w:rsid w:val="00CF499A"/>
    <w:rsid w:val="00CF4C40"/>
    <w:rsid w:val="00CF4DBE"/>
    <w:rsid w:val="00CF551E"/>
    <w:rsid w:val="00CF5CA5"/>
    <w:rsid w:val="00CF5F31"/>
    <w:rsid w:val="00CF6047"/>
    <w:rsid w:val="00CF6372"/>
    <w:rsid w:val="00CF6C8E"/>
    <w:rsid w:val="00CF6CC3"/>
    <w:rsid w:val="00CF6D7F"/>
    <w:rsid w:val="00CF7066"/>
    <w:rsid w:val="00CF7A1E"/>
    <w:rsid w:val="00D0091E"/>
    <w:rsid w:val="00D00CE5"/>
    <w:rsid w:val="00D00FCD"/>
    <w:rsid w:val="00D0182E"/>
    <w:rsid w:val="00D02012"/>
    <w:rsid w:val="00D0256E"/>
    <w:rsid w:val="00D02A4C"/>
    <w:rsid w:val="00D02E8E"/>
    <w:rsid w:val="00D03A15"/>
    <w:rsid w:val="00D03A9F"/>
    <w:rsid w:val="00D03AB1"/>
    <w:rsid w:val="00D03B07"/>
    <w:rsid w:val="00D03EE9"/>
    <w:rsid w:val="00D03FCC"/>
    <w:rsid w:val="00D045EA"/>
    <w:rsid w:val="00D04BA6"/>
    <w:rsid w:val="00D04C94"/>
    <w:rsid w:val="00D04E4C"/>
    <w:rsid w:val="00D05618"/>
    <w:rsid w:val="00D05810"/>
    <w:rsid w:val="00D06094"/>
    <w:rsid w:val="00D06552"/>
    <w:rsid w:val="00D068A4"/>
    <w:rsid w:val="00D06C88"/>
    <w:rsid w:val="00D07101"/>
    <w:rsid w:val="00D0728D"/>
    <w:rsid w:val="00D072B5"/>
    <w:rsid w:val="00D07760"/>
    <w:rsid w:val="00D07A94"/>
    <w:rsid w:val="00D07D9F"/>
    <w:rsid w:val="00D10162"/>
    <w:rsid w:val="00D101FD"/>
    <w:rsid w:val="00D104F0"/>
    <w:rsid w:val="00D1085A"/>
    <w:rsid w:val="00D10A70"/>
    <w:rsid w:val="00D1132A"/>
    <w:rsid w:val="00D114F9"/>
    <w:rsid w:val="00D1155B"/>
    <w:rsid w:val="00D12824"/>
    <w:rsid w:val="00D12973"/>
    <w:rsid w:val="00D12C77"/>
    <w:rsid w:val="00D12E1F"/>
    <w:rsid w:val="00D133B3"/>
    <w:rsid w:val="00D136EB"/>
    <w:rsid w:val="00D139A4"/>
    <w:rsid w:val="00D1406E"/>
    <w:rsid w:val="00D142A4"/>
    <w:rsid w:val="00D147DF"/>
    <w:rsid w:val="00D14B6F"/>
    <w:rsid w:val="00D15A1E"/>
    <w:rsid w:val="00D164CD"/>
    <w:rsid w:val="00D1653A"/>
    <w:rsid w:val="00D165E9"/>
    <w:rsid w:val="00D16673"/>
    <w:rsid w:val="00D16DD2"/>
    <w:rsid w:val="00D17259"/>
    <w:rsid w:val="00D177E9"/>
    <w:rsid w:val="00D17B64"/>
    <w:rsid w:val="00D20603"/>
    <w:rsid w:val="00D20F84"/>
    <w:rsid w:val="00D21116"/>
    <w:rsid w:val="00D21F00"/>
    <w:rsid w:val="00D22256"/>
    <w:rsid w:val="00D22E36"/>
    <w:rsid w:val="00D236E3"/>
    <w:rsid w:val="00D23711"/>
    <w:rsid w:val="00D239FE"/>
    <w:rsid w:val="00D24D97"/>
    <w:rsid w:val="00D25251"/>
    <w:rsid w:val="00D256AD"/>
    <w:rsid w:val="00D2576F"/>
    <w:rsid w:val="00D25BA4"/>
    <w:rsid w:val="00D25C15"/>
    <w:rsid w:val="00D25EFB"/>
    <w:rsid w:val="00D26691"/>
    <w:rsid w:val="00D26BFD"/>
    <w:rsid w:val="00D26F7C"/>
    <w:rsid w:val="00D276C0"/>
    <w:rsid w:val="00D27EAE"/>
    <w:rsid w:val="00D30210"/>
    <w:rsid w:val="00D306D5"/>
    <w:rsid w:val="00D3084F"/>
    <w:rsid w:val="00D3195A"/>
    <w:rsid w:val="00D320F2"/>
    <w:rsid w:val="00D3279E"/>
    <w:rsid w:val="00D33249"/>
    <w:rsid w:val="00D3355A"/>
    <w:rsid w:val="00D34256"/>
    <w:rsid w:val="00D350E1"/>
    <w:rsid w:val="00D35187"/>
    <w:rsid w:val="00D3518E"/>
    <w:rsid w:val="00D3527B"/>
    <w:rsid w:val="00D36AAD"/>
    <w:rsid w:val="00D36C4D"/>
    <w:rsid w:val="00D36C54"/>
    <w:rsid w:val="00D372CE"/>
    <w:rsid w:val="00D37FBF"/>
    <w:rsid w:val="00D40714"/>
    <w:rsid w:val="00D407CE"/>
    <w:rsid w:val="00D40A66"/>
    <w:rsid w:val="00D40C0B"/>
    <w:rsid w:val="00D413B4"/>
    <w:rsid w:val="00D41CB9"/>
    <w:rsid w:val="00D41F50"/>
    <w:rsid w:val="00D4205A"/>
    <w:rsid w:val="00D4212D"/>
    <w:rsid w:val="00D425D2"/>
    <w:rsid w:val="00D42813"/>
    <w:rsid w:val="00D429A5"/>
    <w:rsid w:val="00D42A82"/>
    <w:rsid w:val="00D431FB"/>
    <w:rsid w:val="00D4364E"/>
    <w:rsid w:val="00D43D21"/>
    <w:rsid w:val="00D44032"/>
    <w:rsid w:val="00D448B5"/>
    <w:rsid w:val="00D450A9"/>
    <w:rsid w:val="00D45A08"/>
    <w:rsid w:val="00D46123"/>
    <w:rsid w:val="00D46151"/>
    <w:rsid w:val="00D46D1D"/>
    <w:rsid w:val="00D46E6C"/>
    <w:rsid w:val="00D47164"/>
    <w:rsid w:val="00D47C24"/>
    <w:rsid w:val="00D47F3F"/>
    <w:rsid w:val="00D505C9"/>
    <w:rsid w:val="00D505FB"/>
    <w:rsid w:val="00D50943"/>
    <w:rsid w:val="00D51141"/>
    <w:rsid w:val="00D51410"/>
    <w:rsid w:val="00D53AB8"/>
    <w:rsid w:val="00D541E7"/>
    <w:rsid w:val="00D54C0C"/>
    <w:rsid w:val="00D556C6"/>
    <w:rsid w:val="00D55AAC"/>
    <w:rsid w:val="00D56039"/>
    <w:rsid w:val="00D564F6"/>
    <w:rsid w:val="00D56576"/>
    <w:rsid w:val="00D56860"/>
    <w:rsid w:val="00D5709D"/>
    <w:rsid w:val="00D576DE"/>
    <w:rsid w:val="00D5796E"/>
    <w:rsid w:val="00D57C3F"/>
    <w:rsid w:val="00D57C96"/>
    <w:rsid w:val="00D60234"/>
    <w:rsid w:val="00D604BC"/>
    <w:rsid w:val="00D6097F"/>
    <w:rsid w:val="00D60D88"/>
    <w:rsid w:val="00D61DC1"/>
    <w:rsid w:val="00D626F7"/>
    <w:rsid w:val="00D62A45"/>
    <w:rsid w:val="00D62C56"/>
    <w:rsid w:val="00D633D1"/>
    <w:rsid w:val="00D645F0"/>
    <w:rsid w:val="00D647A8"/>
    <w:rsid w:val="00D64F57"/>
    <w:rsid w:val="00D650B5"/>
    <w:rsid w:val="00D6514A"/>
    <w:rsid w:val="00D65867"/>
    <w:rsid w:val="00D65C46"/>
    <w:rsid w:val="00D66098"/>
    <w:rsid w:val="00D6628A"/>
    <w:rsid w:val="00D67979"/>
    <w:rsid w:val="00D67AAA"/>
    <w:rsid w:val="00D67AB9"/>
    <w:rsid w:val="00D70A13"/>
    <w:rsid w:val="00D70BFC"/>
    <w:rsid w:val="00D710EF"/>
    <w:rsid w:val="00D7137F"/>
    <w:rsid w:val="00D71848"/>
    <w:rsid w:val="00D71E15"/>
    <w:rsid w:val="00D72738"/>
    <w:rsid w:val="00D7322D"/>
    <w:rsid w:val="00D7333A"/>
    <w:rsid w:val="00D73530"/>
    <w:rsid w:val="00D7387A"/>
    <w:rsid w:val="00D74BAD"/>
    <w:rsid w:val="00D74CB1"/>
    <w:rsid w:val="00D75490"/>
    <w:rsid w:val="00D75D03"/>
    <w:rsid w:val="00D776D1"/>
    <w:rsid w:val="00D779D9"/>
    <w:rsid w:val="00D80347"/>
    <w:rsid w:val="00D80428"/>
    <w:rsid w:val="00D807B8"/>
    <w:rsid w:val="00D80C6C"/>
    <w:rsid w:val="00D8127A"/>
    <w:rsid w:val="00D816EC"/>
    <w:rsid w:val="00D818FD"/>
    <w:rsid w:val="00D8196B"/>
    <w:rsid w:val="00D81C0B"/>
    <w:rsid w:val="00D82902"/>
    <w:rsid w:val="00D82C48"/>
    <w:rsid w:val="00D830E0"/>
    <w:rsid w:val="00D83118"/>
    <w:rsid w:val="00D83A51"/>
    <w:rsid w:val="00D84332"/>
    <w:rsid w:val="00D84DED"/>
    <w:rsid w:val="00D8543D"/>
    <w:rsid w:val="00D854C2"/>
    <w:rsid w:val="00D85933"/>
    <w:rsid w:val="00D8657C"/>
    <w:rsid w:val="00D86674"/>
    <w:rsid w:val="00D86B2F"/>
    <w:rsid w:val="00D86DC1"/>
    <w:rsid w:val="00D86E5D"/>
    <w:rsid w:val="00D8723F"/>
    <w:rsid w:val="00D87480"/>
    <w:rsid w:val="00D87E2A"/>
    <w:rsid w:val="00D902B0"/>
    <w:rsid w:val="00D90A9B"/>
    <w:rsid w:val="00D91108"/>
    <w:rsid w:val="00D91B76"/>
    <w:rsid w:val="00D92746"/>
    <w:rsid w:val="00D9286A"/>
    <w:rsid w:val="00D9372A"/>
    <w:rsid w:val="00D937D8"/>
    <w:rsid w:val="00D93851"/>
    <w:rsid w:val="00D93C58"/>
    <w:rsid w:val="00D940F7"/>
    <w:rsid w:val="00D94663"/>
    <w:rsid w:val="00D94AC1"/>
    <w:rsid w:val="00D95470"/>
    <w:rsid w:val="00D9605E"/>
    <w:rsid w:val="00D963CE"/>
    <w:rsid w:val="00D9679C"/>
    <w:rsid w:val="00D96E59"/>
    <w:rsid w:val="00D96F56"/>
    <w:rsid w:val="00D976B6"/>
    <w:rsid w:val="00D97A7F"/>
    <w:rsid w:val="00DA021C"/>
    <w:rsid w:val="00DA05AA"/>
    <w:rsid w:val="00DA0DA9"/>
    <w:rsid w:val="00DA2308"/>
    <w:rsid w:val="00DA2478"/>
    <w:rsid w:val="00DA320A"/>
    <w:rsid w:val="00DA3C58"/>
    <w:rsid w:val="00DA42A7"/>
    <w:rsid w:val="00DA5426"/>
    <w:rsid w:val="00DA550C"/>
    <w:rsid w:val="00DA5616"/>
    <w:rsid w:val="00DA6417"/>
    <w:rsid w:val="00DA7111"/>
    <w:rsid w:val="00DA7466"/>
    <w:rsid w:val="00DA7736"/>
    <w:rsid w:val="00DB139E"/>
    <w:rsid w:val="00DB178B"/>
    <w:rsid w:val="00DB1A3A"/>
    <w:rsid w:val="00DB1B9E"/>
    <w:rsid w:val="00DB1D8D"/>
    <w:rsid w:val="00DB25BF"/>
    <w:rsid w:val="00DB265D"/>
    <w:rsid w:val="00DB31AD"/>
    <w:rsid w:val="00DB31ED"/>
    <w:rsid w:val="00DB3213"/>
    <w:rsid w:val="00DB3A8B"/>
    <w:rsid w:val="00DB3E24"/>
    <w:rsid w:val="00DB3E4F"/>
    <w:rsid w:val="00DB42A1"/>
    <w:rsid w:val="00DB4AB9"/>
    <w:rsid w:val="00DB4CEE"/>
    <w:rsid w:val="00DB4E6D"/>
    <w:rsid w:val="00DB4F2F"/>
    <w:rsid w:val="00DB512D"/>
    <w:rsid w:val="00DB5D1D"/>
    <w:rsid w:val="00DB6398"/>
    <w:rsid w:val="00DB77D5"/>
    <w:rsid w:val="00DB7CBF"/>
    <w:rsid w:val="00DC0AE8"/>
    <w:rsid w:val="00DC0FAC"/>
    <w:rsid w:val="00DC100C"/>
    <w:rsid w:val="00DC10B6"/>
    <w:rsid w:val="00DC10DF"/>
    <w:rsid w:val="00DC11C2"/>
    <w:rsid w:val="00DC11F1"/>
    <w:rsid w:val="00DC12F1"/>
    <w:rsid w:val="00DC159A"/>
    <w:rsid w:val="00DC16D1"/>
    <w:rsid w:val="00DC2022"/>
    <w:rsid w:val="00DC25B5"/>
    <w:rsid w:val="00DC3CB4"/>
    <w:rsid w:val="00DC3E4A"/>
    <w:rsid w:val="00DC411F"/>
    <w:rsid w:val="00DC4BBF"/>
    <w:rsid w:val="00DC4CCC"/>
    <w:rsid w:val="00DC5F2E"/>
    <w:rsid w:val="00DC7746"/>
    <w:rsid w:val="00DC797D"/>
    <w:rsid w:val="00DD0461"/>
    <w:rsid w:val="00DD09BA"/>
    <w:rsid w:val="00DD0A0D"/>
    <w:rsid w:val="00DD0B67"/>
    <w:rsid w:val="00DD0B8B"/>
    <w:rsid w:val="00DD0D0D"/>
    <w:rsid w:val="00DD101C"/>
    <w:rsid w:val="00DD18D1"/>
    <w:rsid w:val="00DD2004"/>
    <w:rsid w:val="00DD2334"/>
    <w:rsid w:val="00DD2D3C"/>
    <w:rsid w:val="00DD4795"/>
    <w:rsid w:val="00DD4DFF"/>
    <w:rsid w:val="00DD4E69"/>
    <w:rsid w:val="00DD4EAD"/>
    <w:rsid w:val="00DD5D41"/>
    <w:rsid w:val="00DD5F50"/>
    <w:rsid w:val="00DD5FC7"/>
    <w:rsid w:val="00DD62CB"/>
    <w:rsid w:val="00DD65B0"/>
    <w:rsid w:val="00DD6908"/>
    <w:rsid w:val="00DD711D"/>
    <w:rsid w:val="00DD792F"/>
    <w:rsid w:val="00DD7C58"/>
    <w:rsid w:val="00DE0A79"/>
    <w:rsid w:val="00DE1061"/>
    <w:rsid w:val="00DE1BA7"/>
    <w:rsid w:val="00DE2465"/>
    <w:rsid w:val="00DE25FB"/>
    <w:rsid w:val="00DE2730"/>
    <w:rsid w:val="00DE3206"/>
    <w:rsid w:val="00DE3545"/>
    <w:rsid w:val="00DE3E52"/>
    <w:rsid w:val="00DE4114"/>
    <w:rsid w:val="00DE4A38"/>
    <w:rsid w:val="00DE511C"/>
    <w:rsid w:val="00DE55A7"/>
    <w:rsid w:val="00DE5B7E"/>
    <w:rsid w:val="00DE5BA7"/>
    <w:rsid w:val="00DE5BBE"/>
    <w:rsid w:val="00DE5E4A"/>
    <w:rsid w:val="00DF2D4E"/>
    <w:rsid w:val="00DF380A"/>
    <w:rsid w:val="00DF3E52"/>
    <w:rsid w:val="00DF4541"/>
    <w:rsid w:val="00DF4AE4"/>
    <w:rsid w:val="00DF4D7F"/>
    <w:rsid w:val="00DF511B"/>
    <w:rsid w:val="00DF607D"/>
    <w:rsid w:val="00DF67D5"/>
    <w:rsid w:val="00DF6D20"/>
    <w:rsid w:val="00DF6DFC"/>
    <w:rsid w:val="00DF7624"/>
    <w:rsid w:val="00DF77BE"/>
    <w:rsid w:val="00DF7A81"/>
    <w:rsid w:val="00DF7CE6"/>
    <w:rsid w:val="00E00005"/>
    <w:rsid w:val="00E009F7"/>
    <w:rsid w:val="00E00F3A"/>
    <w:rsid w:val="00E012C0"/>
    <w:rsid w:val="00E015F9"/>
    <w:rsid w:val="00E01763"/>
    <w:rsid w:val="00E02061"/>
    <w:rsid w:val="00E023A7"/>
    <w:rsid w:val="00E0268A"/>
    <w:rsid w:val="00E02C07"/>
    <w:rsid w:val="00E02E9A"/>
    <w:rsid w:val="00E03004"/>
    <w:rsid w:val="00E03205"/>
    <w:rsid w:val="00E035AB"/>
    <w:rsid w:val="00E035B6"/>
    <w:rsid w:val="00E03AA5"/>
    <w:rsid w:val="00E03E82"/>
    <w:rsid w:val="00E04412"/>
    <w:rsid w:val="00E0444C"/>
    <w:rsid w:val="00E04A0D"/>
    <w:rsid w:val="00E04CAB"/>
    <w:rsid w:val="00E05287"/>
    <w:rsid w:val="00E05390"/>
    <w:rsid w:val="00E05978"/>
    <w:rsid w:val="00E05987"/>
    <w:rsid w:val="00E06421"/>
    <w:rsid w:val="00E07173"/>
    <w:rsid w:val="00E07550"/>
    <w:rsid w:val="00E07837"/>
    <w:rsid w:val="00E07997"/>
    <w:rsid w:val="00E108D1"/>
    <w:rsid w:val="00E12475"/>
    <w:rsid w:val="00E12DFF"/>
    <w:rsid w:val="00E12F39"/>
    <w:rsid w:val="00E1353E"/>
    <w:rsid w:val="00E13582"/>
    <w:rsid w:val="00E13824"/>
    <w:rsid w:val="00E138FA"/>
    <w:rsid w:val="00E13FA4"/>
    <w:rsid w:val="00E151C8"/>
    <w:rsid w:val="00E15667"/>
    <w:rsid w:val="00E1582A"/>
    <w:rsid w:val="00E1594D"/>
    <w:rsid w:val="00E15EB4"/>
    <w:rsid w:val="00E161AF"/>
    <w:rsid w:val="00E1620E"/>
    <w:rsid w:val="00E1661D"/>
    <w:rsid w:val="00E173E6"/>
    <w:rsid w:val="00E17972"/>
    <w:rsid w:val="00E17FBF"/>
    <w:rsid w:val="00E202E1"/>
    <w:rsid w:val="00E208F1"/>
    <w:rsid w:val="00E210F1"/>
    <w:rsid w:val="00E2188F"/>
    <w:rsid w:val="00E21959"/>
    <w:rsid w:val="00E230C7"/>
    <w:rsid w:val="00E2352C"/>
    <w:rsid w:val="00E23558"/>
    <w:rsid w:val="00E235C0"/>
    <w:rsid w:val="00E23607"/>
    <w:rsid w:val="00E237EB"/>
    <w:rsid w:val="00E23B78"/>
    <w:rsid w:val="00E23D4C"/>
    <w:rsid w:val="00E246CF"/>
    <w:rsid w:val="00E250AC"/>
    <w:rsid w:val="00E25233"/>
    <w:rsid w:val="00E2550A"/>
    <w:rsid w:val="00E25F7B"/>
    <w:rsid w:val="00E26D2A"/>
    <w:rsid w:val="00E26D95"/>
    <w:rsid w:val="00E26DA2"/>
    <w:rsid w:val="00E2700E"/>
    <w:rsid w:val="00E27151"/>
    <w:rsid w:val="00E27890"/>
    <w:rsid w:val="00E307DA"/>
    <w:rsid w:val="00E30D2C"/>
    <w:rsid w:val="00E30E7B"/>
    <w:rsid w:val="00E30F65"/>
    <w:rsid w:val="00E316DC"/>
    <w:rsid w:val="00E31759"/>
    <w:rsid w:val="00E3184B"/>
    <w:rsid w:val="00E31968"/>
    <w:rsid w:val="00E31D02"/>
    <w:rsid w:val="00E31E83"/>
    <w:rsid w:val="00E31F50"/>
    <w:rsid w:val="00E31F97"/>
    <w:rsid w:val="00E32395"/>
    <w:rsid w:val="00E33650"/>
    <w:rsid w:val="00E339B2"/>
    <w:rsid w:val="00E33E0B"/>
    <w:rsid w:val="00E33EC0"/>
    <w:rsid w:val="00E3459F"/>
    <w:rsid w:val="00E34698"/>
    <w:rsid w:val="00E351B6"/>
    <w:rsid w:val="00E358D8"/>
    <w:rsid w:val="00E35AB3"/>
    <w:rsid w:val="00E35D40"/>
    <w:rsid w:val="00E361EC"/>
    <w:rsid w:val="00E36427"/>
    <w:rsid w:val="00E366F0"/>
    <w:rsid w:val="00E3672B"/>
    <w:rsid w:val="00E3683F"/>
    <w:rsid w:val="00E36889"/>
    <w:rsid w:val="00E37071"/>
    <w:rsid w:val="00E3769F"/>
    <w:rsid w:val="00E376C9"/>
    <w:rsid w:val="00E376F1"/>
    <w:rsid w:val="00E37766"/>
    <w:rsid w:val="00E4083E"/>
    <w:rsid w:val="00E40847"/>
    <w:rsid w:val="00E4085D"/>
    <w:rsid w:val="00E40EC6"/>
    <w:rsid w:val="00E421A3"/>
    <w:rsid w:val="00E4291E"/>
    <w:rsid w:val="00E43209"/>
    <w:rsid w:val="00E448C9"/>
    <w:rsid w:val="00E44987"/>
    <w:rsid w:val="00E44C7C"/>
    <w:rsid w:val="00E45133"/>
    <w:rsid w:val="00E452AB"/>
    <w:rsid w:val="00E45B69"/>
    <w:rsid w:val="00E45C32"/>
    <w:rsid w:val="00E4607A"/>
    <w:rsid w:val="00E464CC"/>
    <w:rsid w:val="00E46601"/>
    <w:rsid w:val="00E46EE7"/>
    <w:rsid w:val="00E47323"/>
    <w:rsid w:val="00E47846"/>
    <w:rsid w:val="00E4793F"/>
    <w:rsid w:val="00E47B11"/>
    <w:rsid w:val="00E47B5F"/>
    <w:rsid w:val="00E501E5"/>
    <w:rsid w:val="00E50B20"/>
    <w:rsid w:val="00E53187"/>
    <w:rsid w:val="00E5322D"/>
    <w:rsid w:val="00E53308"/>
    <w:rsid w:val="00E53440"/>
    <w:rsid w:val="00E53628"/>
    <w:rsid w:val="00E53AAA"/>
    <w:rsid w:val="00E53D00"/>
    <w:rsid w:val="00E545D1"/>
    <w:rsid w:val="00E54949"/>
    <w:rsid w:val="00E54BAC"/>
    <w:rsid w:val="00E554C8"/>
    <w:rsid w:val="00E559FE"/>
    <w:rsid w:val="00E55AB3"/>
    <w:rsid w:val="00E55E4E"/>
    <w:rsid w:val="00E55FDE"/>
    <w:rsid w:val="00E562AA"/>
    <w:rsid w:val="00E5656C"/>
    <w:rsid w:val="00E5690E"/>
    <w:rsid w:val="00E569B3"/>
    <w:rsid w:val="00E56D5E"/>
    <w:rsid w:val="00E56F8C"/>
    <w:rsid w:val="00E57035"/>
    <w:rsid w:val="00E5704C"/>
    <w:rsid w:val="00E579EF"/>
    <w:rsid w:val="00E57C9A"/>
    <w:rsid w:val="00E57E7D"/>
    <w:rsid w:val="00E606E4"/>
    <w:rsid w:val="00E60BFA"/>
    <w:rsid w:val="00E60D7B"/>
    <w:rsid w:val="00E61635"/>
    <w:rsid w:val="00E61C63"/>
    <w:rsid w:val="00E6214F"/>
    <w:rsid w:val="00E62390"/>
    <w:rsid w:val="00E62BD6"/>
    <w:rsid w:val="00E62CBA"/>
    <w:rsid w:val="00E63497"/>
    <w:rsid w:val="00E648F2"/>
    <w:rsid w:val="00E649C8"/>
    <w:rsid w:val="00E64D31"/>
    <w:rsid w:val="00E650F2"/>
    <w:rsid w:val="00E65472"/>
    <w:rsid w:val="00E65498"/>
    <w:rsid w:val="00E65837"/>
    <w:rsid w:val="00E65E22"/>
    <w:rsid w:val="00E65E48"/>
    <w:rsid w:val="00E66322"/>
    <w:rsid w:val="00E6693B"/>
    <w:rsid w:val="00E66B0E"/>
    <w:rsid w:val="00E67538"/>
    <w:rsid w:val="00E676AD"/>
    <w:rsid w:val="00E67DF4"/>
    <w:rsid w:val="00E67FF3"/>
    <w:rsid w:val="00E70900"/>
    <w:rsid w:val="00E70D6A"/>
    <w:rsid w:val="00E70FD0"/>
    <w:rsid w:val="00E715D1"/>
    <w:rsid w:val="00E716EF"/>
    <w:rsid w:val="00E71851"/>
    <w:rsid w:val="00E72100"/>
    <w:rsid w:val="00E723E9"/>
    <w:rsid w:val="00E72713"/>
    <w:rsid w:val="00E72C49"/>
    <w:rsid w:val="00E72CB6"/>
    <w:rsid w:val="00E72F16"/>
    <w:rsid w:val="00E72F9F"/>
    <w:rsid w:val="00E734A9"/>
    <w:rsid w:val="00E73D44"/>
    <w:rsid w:val="00E7456B"/>
    <w:rsid w:val="00E74896"/>
    <w:rsid w:val="00E74A3B"/>
    <w:rsid w:val="00E74C48"/>
    <w:rsid w:val="00E74E4E"/>
    <w:rsid w:val="00E75808"/>
    <w:rsid w:val="00E75A6F"/>
    <w:rsid w:val="00E75AB0"/>
    <w:rsid w:val="00E760B0"/>
    <w:rsid w:val="00E768AA"/>
    <w:rsid w:val="00E76DF2"/>
    <w:rsid w:val="00E773E3"/>
    <w:rsid w:val="00E77468"/>
    <w:rsid w:val="00E77F6C"/>
    <w:rsid w:val="00E800D1"/>
    <w:rsid w:val="00E80344"/>
    <w:rsid w:val="00E80A88"/>
    <w:rsid w:val="00E8114D"/>
    <w:rsid w:val="00E81BEB"/>
    <w:rsid w:val="00E81F83"/>
    <w:rsid w:val="00E820A2"/>
    <w:rsid w:val="00E8233C"/>
    <w:rsid w:val="00E8241E"/>
    <w:rsid w:val="00E8282C"/>
    <w:rsid w:val="00E83219"/>
    <w:rsid w:val="00E838A7"/>
    <w:rsid w:val="00E83A45"/>
    <w:rsid w:val="00E84C65"/>
    <w:rsid w:val="00E84E95"/>
    <w:rsid w:val="00E854F1"/>
    <w:rsid w:val="00E855DB"/>
    <w:rsid w:val="00E85793"/>
    <w:rsid w:val="00E858BF"/>
    <w:rsid w:val="00E85AE4"/>
    <w:rsid w:val="00E85D3F"/>
    <w:rsid w:val="00E861E6"/>
    <w:rsid w:val="00E864BA"/>
    <w:rsid w:val="00E867E7"/>
    <w:rsid w:val="00E86893"/>
    <w:rsid w:val="00E86E80"/>
    <w:rsid w:val="00E87884"/>
    <w:rsid w:val="00E9002C"/>
    <w:rsid w:val="00E91559"/>
    <w:rsid w:val="00E915A7"/>
    <w:rsid w:val="00E91D19"/>
    <w:rsid w:val="00E921B6"/>
    <w:rsid w:val="00E926B0"/>
    <w:rsid w:val="00E9337D"/>
    <w:rsid w:val="00E93435"/>
    <w:rsid w:val="00E93749"/>
    <w:rsid w:val="00E9400C"/>
    <w:rsid w:val="00E948DD"/>
    <w:rsid w:val="00E94AAE"/>
    <w:rsid w:val="00E94EA5"/>
    <w:rsid w:val="00E95160"/>
    <w:rsid w:val="00E95883"/>
    <w:rsid w:val="00E95D19"/>
    <w:rsid w:val="00E95DF5"/>
    <w:rsid w:val="00E96138"/>
    <w:rsid w:val="00E9650E"/>
    <w:rsid w:val="00E9696D"/>
    <w:rsid w:val="00E96D8A"/>
    <w:rsid w:val="00E97510"/>
    <w:rsid w:val="00EA07C4"/>
    <w:rsid w:val="00EA09C3"/>
    <w:rsid w:val="00EA0A35"/>
    <w:rsid w:val="00EA0CEC"/>
    <w:rsid w:val="00EA0CFE"/>
    <w:rsid w:val="00EA1D49"/>
    <w:rsid w:val="00EA1F77"/>
    <w:rsid w:val="00EA2436"/>
    <w:rsid w:val="00EA2DC0"/>
    <w:rsid w:val="00EA2F22"/>
    <w:rsid w:val="00EA324F"/>
    <w:rsid w:val="00EA36ED"/>
    <w:rsid w:val="00EA49F4"/>
    <w:rsid w:val="00EA5C06"/>
    <w:rsid w:val="00EA5FB2"/>
    <w:rsid w:val="00EA6240"/>
    <w:rsid w:val="00EA66CE"/>
    <w:rsid w:val="00EA68D8"/>
    <w:rsid w:val="00EA6B56"/>
    <w:rsid w:val="00EA7B61"/>
    <w:rsid w:val="00EB029C"/>
    <w:rsid w:val="00EB03FE"/>
    <w:rsid w:val="00EB0511"/>
    <w:rsid w:val="00EB191C"/>
    <w:rsid w:val="00EB1989"/>
    <w:rsid w:val="00EB28B7"/>
    <w:rsid w:val="00EB2AAC"/>
    <w:rsid w:val="00EB2E20"/>
    <w:rsid w:val="00EB40EF"/>
    <w:rsid w:val="00EB43BE"/>
    <w:rsid w:val="00EB452E"/>
    <w:rsid w:val="00EB49B0"/>
    <w:rsid w:val="00EB5407"/>
    <w:rsid w:val="00EB56EE"/>
    <w:rsid w:val="00EB5CF3"/>
    <w:rsid w:val="00EB6295"/>
    <w:rsid w:val="00EB6583"/>
    <w:rsid w:val="00EB66C7"/>
    <w:rsid w:val="00EB673F"/>
    <w:rsid w:val="00EB692E"/>
    <w:rsid w:val="00EB6B1E"/>
    <w:rsid w:val="00EB7805"/>
    <w:rsid w:val="00EB7A8E"/>
    <w:rsid w:val="00EC08D8"/>
    <w:rsid w:val="00EC0ACB"/>
    <w:rsid w:val="00EC0D6F"/>
    <w:rsid w:val="00EC0DE1"/>
    <w:rsid w:val="00EC1379"/>
    <w:rsid w:val="00EC2EA2"/>
    <w:rsid w:val="00EC3A66"/>
    <w:rsid w:val="00EC3BD5"/>
    <w:rsid w:val="00EC3D9B"/>
    <w:rsid w:val="00EC43CF"/>
    <w:rsid w:val="00EC44B3"/>
    <w:rsid w:val="00EC4C45"/>
    <w:rsid w:val="00EC4F43"/>
    <w:rsid w:val="00EC51C1"/>
    <w:rsid w:val="00EC558F"/>
    <w:rsid w:val="00EC58EE"/>
    <w:rsid w:val="00EC5CB2"/>
    <w:rsid w:val="00EC5DC5"/>
    <w:rsid w:val="00EC5EFE"/>
    <w:rsid w:val="00EC6235"/>
    <w:rsid w:val="00EC6963"/>
    <w:rsid w:val="00EC6A05"/>
    <w:rsid w:val="00EC6A82"/>
    <w:rsid w:val="00EC6C30"/>
    <w:rsid w:val="00EC7CDA"/>
    <w:rsid w:val="00ED037A"/>
    <w:rsid w:val="00ED092A"/>
    <w:rsid w:val="00ED0CE6"/>
    <w:rsid w:val="00ED0E1C"/>
    <w:rsid w:val="00ED15AC"/>
    <w:rsid w:val="00ED1EB7"/>
    <w:rsid w:val="00ED1EC1"/>
    <w:rsid w:val="00ED36A0"/>
    <w:rsid w:val="00ED36B1"/>
    <w:rsid w:val="00ED3CDB"/>
    <w:rsid w:val="00ED3D94"/>
    <w:rsid w:val="00ED429F"/>
    <w:rsid w:val="00ED49E7"/>
    <w:rsid w:val="00ED4C7A"/>
    <w:rsid w:val="00ED4E17"/>
    <w:rsid w:val="00ED55C3"/>
    <w:rsid w:val="00ED5668"/>
    <w:rsid w:val="00ED5762"/>
    <w:rsid w:val="00ED57E4"/>
    <w:rsid w:val="00ED5A09"/>
    <w:rsid w:val="00ED5B16"/>
    <w:rsid w:val="00ED5B3D"/>
    <w:rsid w:val="00ED5F18"/>
    <w:rsid w:val="00ED6735"/>
    <w:rsid w:val="00ED6E3B"/>
    <w:rsid w:val="00EE02B9"/>
    <w:rsid w:val="00EE0B9F"/>
    <w:rsid w:val="00EE0D57"/>
    <w:rsid w:val="00EE1041"/>
    <w:rsid w:val="00EE169C"/>
    <w:rsid w:val="00EE1E74"/>
    <w:rsid w:val="00EE271B"/>
    <w:rsid w:val="00EE2C02"/>
    <w:rsid w:val="00EE3364"/>
    <w:rsid w:val="00EE35AB"/>
    <w:rsid w:val="00EE3775"/>
    <w:rsid w:val="00EE392D"/>
    <w:rsid w:val="00EE3A81"/>
    <w:rsid w:val="00EE3DD1"/>
    <w:rsid w:val="00EE3EF9"/>
    <w:rsid w:val="00EE406B"/>
    <w:rsid w:val="00EE4223"/>
    <w:rsid w:val="00EE49CE"/>
    <w:rsid w:val="00EE542E"/>
    <w:rsid w:val="00EE546E"/>
    <w:rsid w:val="00EE55C5"/>
    <w:rsid w:val="00EF0883"/>
    <w:rsid w:val="00EF08DC"/>
    <w:rsid w:val="00EF0F01"/>
    <w:rsid w:val="00EF0F79"/>
    <w:rsid w:val="00EF1325"/>
    <w:rsid w:val="00EF179F"/>
    <w:rsid w:val="00EF1C55"/>
    <w:rsid w:val="00EF1D81"/>
    <w:rsid w:val="00EF1F56"/>
    <w:rsid w:val="00EF2039"/>
    <w:rsid w:val="00EF2257"/>
    <w:rsid w:val="00EF2889"/>
    <w:rsid w:val="00EF32C9"/>
    <w:rsid w:val="00EF42FC"/>
    <w:rsid w:val="00EF4605"/>
    <w:rsid w:val="00EF466D"/>
    <w:rsid w:val="00EF4BCD"/>
    <w:rsid w:val="00EF4FB9"/>
    <w:rsid w:val="00EF544A"/>
    <w:rsid w:val="00EF548E"/>
    <w:rsid w:val="00EF57CB"/>
    <w:rsid w:val="00EF5B2F"/>
    <w:rsid w:val="00EF61C7"/>
    <w:rsid w:val="00EF7101"/>
    <w:rsid w:val="00EF7D02"/>
    <w:rsid w:val="00F01EBA"/>
    <w:rsid w:val="00F02352"/>
    <w:rsid w:val="00F02D81"/>
    <w:rsid w:val="00F035CD"/>
    <w:rsid w:val="00F046D3"/>
    <w:rsid w:val="00F0491D"/>
    <w:rsid w:val="00F05137"/>
    <w:rsid w:val="00F05596"/>
    <w:rsid w:val="00F0569B"/>
    <w:rsid w:val="00F05B1D"/>
    <w:rsid w:val="00F065B4"/>
    <w:rsid w:val="00F066B3"/>
    <w:rsid w:val="00F06E5F"/>
    <w:rsid w:val="00F0712B"/>
    <w:rsid w:val="00F07BB4"/>
    <w:rsid w:val="00F101F1"/>
    <w:rsid w:val="00F10B55"/>
    <w:rsid w:val="00F10CF5"/>
    <w:rsid w:val="00F110A7"/>
    <w:rsid w:val="00F114EE"/>
    <w:rsid w:val="00F11ACF"/>
    <w:rsid w:val="00F11C51"/>
    <w:rsid w:val="00F11C63"/>
    <w:rsid w:val="00F12DB0"/>
    <w:rsid w:val="00F12F02"/>
    <w:rsid w:val="00F13561"/>
    <w:rsid w:val="00F139C1"/>
    <w:rsid w:val="00F14122"/>
    <w:rsid w:val="00F143FC"/>
    <w:rsid w:val="00F1450A"/>
    <w:rsid w:val="00F145D4"/>
    <w:rsid w:val="00F149F8"/>
    <w:rsid w:val="00F14A5C"/>
    <w:rsid w:val="00F14EC2"/>
    <w:rsid w:val="00F161E8"/>
    <w:rsid w:val="00F16413"/>
    <w:rsid w:val="00F167E1"/>
    <w:rsid w:val="00F16C97"/>
    <w:rsid w:val="00F171EA"/>
    <w:rsid w:val="00F1751F"/>
    <w:rsid w:val="00F17C8C"/>
    <w:rsid w:val="00F20772"/>
    <w:rsid w:val="00F2143E"/>
    <w:rsid w:val="00F21688"/>
    <w:rsid w:val="00F21A5F"/>
    <w:rsid w:val="00F21D98"/>
    <w:rsid w:val="00F22130"/>
    <w:rsid w:val="00F2285A"/>
    <w:rsid w:val="00F2290E"/>
    <w:rsid w:val="00F22B83"/>
    <w:rsid w:val="00F2305A"/>
    <w:rsid w:val="00F23162"/>
    <w:rsid w:val="00F233FE"/>
    <w:rsid w:val="00F23A45"/>
    <w:rsid w:val="00F23BBC"/>
    <w:rsid w:val="00F23C45"/>
    <w:rsid w:val="00F243BB"/>
    <w:rsid w:val="00F24678"/>
    <w:rsid w:val="00F24871"/>
    <w:rsid w:val="00F26189"/>
    <w:rsid w:val="00F267FB"/>
    <w:rsid w:val="00F267FC"/>
    <w:rsid w:val="00F26864"/>
    <w:rsid w:val="00F26B9B"/>
    <w:rsid w:val="00F2726A"/>
    <w:rsid w:val="00F274FA"/>
    <w:rsid w:val="00F27663"/>
    <w:rsid w:val="00F27711"/>
    <w:rsid w:val="00F27837"/>
    <w:rsid w:val="00F30293"/>
    <w:rsid w:val="00F30470"/>
    <w:rsid w:val="00F304D9"/>
    <w:rsid w:val="00F309FF"/>
    <w:rsid w:val="00F30F6F"/>
    <w:rsid w:val="00F31181"/>
    <w:rsid w:val="00F312F6"/>
    <w:rsid w:val="00F315ED"/>
    <w:rsid w:val="00F31880"/>
    <w:rsid w:val="00F32AB7"/>
    <w:rsid w:val="00F3354A"/>
    <w:rsid w:val="00F33AA1"/>
    <w:rsid w:val="00F33EDF"/>
    <w:rsid w:val="00F3442C"/>
    <w:rsid w:val="00F3480B"/>
    <w:rsid w:val="00F349A2"/>
    <w:rsid w:val="00F34BCB"/>
    <w:rsid w:val="00F35110"/>
    <w:rsid w:val="00F35699"/>
    <w:rsid w:val="00F35B83"/>
    <w:rsid w:val="00F35EBA"/>
    <w:rsid w:val="00F36D7B"/>
    <w:rsid w:val="00F37E02"/>
    <w:rsid w:val="00F40174"/>
    <w:rsid w:val="00F4142E"/>
    <w:rsid w:val="00F41B75"/>
    <w:rsid w:val="00F420AF"/>
    <w:rsid w:val="00F421A9"/>
    <w:rsid w:val="00F425CE"/>
    <w:rsid w:val="00F426F1"/>
    <w:rsid w:val="00F43816"/>
    <w:rsid w:val="00F43A59"/>
    <w:rsid w:val="00F43D17"/>
    <w:rsid w:val="00F43E6C"/>
    <w:rsid w:val="00F43E81"/>
    <w:rsid w:val="00F44719"/>
    <w:rsid w:val="00F4479F"/>
    <w:rsid w:val="00F44D87"/>
    <w:rsid w:val="00F44FD4"/>
    <w:rsid w:val="00F452AA"/>
    <w:rsid w:val="00F456D9"/>
    <w:rsid w:val="00F4580A"/>
    <w:rsid w:val="00F45B20"/>
    <w:rsid w:val="00F45D07"/>
    <w:rsid w:val="00F46298"/>
    <w:rsid w:val="00F46516"/>
    <w:rsid w:val="00F46678"/>
    <w:rsid w:val="00F466AB"/>
    <w:rsid w:val="00F46D5E"/>
    <w:rsid w:val="00F46EA4"/>
    <w:rsid w:val="00F47479"/>
    <w:rsid w:val="00F47CC9"/>
    <w:rsid w:val="00F50192"/>
    <w:rsid w:val="00F505AE"/>
    <w:rsid w:val="00F50CED"/>
    <w:rsid w:val="00F51103"/>
    <w:rsid w:val="00F52B76"/>
    <w:rsid w:val="00F52D8F"/>
    <w:rsid w:val="00F537F2"/>
    <w:rsid w:val="00F53A0E"/>
    <w:rsid w:val="00F53AF8"/>
    <w:rsid w:val="00F53C1E"/>
    <w:rsid w:val="00F547E6"/>
    <w:rsid w:val="00F54851"/>
    <w:rsid w:val="00F55237"/>
    <w:rsid w:val="00F55316"/>
    <w:rsid w:val="00F55BC2"/>
    <w:rsid w:val="00F55F48"/>
    <w:rsid w:val="00F56463"/>
    <w:rsid w:val="00F564B4"/>
    <w:rsid w:val="00F56652"/>
    <w:rsid w:val="00F56EC4"/>
    <w:rsid w:val="00F57377"/>
    <w:rsid w:val="00F574AF"/>
    <w:rsid w:val="00F57526"/>
    <w:rsid w:val="00F57CD6"/>
    <w:rsid w:val="00F60D79"/>
    <w:rsid w:val="00F61019"/>
    <w:rsid w:val="00F6147A"/>
    <w:rsid w:val="00F6169B"/>
    <w:rsid w:val="00F619AF"/>
    <w:rsid w:val="00F61B6B"/>
    <w:rsid w:val="00F62532"/>
    <w:rsid w:val="00F62750"/>
    <w:rsid w:val="00F62F1B"/>
    <w:rsid w:val="00F634B2"/>
    <w:rsid w:val="00F636AF"/>
    <w:rsid w:val="00F6397F"/>
    <w:rsid w:val="00F644B1"/>
    <w:rsid w:val="00F647C8"/>
    <w:rsid w:val="00F64DDA"/>
    <w:rsid w:val="00F65362"/>
    <w:rsid w:val="00F654CE"/>
    <w:rsid w:val="00F669B2"/>
    <w:rsid w:val="00F66A98"/>
    <w:rsid w:val="00F66D31"/>
    <w:rsid w:val="00F66ECA"/>
    <w:rsid w:val="00F7020B"/>
    <w:rsid w:val="00F70D3C"/>
    <w:rsid w:val="00F71008"/>
    <w:rsid w:val="00F7103C"/>
    <w:rsid w:val="00F71FA1"/>
    <w:rsid w:val="00F72B0D"/>
    <w:rsid w:val="00F73FE7"/>
    <w:rsid w:val="00F744E8"/>
    <w:rsid w:val="00F752A4"/>
    <w:rsid w:val="00F75371"/>
    <w:rsid w:val="00F75424"/>
    <w:rsid w:val="00F754B5"/>
    <w:rsid w:val="00F7556C"/>
    <w:rsid w:val="00F7562A"/>
    <w:rsid w:val="00F75817"/>
    <w:rsid w:val="00F75C74"/>
    <w:rsid w:val="00F75DDC"/>
    <w:rsid w:val="00F76140"/>
    <w:rsid w:val="00F76536"/>
    <w:rsid w:val="00F767D4"/>
    <w:rsid w:val="00F767EC"/>
    <w:rsid w:val="00F77383"/>
    <w:rsid w:val="00F777BA"/>
    <w:rsid w:val="00F80DDF"/>
    <w:rsid w:val="00F812C1"/>
    <w:rsid w:val="00F81B3E"/>
    <w:rsid w:val="00F81CB5"/>
    <w:rsid w:val="00F82322"/>
    <w:rsid w:val="00F824D9"/>
    <w:rsid w:val="00F826C2"/>
    <w:rsid w:val="00F82AA3"/>
    <w:rsid w:val="00F82B9C"/>
    <w:rsid w:val="00F82BC1"/>
    <w:rsid w:val="00F83568"/>
    <w:rsid w:val="00F83DCA"/>
    <w:rsid w:val="00F83EAC"/>
    <w:rsid w:val="00F845BD"/>
    <w:rsid w:val="00F84B04"/>
    <w:rsid w:val="00F84F24"/>
    <w:rsid w:val="00F8632B"/>
    <w:rsid w:val="00F87370"/>
    <w:rsid w:val="00F873C6"/>
    <w:rsid w:val="00F87631"/>
    <w:rsid w:val="00F90414"/>
    <w:rsid w:val="00F90A3F"/>
    <w:rsid w:val="00F90FA1"/>
    <w:rsid w:val="00F9132E"/>
    <w:rsid w:val="00F91345"/>
    <w:rsid w:val="00F918A1"/>
    <w:rsid w:val="00F91A07"/>
    <w:rsid w:val="00F91C10"/>
    <w:rsid w:val="00F92AFF"/>
    <w:rsid w:val="00F92BA4"/>
    <w:rsid w:val="00F9332C"/>
    <w:rsid w:val="00F93355"/>
    <w:rsid w:val="00F93774"/>
    <w:rsid w:val="00F93CC2"/>
    <w:rsid w:val="00F9498D"/>
    <w:rsid w:val="00F94D7D"/>
    <w:rsid w:val="00F94F00"/>
    <w:rsid w:val="00F95153"/>
    <w:rsid w:val="00F952A9"/>
    <w:rsid w:val="00F95A80"/>
    <w:rsid w:val="00F95CEC"/>
    <w:rsid w:val="00F95F20"/>
    <w:rsid w:val="00F95F92"/>
    <w:rsid w:val="00F9696E"/>
    <w:rsid w:val="00F969A6"/>
    <w:rsid w:val="00F96AF6"/>
    <w:rsid w:val="00F96B16"/>
    <w:rsid w:val="00F9722F"/>
    <w:rsid w:val="00F97900"/>
    <w:rsid w:val="00FA07EB"/>
    <w:rsid w:val="00FA1094"/>
    <w:rsid w:val="00FA1179"/>
    <w:rsid w:val="00FA1619"/>
    <w:rsid w:val="00FA1A52"/>
    <w:rsid w:val="00FA1CBF"/>
    <w:rsid w:val="00FA2F29"/>
    <w:rsid w:val="00FA43C1"/>
    <w:rsid w:val="00FA45CD"/>
    <w:rsid w:val="00FA4621"/>
    <w:rsid w:val="00FA4805"/>
    <w:rsid w:val="00FA574F"/>
    <w:rsid w:val="00FA60DD"/>
    <w:rsid w:val="00FA6459"/>
    <w:rsid w:val="00FA6483"/>
    <w:rsid w:val="00FA6D1B"/>
    <w:rsid w:val="00FA6E4F"/>
    <w:rsid w:val="00FA7BC2"/>
    <w:rsid w:val="00FA7C01"/>
    <w:rsid w:val="00FA7C31"/>
    <w:rsid w:val="00FA7C85"/>
    <w:rsid w:val="00FA7EE0"/>
    <w:rsid w:val="00FA7F48"/>
    <w:rsid w:val="00FB0869"/>
    <w:rsid w:val="00FB0B9D"/>
    <w:rsid w:val="00FB0D80"/>
    <w:rsid w:val="00FB1A89"/>
    <w:rsid w:val="00FB1BAD"/>
    <w:rsid w:val="00FB1D26"/>
    <w:rsid w:val="00FB1F0D"/>
    <w:rsid w:val="00FB2448"/>
    <w:rsid w:val="00FB2C0D"/>
    <w:rsid w:val="00FB340F"/>
    <w:rsid w:val="00FB3C16"/>
    <w:rsid w:val="00FB479E"/>
    <w:rsid w:val="00FB4F52"/>
    <w:rsid w:val="00FB556C"/>
    <w:rsid w:val="00FB5CAA"/>
    <w:rsid w:val="00FB60EB"/>
    <w:rsid w:val="00FB6972"/>
    <w:rsid w:val="00FC0327"/>
    <w:rsid w:val="00FC06AC"/>
    <w:rsid w:val="00FC083F"/>
    <w:rsid w:val="00FC0DB4"/>
    <w:rsid w:val="00FC0FFC"/>
    <w:rsid w:val="00FC112A"/>
    <w:rsid w:val="00FC1ABC"/>
    <w:rsid w:val="00FC4173"/>
    <w:rsid w:val="00FC45B9"/>
    <w:rsid w:val="00FC49E0"/>
    <w:rsid w:val="00FC5C0F"/>
    <w:rsid w:val="00FC6437"/>
    <w:rsid w:val="00FC66B1"/>
    <w:rsid w:val="00FC694D"/>
    <w:rsid w:val="00FC7FA3"/>
    <w:rsid w:val="00FD15ED"/>
    <w:rsid w:val="00FD1768"/>
    <w:rsid w:val="00FD1805"/>
    <w:rsid w:val="00FD1AE2"/>
    <w:rsid w:val="00FD2044"/>
    <w:rsid w:val="00FD2442"/>
    <w:rsid w:val="00FD299C"/>
    <w:rsid w:val="00FD2AB1"/>
    <w:rsid w:val="00FD360C"/>
    <w:rsid w:val="00FD4B36"/>
    <w:rsid w:val="00FD533C"/>
    <w:rsid w:val="00FD6297"/>
    <w:rsid w:val="00FD6769"/>
    <w:rsid w:val="00FD677B"/>
    <w:rsid w:val="00FD70EF"/>
    <w:rsid w:val="00FD74D3"/>
    <w:rsid w:val="00FD7939"/>
    <w:rsid w:val="00FE0048"/>
    <w:rsid w:val="00FE0FB2"/>
    <w:rsid w:val="00FE0FD9"/>
    <w:rsid w:val="00FE151E"/>
    <w:rsid w:val="00FE1716"/>
    <w:rsid w:val="00FE196B"/>
    <w:rsid w:val="00FE1E5C"/>
    <w:rsid w:val="00FE20DB"/>
    <w:rsid w:val="00FE2164"/>
    <w:rsid w:val="00FE21D6"/>
    <w:rsid w:val="00FE2504"/>
    <w:rsid w:val="00FE2E23"/>
    <w:rsid w:val="00FE3513"/>
    <w:rsid w:val="00FE41DB"/>
    <w:rsid w:val="00FE5EAB"/>
    <w:rsid w:val="00FE7F3F"/>
    <w:rsid w:val="00FF01EF"/>
    <w:rsid w:val="00FF045C"/>
    <w:rsid w:val="00FF0506"/>
    <w:rsid w:val="00FF0637"/>
    <w:rsid w:val="00FF068E"/>
    <w:rsid w:val="00FF0A8A"/>
    <w:rsid w:val="00FF0CBA"/>
    <w:rsid w:val="00FF1F16"/>
    <w:rsid w:val="00FF1FAE"/>
    <w:rsid w:val="00FF299B"/>
    <w:rsid w:val="00FF2D9E"/>
    <w:rsid w:val="00FF3322"/>
    <w:rsid w:val="00FF34ED"/>
    <w:rsid w:val="00FF35CE"/>
    <w:rsid w:val="00FF3D02"/>
    <w:rsid w:val="00FF3EC1"/>
    <w:rsid w:val="00FF4148"/>
    <w:rsid w:val="00FF4800"/>
    <w:rsid w:val="00FF4EAA"/>
    <w:rsid w:val="00FF526A"/>
    <w:rsid w:val="00FF5591"/>
    <w:rsid w:val="00FF5650"/>
    <w:rsid w:val="00FF5789"/>
    <w:rsid w:val="00FF5D53"/>
    <w:rsid w:val="00FF5F67"/>
    <w:rsid w:val="00FF7074"/>
    <w:rsid w:val="00FF7112"/>
    <w:rsid w:val="00FF7130"/>
    <w:rsid w:val="00FF7481"/>
    <w:rsid w:val="00FF7CAA"/>
    <w:rsid w:val="00FF7F92"/>
    <w:rsid w:val="01AC7FAB"/>
    <w:rsid w:val="05184F9C"/>
    <w:rsid w:val="09F60478"/>
    <w:rsid w:val="0D25075F"/>
    <w:rsid w:val="0D947B8D"/>
    <w:rsid w:val="134E265E"/>
    <w:rsid w:val="1FC048DA"/>
    <w:rsid w:val="25C4549B"/>
    <w:rsid w:val="3A674800"/>
    <w:rsid w:val="41153CE6"/>
    <w:rsid w:val="47DC5077"/>
    <w:rsid w:val="48B16A61"/>
    <w:rsid w:val="53767A2F"/>
    <w:rsid w:val="56A17550"/>
    <w:rsid w:val="57E62A87"/>
    <w:rsid w:val="632E6FDA"/>
    <w:rsid w:val="7ADF2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33F73E"/>
  <w15:docId w15:val="{23C178E2-501A-B84F-8B29-C7F59CEB6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386CE3"/>
    <w:pPr>
      <w:widowControl w:val="0"/>
      <w:autoSpaceDE w:val="0"/>
      <w:autoSpaceDN w:val="0"/>
      <w:adjustRightInd w:val="0"/>
      <w:spacing w:beforeLines="50" w:before="50" w:afterLines="50" w:after="50" w:line="360" w:lineRule="auto"/>
      <w:ind w:firstLineChars="200" w:firstLine="200"/>
      <w:jc w:val="both"/>
    </w:pPr>
    <w:rPr>
      <w:sz w:val="24"/>
      <w:szCs w:val="24"/>
    </w:rPr>
  </w:style>
  <w:style w:type="paragraph" w:styleId="1">
    <w:name w:val="heading 1"/>
    <w:basedOn w:val="a1"/>
    <w:next w:val="a1"/>
    <w:link w:val="10"/>
    <w:uiPriority w:val="9"/>
    <w:qFormat/>
    <w:pPr>
      <w:autoSpaceDE/>
      <w:autoSpaceDN/>
      <w:ind w:firstLineChars="0" w:firstLine="0"/>
      <w:outlineLvl w:val="0"/>
    </w:pPr>
    <w:rPr>
      <w:rFonts w:eastAsia="SimHei"/>
      <w:b/>
      <w:bCs/>
      <w:kern w:val="44"/>
      <w:sz w:val="28"/>
      <w:szCs w:val="44"/>
    </w:rPr>
  </w:style>
  <w:style w:type="paragraph" w:styleId="21">
    <w:name w:val="heading 2"/>
    <w:basedOn w:val="a1"/>
    <w:next w:val="a1"/>
    <w:link w:val="22"/>
    <w:uiPriority w:val="9"/>
    <w:qFormat/>
    <w:pPr>
      <w:autoSpaceDE/>
      <w:autoSpaceDN/>
      <w:spacing w:line="415" w:lineRule="auto"/>
      <w:outlineLvl w:val="1"/>
    </w:pPr>
    <w:rPr>
      <w:b/>
      <w:szCs w:val="28"/>
    </w:rPr>
  </w:style>
  <w:style w:type="paragraph" w:styleId="31">
    <w:name w:val="heading 3"/>
    <w:basedOn w:val="a1"/>
    <w:next w:val="a1"/>
    <w:link w:val="32"/>
    <w:uiPriority w:val="9"/>
    <w:unhideWhenUsed/>
    <w:qFormat/>
    <w:pPr>
      <w:autoSpaceDE/>
      <w:autoSpaceDN/>
      <w:outlineLvl w:val="2"/>
    </w:pPr>
    <w:rPr>
      <w:b/>
      <w:bCs/>
      <w:szCs w:val="32"/>
    </w:rPr>
  </w:style>
  <w:style w:type="paragraph" w:styleId="4">
    <w:name w:val="heading 4"/>
    <w:basedOn w:val="a1"/>
    <w:next w:val="a1"/>
    <w:link w:val="40"/>
    <w:uiPriority w:val="9"/>
    <w:semiHidden/>
    <w:unhideWhenUsed/>
    <w:qFormat/>
    <w:rsid w:val="00C27C5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1"/>
    <w:next w:val="a1"/>
    <w:link w:val="50"/>
    <w:uiPriority w:val="9"/>
    <w:semiHidden/>
    <w:unhideWhenUsed/>
    <w:qFormat/>
    <w:rsid w:val="00626A85"/>
    <w:pPr>
      <w:keepNext/>
      <w:keepLines/>
      <w:widowControl/>
      <w:autoSpaceDE/>
      <w:autoSpaceDN/>
      <w:adjustRightInd/>
      <w:spacing w:beforeLines="0" w:before="200" w:afterLines="0" w:after="0" w:line="276" w:lineRule="auto"/>
      <w:ind w:firstLineChars="0" w:firstLine="0"/>
      <w:jc w:val="left"/>
      <w:outlineLvl w:val="4"/>
    </w:pPr>
    <w:rPr>
      <w:rFonts w:asciiTheme="majorHAnsi" w:eastAsiaTheme="majorEastAsia" w:hAnsiTheme="majorHAnsi" w:cstheme="majorBidi"/>
      <w:color w:val="1F3763" w:themeColor="accent1" w:themeShade="7F"/>
      <w:sz w:val="22"/>
      <w:szCs w:val="22"/>
      <w:lang w:eastAsia="en-US"/>
    </w:rPr>
  </w:style>
  <w:style w:type="paragraph" w:styleId="6">
    <w:name w:val="heading 6"/>
    <w:basedOn w:val="a1"/>
    <w:next w:val="a1"/>
    <w:link w:val="60"/>
    <w:uiPriority w:val="9"/>
    <w:semiHidden/>
    <w:unhideWhenUsed/>
    <w:qFormat/>
    <w:rsid w:val="00626A85"/>
    <w:pPr>
      <w:keepNext/>
      <w:keepLines/>
      <w:widowControl/>
      <w:autoSpaceDE/>
      <w:autoSpaceDN/>
      <w:adjustRightInd/>
      <w:spacing w:beforeLines="0" w:before="200" w:afterLines="0" w:after="0" w:line="276" w:lineRule="auto"/>
      <w:ind w:firstLineChars="0" w:firstLine="0"/>
      <w:jc w:val="left"/>
      <w:outlineLvl w:val="5"/>
    </w:pPr>
    <w:rPr>
      <w:rFonts w:asciiTheme="majorHAnsi" w:eastAsiaTheme="majorEastAsia" w:hAnsiTheme="majorHAnsi" w:cstheme="majorBidi"/>
      <w:i/>
      <w:iCs/>
      <w:color w:val="1F3763" w:themeColor="accent1" w:themeShade="7F"/>
      <w:sz w:val="22"/>
      <w:szCs w:val="22"/>
      <w:lang w:eastAsia="en-US"/>
    </w:rPr>
  </w:style>
  <w:style w:type="paragraph" w:styleId="7">
    <w:name w:val="heading 7"/>
    <w:basedOn w:val="a1"/>
    <w:next w:val="a1"/>
    <w:link w:val="70"/>
    <w:uiPriority w:val="9"/>
    <w:semiHidden/>
    <w:unhideWhenUsed/>
    <w:qFormat/>
    <w:rsid w:val="00626A85"/>
    <w:pPr>
      <w:keepNext/>
      <w:keepLines/>
      <w:widowControl/>
      <w:autoSpaceDE/>
      <w:autoSpaceDN/>
      <w:adjustRightInd/>
      <w:spacing w:beforeLines="0" w:before="200" w:afterLines="0" w:after="0" w:line="276" w:lineRule="auto"/>
      <w:ind w:firstLineChars="0" w:firstLine="0"/>
      <w:jc w:val="left"/>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1"/>
    <w:next w:val="a1"/>
    <w:link w:val="80"/>
    <w:uiPriority w:val="9"/>
    <w:semiHidden/>
    <w:unhideWhenUsed/>
    <w:qFormat/>
    <w:rsid w:val="00626A85"/>
    <w:pPr>
      <w:keepNext/>
      <w:keepLines/>
      <w:widowControl/>
      <w:autoSpaceDE/>
      <w:autoSpaceDN/>
      <w:adjustRightInd/>
      <w:spacing w:beforeLines="0" w:before="200" w:afterLines="0" w:after="0" w:line="276" w:lineRule="auto"/>
      <w:ind w:firstLineChars="0" w:firstLine="0"/>
      <w:jc w:val="left"/>
      <w:outlineLvl w:val="7"/>
    </w:pPr>
    <w:rPr>
      <w:rFonts w:asciiTheme="majorHAnsi" w:eastAsiaTheme="majorEastAsia" w:hAnsiTheme="majorHAnsi" w:cstheme="majorBidi"/>
      <w:color w:val="4472C4" w:themeColor="accent1"/>
      <w:sz w:val="20"/>
      <w:szCs w:val="20"/>
      <w:lang w:eastAsia="en-US"/>
    </w:rPr>
  </w:style>
  <w:style w:type="paragraph" w:styleId="9">
    <w:name w:val="heading 9"/>
    <w:basedOn w:val="a1"/>
    <w:next w:val="a1"/>
    <w:link w:val="90"/>
    <w:uiPriority w:val="9"/>
    <w:semiHidden/>
    <w:unhideWhenUsed/>
    <w:qFormat/>
    <w:rsid w:val="00626A85"/>
    <w:pPr>
      <w:keepNext/>
      <w:keepLines/>
      <w:widowControl/>
      <w:autoSpaceDE/>
      <w:autoSpaceDN/>
      <w:adjustRightInd/>
      <w:spacing w:beforeLines="0" w:before="200" w:afterLines="0" w:after="0" w:line="276" w:lineRule="auto"/>
      <w:ind w:firstLineChars="0" w:firstLine="0"/>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annotation text"/>
    <w:basedOn w:val="a1"/>
    <w:link w:val="a6"/>
    <w:uiPriority w:val="99"/>
    <w:unhideWhenUsed/>
    <w:qFormat/>
  </w:style>
  <w:style w:type="paragraph" w:styleId="a7">
    <w:name w:val="Body Text"/>
    <w:basedOn w:val="a1"/>
    <w:link w:val="a8"/>
    <w:uiPriority w:val="99"/>
    <w:qFormat/>
    <w:pPr>
      <w:ind w:left="122"/>
    </w:pPr>
    <w:rPr>
      <w:rFonts w:ascii="Georgia" w:hAnsi="Georgia" w:cs="Georgia"/>
    </w:rPr>
  </w:style>
  <w:style w:type="paragraph" w:styleId="a9">
    <w:name w:val="Date"/>
    <w:basedOn w:val="a1"/>
    <w:next w:val="a1"/>
    <w:link w:val="aa"/>
    <w:uiPriority w:val="99"/>
    <w:semiHidden/>
    <w:unhideWhenUsed/>
    <w:qFormat/>
    <w:pPr>
      <w:ind w:leftChars="2500" w:left="100"/>
    </w:pPr>
  </w:style>
  <w:style w:type="paragraph" w:styleId="ab">
    <w:name w:val="Balloon Text"/>
    <w:basedOn w:val="a1"/>
    <w:link w:val="ac"/>
    <w:uiPriority w:val="99"/>
    <w:semiHidden/>
    <w:unhideWhenUsed/>
    <w:qFormat/>
    <w:rPr>
      <w:sz w:val="18"/>
      <w:szCs w:val="18"/>
    </w:rPr>
  </w:style>
  <w:style w:type="paragraph" w:styleId="ad">
    <w:name w:val="footer"/>
    <w:basedOn w:val="a1"/>
    <w:link w:val="ae"/>
    <w:uiPriority w:val="99"/>
    <w:unhideWhenUsed/>
    <w:qFormat/>
    <w:pPr>
      <w:tabs>
        <w:tab w:val="center" w:pos="4153"/>
        <w:tab w:val="right" w:pos="8306"/>
      </w:tabs>
      <w:snapToGrid w:val="0"/>
    </w:pPr>
    <w:rPr>
      <w:sz w:val="18"/>
      <w:szCs w:val="18"/>
    </w:rPr>
  </w:style>
  <w:style w:type="paragraph" w:styleId="af">
    <w:name w:val="header"/>
    <w:basedOn w:val="a1"/>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af1">
    <w:name w:val="annotation subject"/>
    <w:basedOn w:val="a5"/>
    <w:next w:val="a5"/>
    <w:link w:val="af2"/>
    <w:uiPriority w:val="99"/>
    <w:semiHidden/>
    <w:unhideWhenUsed/>
    <w:qFormat/>
    <w:rPr>
      <w:b/>
      <w:bCs/>
    </w:rPr>
  </w:style>
  <w:style w:type="table" w:styleId="af3">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line number"/>
    <w:basedOn w:val="a2"/>
    <w:uiPriority w:val="99"/>
    <w:semiHidden/>
    <w:unhideWhenUsed/>
    <w:qFormat/>
  </w:style>
  <w:style w:type="character" w:styleId="af5">
    <w:name w:val="Hyperlink"/>
    <w:basedOn w:val="a2"/>
    <w:uiPriority w:val="99"/>
    <w:unhideWhenUsed/>
    <w:qFormat/>
    <w:rPr>
      <w:color w:val="0563C1" w:themeColor="hyperlink"/>
      <w:u w:val="single"/>
    </w:rPr>
  </w:style>
  <w:style w:type="character" w:styleId="af6">
    <w:name w:val="annotation reference"/>
    <w:basedOn w:val="a2"/>
    <w:uiPriority w:val="99"/>
    <w:semiHidden/>
    <w:unhideWhenUsed/>
    <w:qFormat/>
    <w:rPr>
      <w:sz w:val="21"/>
      <w:szCs w:val="21"/>
    </w:rPr>
  </w:style>
  <w:style w:type="character" w:customStyle="1" w:styleId="22">
    <w:name w:val="标题 2 字符"/>
    <w:basedOn w:val="a2"/>
    <w:link w:val="21"/>
    <w:uiPriority w:val="9"/>
    <w:qFormat/>
    <w:rPr>
      <w:rFonts w:ascii="Times New Roman" w:eastAsia="SimSun" w:hAnsi="Times New Roman" w:cs="Times New Roman"/>
      <w:b/>
      <w:kern w:val="0"/>
      <w:sz w:val="24"/>
      <w:szCs w:val="28"/>
    </w:rPr>
  </w:style>
  <w:style w:type="character" w:customStyle="1" w:styleId="a8">
    <w:name w:val="正文文本 字符"/>
    <w:basedOn w:val="a2"/>
    <w:link w:val="a7"/>
    <w:uiPriority w:val="99"/>
    <w:qFormat/>
    <w:rPr>
      <w:rFonts w:ascii="Georgia" w:hAnsi="Georgia" w:cs="Georgia"/>
      <w:kern w:val="0"/>
      <w:sz w:val="24"/>
      <w:szCs w:val="24"/>
    </w:rPr>
  </w:style>
  <w:style w:type="character" w:customStyle="1" w:styleId="ae">
    <w:name w:val="页脚 字符"/>
    <w:basedOn w:val="a2"/>
    <w:link w:val="ad"/>
    <w:uiPriority w:val="99"/>
    <w:qFormat/>
    <w:rPr>
      <w:rFonts w:ascii="Times New Roman" w:hAnsi="Times New Roman" w:cs="Times New Roman"/>
      <w:kern w:val="0"/>
      <w:sz w:val="18"/>
      <w:szCs w:val="18"/>
    </w:rPr>
  </w:style>
  <w:style w:type="table" w:customStyle="1" w:styleId="11">
    <w:name w:val="无格式表格 11"/>
    <w:basedOn w:val="a3"/>
    <w:uiPriority w:val="41"/>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
    <w:name w:val="无格式表格 12"/>
    <w:basedOn w:val="a3"/>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f0">
    <w:name w:val="页眉 字符"/>
    <w:basedOn w:val="a2"/>
    <w:link w:val="af"/>
    <w:uiPriority w:val="99"/>
    <w:qFormat/>
    <w:rPr>
      <w:rFonts w:ascii="Times New Roman" w:hAnsi="Times New Roman" w:cs="Times New Roman"/>
      <w:kern w:val="0"/>
      <w:sz w:val="18"/>
      <w:szCs w:val="18"/>
    </w:rPr>
  </w:style>
  <w:style w:type="paragraph" w:styleId="af7">
    <w:name w:val="List Paragraph"/>
    <w:basedOn w:val="a1"/>
    <w:uiPriority w:val="34"/>
    <w:qFormat/>
    <w:pPr>
      <w:ind w:firstLine="420"/>
    </w:pPr>
  </w:style>
  <w:style w:type="character" w:styleId="af8">
    <w:name w:val="Placeholder Text"/>
    <w:basedOn w:val="a2"/>
    <w:uiPriority w:val="99"/>
    <w:semiHidden/>
    <w:qFormat/>
    <w:rPr>
      <w:color w:val="808080"/>
    </w:rPr>
  </w:style>
  <w:style w:type="character" w:customStyle="1" w:styleId="ac">
    <w:name w:val="批注框文本 字符"/>
    <w:basedOn w:val="a2"/>
    <w:link w:val="ab"/>
    <w:uiPriority w:val="99"/>
    <w:semiHidden/>
    <w:qFormat/>
    <w:rPr>
      <w:rFonts w:ascii="Times New Roman" w:hAnsi="Times New Roman" w:cs="Times New Roman"/>
      <w:kern w:val="0"/>
      <w:sz w:val="18"/>
      <w:szCs w:val="18"/>
    </w:rPr>
  </w:style>
  <w:style w:type="paragraph" w:customStyle="1" w:styleId="Default">
    <w:name w:val="Default"/>
    <w:qFormat/>
    <w:pPr>
      <w:widowControl w:val="0"/>
      <w:autoSpaceDE w:val="0"/>
      <w:autoSpaceDN w:val="0"/>
      <w:adjustRightInd w:val="0"/>
    </w:pPr>
    <w:rPr>
      <w:rFonts w:ascii="SimSun" w:cs="SimSun"/>
      <w:color w:val="000000"/>
      <w:sz w:val="24"/>
      <w:szCs w:val="24"/>
    </w:rPr>
  </w:style>
  <w:style w:type="character" w:customStyle="1" w:styleId="a6">
    <w:name w:val="批注文字 字符"/>
    <w:basedOn w:val="a2"/>
    <w:link w:val="a5"/>
    <w:uiPriority w:val="99"/>
    <w:qFormat/>
    <w:rPr>
      <w:rFonts w:ascii="Times New Roman" w:hAnsi="Times New Roman" w:cs="Times New Roman"/>
      <w:kern w:val="0"/>
      <w:sz w:val="24"/>
      <w:szCs w:val="24"/>
    </w:rPr>
  </w:style>
  <w:style w:type="character" w:customStyle="1" w:styleId="af2">
    <w:name w:val="批注主题 字符"/>
    <w:basedOn w:val="a6"/>
    <w:link w:val="af1"/>
    <w:uiPriority w:val="99"/>
    <w:semiHidden/>
    <w:qFormat/>
    <w:rPr>
      <w:rFonts w:ascii="Times New Roman" w:hAnsi="Times New Roman" w:cs="Times New Roman"/>
      <w:b/>
      <w:bCs/>
      <w:kern w:val="0"/>
      <w:sz w:val="24"/>
      <w:szCs w:val="24"/>
    </w:rPr>
  </w:style>
  <w:style w:type="character" w:customStyle="1" w:styleId="10">
    <w:name w:val="标题 1 字符"/>
    <w:basedOn w:val="a2"/>
    <w:link w:val="1"/>
    <w:uiPriority w:val="9"/>
    <w:qFormat/>
    <w:rPr>
      <w:rFonts w:ascii="Times New Roman" w:eastAsia="SimHei" w:hAnsi="Times New Roman" w:cs="Times New Roman"/>
      <w:b/>
      <w:bCs/>
      <w:kern w:val="44"/>
      <w:sz w:val="28"/>
      <w:szCs w:val="44"/>
    </w:rPr>
  </w:style>
  <w:style w:type="character" w:customStyle="1" w:styleId="32">
    <w:name w:val="标题 3 字符"/>
    <w:basedOn w:val="a2"/>
    <w:link w:val="31"/>
    <w:uiPriority w:val="9"/>
    <w:qFormat/>
    <w:rPr>
      <w:rFonts w:ascii="Times New Roman" w:eastAsia="SimSun" w:hAnsi="Times New Roman" w:cs="Times New Roman"/>
      <w:b/>
      <w:bCs/>
      <w:kern w:val="0"/>
      <w:sz w:val="24"/>
      <w:szCs w:val="32"/>
    </w:rPr>
  </w:style>
  <w:style w:type="paragraph" w:customStyle="1" w:styleId="13">
    <w:name w:val="修订1"/>
    <w:hidden/>
    <w:uiPriority w:val="99"/>
    <w:semiHidden/>
    <w:qFormat/>
    <w:rPr>
      <w:sz w:val="24"/>
      <w:szCs w:val="24"/>
    </w:rPr>
  </w:style>
  <w:style w:type="character" w:customStyle="1" w:styleId="tlid-translation">
    <w:name w:val="tlid-translation"/>
    <w:basedOn w:val="a2"/>
    <w:qFormat/>
  </w:style>
  <w:style w:type="character" w:customStyle="1" w:styleId="14">
    <w:name w:val="未处理的提及1"/>
    <w:basedOn w:val="a2"/>
    <w:uiPriority w:val="99"/>
    <w:semiHidden/>
    <w:unhideWhenUsed/>
    <w:qFormat/>
    <w:rPr>
      <w:color w:val="605E5C"/>
      <w:shd w:val="clear" w:color="auto" w:fill="E1DFDD"/>
    </w:rPr>
  </w:style>
  <w:style w:type="character" w:customStyle="1" w:styleId="opdict3font24">
    <w:name w:val="op_dict3_font24"/>
    <w:basedOn w:val="a2"/>
    <w:qFormat/>
  </w:style>
  <w:style w:type="character" w:customStyle="1" w:styleId="23">
    <w:name w:val="未处理的提及2"/>
    <w:basedOn w:val="a2"/>
    <w:uiPriority w:val="99"/>
    <w:semiHidden/>
    <w:unhideWhenUsed/>
    <w:qFormat/>
    <w:rPr>
      <w:color w:val="605E5C"/>
      <w:shd w:val="clear" w:color="auto" w:fill="E1DFDD"/>
    </w:rPr>
  </w:style>
  <w:style w:type="character" w:customStyle="1" w:styleId="aa">
    <w:name w:val="日期 字符"/>
    <w:basedOn w:val="a2"/>
    <w:link w:val="a9"/>
    <w:uiPriority w:val="99"/>
    <w:semiHidden/>
    <w:qFormat/>
  </w:style>
  <w:style w:type="character" w:customStyle="1" w:styleId="33">
    <w:name w:val="未处理的提及3"/>
    <w:basedOn w:val="a2"/>
    <w:uiPriority w:val="99"/>
    <w:semiHidden/>
    <w:unhideWhenUsed/>
    <w:qFormat/>
    <w:rPr>
      <w:color w:val="605E5C"/>
      <w:shd w:val="clear" w:color="auto" w:fill="E1DFDD"/>
    </w:rPr>
  </w:style>
  <w:style w:type="character" w:customStyle="1" w:styleId="41">
    <w:name w:val="未处理的提及4"/>
    <w:basedOn w:val="a2"/>
    <w:uiPriority w:val="99"/>
    <w:semiHidden/>
    <w:unhideWhenUsed/>
    <w:qFormat/>
    <w:rPr>
      <w:color w:val="605E5C"/>
      <w:shd w:val="clear" w:color="auto" w:fill="E1DFDD"/>
    </w:rPr>
  </w:style>
  <w:style w:type="paragraph" w:customStyle="1" w:styleId="24">
    <w:name w:val="修订2"/>
    <w:hidden/>
    <w:uiPriority w:val="99"/>
    <w:semiHidden/>
    <w:qFormat/>
    <w:rPr>
      <w:sz w:val="24"/>
      <w:szCs w:val="24"/>
    </w:rPr>
  </w:style>
  <w:style w:type="character" w:customStyle="1" w:styleId="51">
    <w:name w:val="未处理的提及5"/>
    <w:basedOn w:val="a2"/>
    <w:uiPriority w:val="99"/>
    <w:semiHidden/>
    <w:unhideWhenUsed/>
    <w:qFormat/>
    <w:rPr>
      <w:color w:val="605E5C"/>
      <w:shd w:val="clear" w:color="auto" w:fill="E1DFDD"/>
    </w:rPr>
  </w:style>
  <w:style w:type="paragraph" w:styleId="af9">
    <w:name w:val="Revision"/>
    <w:hidden/>
    <w:uiPriority w:val="99"/>
    <w:semiHidden/>
    <w:rsid w:val="006E0DAA"/>
    <w:rPr>
      <w:sz w:val="24"/>
      <w:szCs w:val="24"/>
    </w:rPr>
  </w:style>
  <w:style w:type="paragraph" w:styleId="afa">
    <w:name w:val="Normal (Web)"/>
    <w:basedOn w:val="a1"/>
    <w:uiPriority w:val="99"/>
    <w:semiHidden/>
    <w:unhideWhenUsed/>
    <w:rsid w:val="00B96AF7"/>
  </w:style>
  <w:style w:type="character" w:customStyle="1" w:styleId="mord">
    <w:name w:val="mord"/>
    <w:basedOn w:val="a2"/>
    <w:rsid w:val="00B34B39"/>
  </w:style>
  <w:style w:type="character" w:customStyle="1" w:styleId="vlist-s">
    <w:name w:val="vlist-s"/>
    <w:basedOn w:val="a2"/>
    <w:rsid w:val="00B34B39"/>
  </w:style>
  <w:style w:type="character" w:customStyle="1" w:styleId="mspace">
    <w:name w:val="mspace"/>
    <w:basedOn w:val="a2"/>
    <w:rsid w:val="00B34B39"/>
  </w:style>
  <w:style w:type="character" w:customStyle="1" w:styleId="mrel">
    <w:name w:val="mrel"/>
    <w:basedOn w:val="a2"/>
    <w:rsid w:val="00303CED"/>
  </w:style>
  <w:style w:type="character" w:customStyle="1" w:styleId="mopen">
    <w:name w:val="mopen"/>
    <w:basedOn w:val="a2"/>
    <w:rsid w:val="00303CED"/>
  </w:style>
  <w:style w:type="character" w:customStyle="1" w:styleId="mpunct">
    <w:name w:val="mpunct"/>
    <w:basedOn w:val="a2"/>
    <w:rsid w:val="00303CED"/>
  </w:style>
  <w:style w:type="character" w:customStyle="1" w:styleId="mclose">
    <w:name w:val="mclose"/>
    <w:basedOn w:val="a2"/>
    <w:rsid w:val="00303CED"/>
  </w:style>
  <w:style w:type="paragraph" w:customStyle="1" w:styleId="p1">
    <w:name w:val="p1"/>
    <w:basedOn w:val="a1"/>
    <w:rsid w:val="00F96B16"/>
    <w:pPr>
      <w:widowControl/>
      <w:autoSpaceDE/>
      <w:autoSpaceDN/>
      <w:adjustRightInd/>
      <w:spacing w:beforeLines="0" w:before="100" w:beforeAutospacing="1" w:afterLines="0" w:after="100" w:afterAutospacing="1" w:line="240" w:lineRule="auto"/>
      <w:ind w:firstLineChars="0" w:firstLine="0"/>
      <w:jc w:val="left"/>
    </w:pPr>
    <w:rPr>
      <w:rFonts w:eastAsia="Times New Roman"/>
      <w:lang w:eastAsia="en-US"/>
    </w:rPr>
  </w:style>
  <w:style w:type="character" w:customStyle="1" w:styleId="s1">
    <w:name w:val="s1"/>
    <w:basedOn w:val="a2"/>
    <w:rsid w:val="00CC3EA9"/>
  </w:style>
  <w:style w:type="paragraph" w:customStyle="1" w:styleId="p2">
    <w:name w:val="p2"/>
    <w:basedOn w:val="a1"/>
    <w:rsid w:val="004B713F"/>
    <w:pPr>
      <w:widowControl/>
      <w:autoSpaceDE/>
      <w:autoSpaceDN/>
      <w:adjustRightInd/>
      <w:spacing w:beforeLines="0" w:before="100" w:beforeAutospacing="1" w:afterLines="0" w:after="100" w:afterAutospacing="1" w:line="240" w:lineRule="auto"/>
      <w:ind w:firstLineChars="0" w:firstLine="0"/>
      <w:jc w:val="left"/>
    </w:pPr>
    <w:rPr>
      <w:rFonts w:eastAsia="Times New Roman"/>
      <w:lang w:eastAsia="en-US"/>
    </w:rPr>
  </w:style>
  <w:style w:type="character" w:styleId="afb">
    <w:name w:val="Unresolved Mention"/>
    <w:basedOn w:val="a2"/>
    <w:uiPriority w:val="99"/>
    <w:semiHidden/>
    <w:unhideWhenUsed/>
    <w:rsid w:val="00CA192B"/>
    <w:rPr>
      <w:color w:val="605E5C"/>
      <w:shd w:val="clear" w:color="auto" w:fill="E1DFDD"/>
    </w:rPr>
  </w:style>
  <w:style w:type="character" w:customStyle="1" w:styleId="40">
    <w:name w:val="标题 4 字符"/>
    <w:basedOn w:val="a2"/>
    <w:link w:val="4"/>
    <w:uiPriority w:val="9"/>
    <w:semiHidden/>
    <w:rsid w:val="00C27C55"/>
    <w:rPr>
      <w:rFonts w:asciiTheme="majorHAnsi" w:eastAsiaTheme="majorEastAsia" w:hAnsiTheme="majorHAnsi" w:cstheme="majorBidi"/>
      <w:i/>
      <w:iCs/>
      <w:color w:val="2F5496" w:themeColor="accent1" w:themeShade="BF"/>
      <w:sz w:val="24"/>
      <w:szCs w:val="24"/>
    </w:rPr>
  </w:style>
  <w:style w:type="character" w:customStyle="1" w:styleId="50">
    <w:name w:val="标题 5 字符"/>
    <w:basedOn w:val="a2"/>
    <w:link w:val="5"/>
    <w:uiPriority w:val="9"/>
    <w:semiHidden/>
    <w:rsid w:val="00626A85"/>
    <w:rPr>
      <w:rFonts w:asciiTheme="majorHAnsi" w:eastAsiaTheme="majorEastAsia" w:hAnsiTheme="majorHAnsi" w:cstheme="majorBidi"/>
      <w:color w:val="1F3763" w:themeColor="accent1" w:themeShade="7F"/>
      <w:sz w:val="22"/>
      <w:szCs w:val="22"/>
      <w:lang w:eastAsia="en-US"/>
    </w:rPr>
  </w:style>
  <w:style w:type="character" w:customStyle="1" w:styleId="60">
    <w:name w:val="标题 6 字符"/>
    <w:basedOn w:val="a2"/>
    <w:link w:val="6"/>
    <w:uiPriority w:val="9"/>
    <w:semiHidden/>
    <w:rsid w:val="00626A85"/>
    <w:rPr>
      <w:rFonts w:asciiTheme="majorHAnsi" w:eastAsiaTheme="majorEastAsia" w:hAnsiTheme="majorHAnsi" w:cstheme="majorBidi"/>
      <w:i/>
      <w:iCs/>
      <w:color w:val="1F3763" w:themeColor="accent1" w:themeShade="7F"/>
      <w:sz w:val="22"/>
      <w:szCs w:val="22"/>
      <w:lang w:eastAsia="en-US"/>
    </w:rPr>
  </w:style>
  <w:style w:type="character" w:customStyle="1" w:styleId="70">
    <w:name w:val="标题 7 字符"/>
    <w:basedOn w:val="a2"/>
    <w:link w:val="7"/>
    <w:uiPriority w:val="9"/>
    <w:semiHidden/>
    <w:rsid w:val="00626A85"/>
    <w:rPr>
      <w:rFonts w:asciiTheme="majorHAnsi" w:eastAsiaTheme="majorEastAsia" w:hAnsiTheme="majorHAnsi" w:cstheme="majorBidi"/>
      <w:i/>
      <w:iCs/>
      <w:color w:val="404040" w:themeColor="text1" w:themeTint="BF"/>
      <w:sz w:val="22"/>
      <w:szCs w:val="22"/>
      <w:lang w:eastAsia="en-US"/>
    </w:rPr>
  </w:style>
  <w:style w:type="character" w:customStyle="1" w:styleId="80">
    <w:name w:val="标题 8 字符"/>
    <w:basedOn w:val="a2"/>
    <w:link w:val="8"/>
    <w:uiPriority w:val="9"/>
    <w:semiHidden/>
    <w:rsid w:val="00626A85"/>
    <w:rPr>
      <w:rFonts w:asciiTheme="majorHAnsi" w:eastAsiaTheme="majorEastAsia" w:hAnsiTheme="majorHAnsi" w:cstheme="majorBidi"/>
      <w:color w:val="4472C4" w:themeColor="accent1"/>
      <w:lang w:eastAsia="en-US"/>
    </w:rPr>
  </w:style>
  <w:style w:type="character" w:customStyle="1" w:styleId="90">
    <w:name w:val="标题 9 字符"/>
    <w:basedOn w:val="a2"/>
    <w:link w:val="9"/>
    <w:uiPriority w:val="9"/>
    <w:semiHidden/>
    <w:rsid w:val="00626A85"/>
    <w:rPr>
      <w:rFonts w:asciiTheme="majorHAnsi" w:eastAsiaTheme="majorEastAsia" w:hAnsiTheme="majorHAnsi" w:cstheme="majorBidi"/>
      <w:i/>
      <w:iCs/>
      <w:color w:val="404040" w:themeColor="text1" w:themeTint="BF"/>
      <w:lang w:eastAsia="en-US"/>
    </w:rPr>
  </w:style>
  <w:style w:type="paragraph" w:styleId="afc">
    <w:name w:val="No Spacing"/>
    <w:uiPriority w:val="1"/>
    <w:qFormat/>
    <w:rsid w:val="00626A85"/>
    <w:rPr>
      <w:rFonts w:asciiTheme="minorHAnsi" w:eastAsiaTheme="minorEastAsia" w:hAnsiTheme="minorHAnsi" w:cstheme="minorBidi"/>
      <w:sz w:val="22"/>
      <w:szCs w:val="22"/>
      <w:lang w:eastAsia="en-US"/>
    </w:rPr>
  </w:style>
  <w:style w:type="paragraph" w:styleId="afd">
    <w:name w:val="Title"/>
    <w:basedOn w:val="a1"/>
    <w:next w:val="a1"/>
    <w:link w:val="afe"/>
    <w:uiPriority w:val="10"/>
    <w:qFormat/>
    <w:rsid w:val="00626A85"/>
    <w:pPr>
      <w:widowControl/>
      <w:pBdr>
        <w:bottom w:val="single" w:sz="8" w:space="4" w:color="4472C4" w:themeColor="accent1"/>
      </w:pBdr>
      <w:autoSpaceDE/>
      <w:autoSpaceDN/>
      <w:adjustRightInd/>
      <w:spacing w:beforeLines="0" w:before="0" w:afterLines="0" w:after="300" w:line="240" w:lineRule="auto"/>
      <w:ind w:firstLineChars="0" w:firstLine="0"/>
      <w:contextualSpacing/>
      <w:jc w:val="left"/>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afe">
    <w:name w:val="标题 字符"/>
    <w:basedOn w:val="a2"/>
    <w:link w:val="afd"/>
    <w:uiPriority w:val="10"/>
    <w:rsid w:val="00626A85"/>
    <w:rPr>
      <w:rFonts w:asciiTheme="majorHAnsi" w:eastAsiaTheme="majorEastAsia" w:hAnsiTheme="majorHAnsi" w:cstheme="majorBidi"/>
      <w:color w:val="323E4F" w:themeColor="text2" w:themeShade="BF"/>
      <w:spacing w:val="5"/>
      <w:kern w:val="28"/>
      <w:sz w:val="52"/>
      <w:szCs w:val="52"/>
      <w:lang w:eastAsia="en-US"/>
    </w:rPr>
  </w:style>
  <w:style w:type="paragraph" w:styleId="aff">
    <w:name w:val="Subtitle"/>
    <w:basedOn w:val="a1"/>
    <w:next w:val="a1"/>
    <w:link w:val="aff0"/>
    <w:uiPriority w:val="11"/>
    <w:qFormat/>
    <w:rsid w:val="00626A85"/>
    <w:pPr>
      <w:widowControl/>
      <w:numPr>
        <w:ilvl w:val="1"/>
      </w:numPr>
      <w:autoSpaceDE/>
      <w:autoSpaceDN/>
      <w:adjustRightInd/>
      <w:spacing w:beforeLines="0" w:before="0" w:afterLines="0" w:after="120" w:line="276" w:lineRule="auto"/>
      <w:ind w:firstLineChars="200" w:firstLine="200"/>
      <w:jc w:val="left"/>
    </w:pPr>
    <w:rPr>
      <w:rFonts w:asciiTheme="majorHAnsi" w:eastAsiaTheme="majorEastAsia" w:hAnsiTheme="majorHAnsi" w:cstheme="majorBidi"/>
      <w:i/>
      <w:iCs/>
      <w:color w:val="4472C4" w:themeColor="accent1"/>
      <w:spacing w:val="15"/>
      <w:lang w:eastAsia="en-US"/>
    </w:rPr>
  </w:style>
  <w:style w:type="character" w:customStyle="1" w:styleId="aff0">
    <w:name w:val="副标题 字符"/>
    <w:basedOn w:val="a2"/>
    <w:link w:val="aff"/>
    <w:uiPriority w:val="11"/>
    <w:rsid w:val="00626A85"/>
    <w:rPr>
      <w:rFonts w:asciiTheme="majorHAnsi" w:eastAsiaTheme="majorEastAsia" w:hAnsiTheme="majorHAnsi" w:cstheme="majorBidi"/>
      <w:i/>
      <w:iCs/>
      <w:color w:val="4472C4" w:themeColor="accent1"/>
      <w:spacing w:val="15"/>
      <w:sz w:val="24"/>
      <w:szCs w:val="24"/>
      <w:lang w:eastAsia="en-US"/>
    </w:rPr>
  </w:style>
  <w:style w:type="paragraph" w:styleId="25">
    <w:name w:val="Body Text 2"/>
    <w:basedOn w:val="a1"/>
    <w:link w:val="26"/>
    <w:uiPriority w:val="99"/>
    <w:unhideWhenUsed/>
    <w:rsid w:val="00626A85"/>
    <w:pPr>
      <w:widowControl/>
      <w:autoSpaceDE/>
      <w:autoSpaceDN/>
      <w:adjustRightInd/>
      <w:spacing w:beforeLines="0" w:before="0" w:afterLines="0" w:after="120" w:line="480" w:lineRule="auto"/>
      <w:ind w:firstLineChars="0" w:firstLine="0"/>
      <w:jc w:val="left"/>
    </w:pPr>
    <w:rPr>
      <w:rFonts w:ascii="Cambria" w:eastAsia="Cambria" w:hAnsi="Cambria" w:cstheme="minorBidi"/>
      <w:sz w:val="22"/>
      <w:szCs w:val="22"/>
      <w:lang w:eastAsia="en-US"/>
    </w:rPr>
  </w:style>
  <w:style w:type="character" w:customStyle="1" w:styleId="26">
    <w:name w:val="正文文本 2 字符"/>
    <w:basedOn w:val="a2"/>
    <w:link w:val="25"/>
    <w:uiPriority w:val="99"/>
    <w:rsid w:val="00626A85"/>
    <w:rPr>
      <w:rFonts w:ascii="Cambria" w:eastAsia="Cambria" w:hAnsi="Cambria" w:cstheme="minorBidi"/>
      <w:sz w:val="22"/>
      <w:szCs w:val="22"/>
      <w:lang w:eastAsia="en-US"/>
    </w:rPr>
  </w:style>
  <w:style w:type="paragraph" w:styleId="34">
    <w:name w:val="Body Text 3"/>
    <w:basedOn w:val="a1"/>
    <w:link w:val="35"/>
    <w:uiPriority w:val="99"/>
    <w:unhideWhenUsed/>
    <w:rsid w:val="00626A85"/>
    <w:pPr>
      <w:widowControl/>
      <w:autoSpaceDE/>
      <w:autoSpaceDN/>
      <w:adjustRightInd/>
      <w:spacing w:beforeLines="0" w:before="0" w:afterLines="0" w:after="120" w:line="276" w:lineRule="auto"/>
      <w:ind w:firstLineChars="0" w:firstLine="0"/>
      <w:jc w:val="left"/>
    </w:pPr>
    <w:rPr>
      <w:rFonts w:ascii="Cambria" w:eastAsia="Cambria" w:hAnsi="Cambria" w:cstheme="minorBidi"/>
      <w:sz w:val="16"/>
      <w:szCs w:val="16"/>
      <w:lang w:eastAsia="en-US"/>
    </w:rPr>
  </w:style>
  <w:style w:type="character" w:customStyle="1" w:styleId="35">
    <w:name w:val="正文文本 3 字符"/>
    <w:basedOn w:val="a2"/>
    <w:link w:val="34"/>
    <w:uiPriority w:val="99"/>
    <w:rsid w:val="00626A85"/>
    <w:rPr>
      <w:rFonts w:ascii="Cambria" w:eastAsia="Cambria" w:hAnsi="Cambria" w:cstheme="minorBidi"/>
      <w:sz w:val="16"/>
      <w:szCs w:val="16"/>
      <w:lang w:eastAsia="en-US"/>
    </w:rPr>
  </w:style>
  <w:style w:type="paragraph" w:styleId="aff1">
    <w:name w:val="List"/>
    <w:basedOn w:val="a1"/>
    <w:uiPriority w:val="99"/>
    <w:unhideWhenUsed/>
    <w:rsid w:val="00626A85"/>
    <w:pPr>
      <w:widowControl/>
      <w:autoSpaceDE/>
      <w:autoSpaceDN/>
      <w:adjustRightInd/>
      <w:spacing w:beforeLines="0" w:before="0" w:afterLines="0" w:after="120" w:line="276" w:lineRule="auto"/>
      <w:ind w:left="360" w:firstLineChars="0" w:hanging="360"/>
      <w:contextualSpacing/>
      <w:jc w:val="left"/>
    </w:pPr>
    <w:rPr>
      <w:rFonts w:ascii="Cambria" w:eastAsia="Cambria" w:hAnsi="Cambria" w:cstheme="minorBidi"/>
      <w:sz w:val="22"/>
      <w:szCs w:val="22"/>
      <w:lang w:eastAsia="en-US"/>
    </w:rPr>
  </w:style>
  <w:style w:type="paragraph" w:styleId="27">
    <w:name w:val="List 2"/>
    <w:basedOn w:val="a1"/>
    <w:uiPriority w:val="99"/>
    <w:unhideWhenUsed/>
    <w:rsid w:val="00626A85"/>
    <w:pPr>
      <w:widowControl/>
      <w:autoSpaceDE/>
      <w:autoSpaceDN/>
      <w:adjustRightInd/>
      <w:spacing w:beforeLines="0" w:before="0" w:afterLines="0" w:after="120" w:line="276" w:lineRule="auto"/>
      <w:ind w:left="720" w:firstLineChars="0" w:hanging="360"/>
      <w:contextualSpacing/>
      <w:jc w:val="left"/>
    </w:pPr>
    <w:rPr>
      <w:rFonts w:ascii="Cambria" w:eastAsia="Cambria" w:hAnsi="Cambria" w:cstheme="minorBidi"/>
      <w:sz w:val="22"/>
      <w:szCs w:val="22"/>
      <w:lang w:eastAsia="en-US"/>
    </w:rPr>
  </w:style>
  <w:style w:type="paragraph" w:styleId="36">
    <w:name w:val="List 3"/>
    <w:basedOn w:val="a1"/>
    <w:uiPriority w:val="99"/>
    <w:unhideWhenUsed/>
    <w:rsid w:val="00626A85"/>
    <w:pPr>
      <w:widowControl/>
      <w:autoSpaceDE/>
      <w:autoSpaceDN/>
      <w:adjustRightInd/>
      <w:spacing w:beforeLines="0" w:before="0" w:afterLines="0" w:after="120" w:line="276" w:lineRule="auto"/>
      <w:ind w:left="1080" w:firstLineChars="0" w:hanging="360"/>
      <w:contextualSpacing/>
      <w:jc w:val="left"/>
    </w:pPr>
    <w:rPr>
      <w:rFonts w:ascii="Cambria" w:eastAsia="Cambria" w:hAnsi="Cambria" w:cstheme="minorBidi"/>
      <w:sz w:val="22"/>
      <w:szCs w:val="22"/>
      <w:lang w:eastAsia="en-US"/>
    </w:rPr>
  </w:style>
  <w:style w:type="paragraph" w:styleId="a0">
    <w:name w:val="List Bullet"/>
    <w:basedOn w:val="a1"/>
    <w:uiPriority w:val="99"/>
    <w:unhideWhenUsed/>
    <w:rsid w:val="00626A85"/>
    <w:pPr>
      <w:widowControl/>
      <w:numPr>
        <w:numId w:val="15"/>
      </w:numPr>
      <w:tabs>
        <w:tab w:val="clear" w:pos="360"/>
      </w:tabs>
      <w:autoSpaceDE/>
      <w:autoSpaceDN/>
      <w:adjustRightInd/>
      <w:spacing w:beforeLines="0" w:before="0" w:afterLines="0" w:after="120" w:line="276" w:lineRule="auto"/>
      <w:ind w:left="0" w:firstLineChars="0" w:firstLine="0"/>
      <w:contextualSpacing/>
      <w:jc w:val="left"/>
    </w:pPr>
    <w:rPr>
      <w:rFonts w:ascii="Cambria" w:eastAsia="Cambria" w:hAnsi="Cambria" w:cstheme="minorBidi"/>
      <w:sz w:val="22"/>
      <w:szCs w:val="22"/>
      <w:lang w:eastAsia="en-US"/>
    </w:rPr>
  </w:style>
  <w:style w:type="paragraph" w:styleId="20">
    <w:name w:val="List Bullet 2"/>
    <w:basedOn w:val="a1"/>
    <w:uiPriority w:val="99"/>
    <w:unhideWhenUsed/>
    <w:rsid w:val="00626A85"/>
    <w:pPr>
      <w:widowControl/>
      <w:numPr>
        <w:numId w:val="16"/>
      </w:numPr>
      <w:tabs>
        <w:tab w:val="clear" w:pos="720"/>
      </w:tabs>
      <w:autoSpaceDE/>
      <w:autoSpaceDN/>
      <w:adjustRightInd/>
      <w:spacing w:beforeLines="0" w:before="0" w:afterLines="0" w:after="120" w:line="276" w:lineRule="auto"/>
      <w:ind w:left="0" w:firstLineChars="0" w:firstLine="0"/>
      <w:contextualSpacing/>
      <w:jc w:val="left"/>
    </w:pPr>
    <w:rPr>
      <w:rFonts w:ascii="Cambria" w:eastAsia="Cambria" w:hAnsi="Cambria" w:cstheme="minorBidi"/>
      <w:sz w:val="22"/>
      <w:szCs w:val="22"/>
      <w:lang w:eastAsia="en-US"/>
    </w:rPr>
  </w:style>
  <w:style w:type="paragraph" w:styleId="30">
    <w:name w:val="List Bullet 3"/>
    <w:basedOn w:val="a1"/>
    <w:uiPriority w:val="99"/>
    <w:unhideWhenUsed/>
    <w:rsid w:val="00626A85"/>
    <w:pPr>
      <w:widowControl/>
      <w:numPr>
        <w:numId w:val="17"/>
      </w:numPr>
      <w:tabs>
        <w:tab w:val="clear" w:pos="1080"/>
      </w:tabs>
      <w:autoSpaceDE/>
      <w:autoSpaceDN/>
      <w:adjustRightInd/>
      <w:spacing w:beforeLines="0" w:before="0" w:afterLines="0" w:after="120" w:line="276" w:lineRule="auto"/>
      <w:ind w:left="0" w:firstLineChars="0" w:firstLine="0"/>
      <w:contextualSpacing/>
      <w:jc w:val="left"/>
    </w:pPr>
    <w:rPr>
      <w:rFonts w:ascii="Cambria" w:eastAsia="Cambria" w:hAnsi="Cambria" w:cstheme="minorBidi"/>
      <w:sz w:val="22"/>
      <w:szCs w:val="22"/>
      <w:lang w:eastAsia="en-US"/>
    </w:rPr>
  </w:style>
  <w:style w:type="paragraph" w:styleId="a">
    <w:name w:val="List Number"/>
    <w:basedOn w:val="a1"/>
    <w:uiPriority w:val="99"/>
    <w:unhideWhenUsed/>
    <w:rsid w:val="00626A85"/>
    <w:pPr>
      <w:widowControl/>
      <w:numPr>
        <w:numId w:val="19"/>
      </w:numPr>
      <w:tabs>
        <w:tab w:val="clear" w:pos="360"/>
      </w:tabs>
      <w:autoSpaceDE/>
      <w:autoSpaceDN/>
      <w:adjustRightInd/>
      <w:spacing w:beforeLines="0" w:before="0" w:afterLines="0" w:after="120" w:line="276" w:lineRule="auto"/>
      <w:ind w:left="0" w:firstLineChars="0" w:firstLine="0"/>
      <w:contextualSpacing/>
      <w:jc w:val="left"/>
    </w:pPr>
    <w:rPr>
      <w:rFonts w:ascii="Cambria" w:eastAsia="Cambria" w:hAnsi="Cambria" w:cstheme="minorBidi"/>
      <w:sz w:val="22"/>
      <w:szCs w:val="22"/>
      <w:lang w:eastAsia="en-US"/>
    </w:rPr>
  </w:style>
  <w:style w:type="paragraph" w:styleId="2">
    <w:name w:val="List Number 2"/>
    <w:basedOn w:val="a1"/>
    <w:uiPriority w:val="99"/>
    <w:unhideWhenUsed/>
    <w:rsid w:val="00626A85"/>
    <w:pPr>
      <w:widowControl/>
      <w:numPr>
        <w:numId w:val="20"/>
      </w:numPr>
      <w:tabs>
        <w:tab w:val="clear" w:pos="720"/>
      </w:tabs>
      <w:autoSpaceDE/>
      <w:autoSpaceDN/>
      <w:adjustRightInd/>
      <w:spacing w:beforeLines="0" w:before="0" w:afterLines="0" w:after="120" w:line="276" w:lineRule="auto"/>
      <w:ind w:left="0" w:firstLineChars="0" w:firstLine="0"/>
      <w:contextualSpacing/>
      <w:jc w:val="left"/>
    </w:pPr>
    <w:rPr>
      <w:rFonts w:ascii="Cambria" w:eastAsia="Cambria" w:hAnsi="Cambria" w:cstheme="minorBidi"/>
      <w:sz w:val="22"/>
      <w:szCs w:val="22"/>
      <w:lang w:eastAsia="en-US"/>
    </w:rPr>
  </w:style>
  <w:style w:type="paragraph" w:styleId="3">
    <w:name w:val="List Number 3"/>
    <w:basedOn w:val="a1"/>
    <w:uiPriority w:val="99"/>
    <w:unhideWhenUsed/>
    <w:rsid w:val="00626A85"/>
    <w:pPr>
      <w:widowControl/>
      <w:numPr>
        <w:numId w:val="21"/>
      </w:numPr>
      <w:tabs>
        <w:tab w:val="clear" w:pos="1080"/>
      </w:tabs>
      <w:autoSpaceDE/>
      <w:autoSpaceDN/>
      <w:adjustRightInd/>
      <w:spacing w:beforeLines="0" w:before="0" w:afterLines="0" w:after="120" w:line="276" w:lineRule="auto"/>
      <w:ind w:left="0" w:firstLineChars="0" w:firstLine="0"/>
      <w:contextualSpacing/>
      <w:jc w:val="left"/>
    </w:pPr>
    <w:rPr>
      <w:rFonts w:ascii="Cambria" w:eastAsia="Cambria" w:hAnsi="Cambria" w:cstheme="minorBidi"/>
      <w:sz w:val="22"/>
      <w:szCs w:val="22"/>
      <w:lang w:eastAsia="en-US"/>
    </w:rPr>
  </w:style>
  <w:style w:type="paragraph" w:styleId="aff2">
    <w:name w:val="List Continue"/>
    <w:basedOn w:val="a1"/>
    <w:uiPriority w:val="99"/>
    <w:unhideWhenUsed/>
    <w:rsid w:val="00626A85"/>
    <w:pPr>
      <w:widowControl/>
      <w:autoSpaceDE/>
      <w:autoSpaceDN/>
      <w:adjustRightInd/>
      <w:spacing w:beforeLines="0" w:before="0" w:afterLines="0" w:after="120" w:line="276" w:lineRule="auto"/>
      <w:ind w:left="360" w:firstLineChars="0" w:firstLine="0"/>
      <w:contextualSpacing/>
      <w:jc w:val="left"/>
    </w:pPr>
    <w:rPr>
      <w:rFonts w:ascii="Cambria" w:eastAsia="Cambria" w:hAnsi="Cambria" w:cstheme="minorBidi"/>
      <w:sz w:val="22"/>
      <w:szCs w:val="22"/>
      <w:lang w:eastAsia="en-US"/>
    </w:rPr>
  </w:style>
  <w:style w:type="paragraph" w:styleId="28">
    <w:name w:val="List Continue 2"/>
    <w:basedOn w:val="a1"/>
    <w:uiPriority w:val="99"/>
    <w:unhideWhenUsed/>
    <w:rsid w:val="00626A85"/>
    <w:pPr>
      <w:widowControl/>
      <w:autoSpaceDE/>
      <w:autoSpaceDN/>
      <w:adjustRightInd/>
      <w:spacing w:beforeLines="0" w:before="0" w:afterLines="0" w:after="120" w:line="276" w:lineRule="auto"/>
      <w:ind w:left="720" w:firstLineChars="0" w:firstLine="0"/>
      <w:contextualSpacing/>
      <w:jc w:val="left"/>
    </w:pPr>
    <w:rPr>
      <w:rFonts w:ascii="Cambria" w:eastAsia="Cambria" w:hAnsi="Cambria" w:cstheme="minorBidi"/>
      <w:sz w:val="22"/>
      <w:szCs w:val="22"/>
      <w:lang w:eastAsia="en-US"/>
    </w:rPr>
  </w:style>
  <w:style w:type="paragraph" w:styleId="37">
    <w:name w:val="List Continue 3"/>
    <w:basedOn w:val="a1"/>
    <w:uiPriority w:val="99"/>
    <w:unhideWhenUsed/>
    <w:rsid w:val="00626A85"/>
    <w:pPr>
      <w:widowControl/>
      <w:autoSpaceDE/>
      <w:autoSpaceDN/>
      <w:adjustRightInd/>
      <w:spacing w:beforeLines="0" w:before="0" w:afterLines="0" w:after="120" w:line="276" w:lineRule="auto"/>
      <w:ind w:left="1080" w:firstLineChars="0" w:firstLine="0"/>
      <w:contextualSpacing/>
      <w:jc w:val="left"/>
    </w:pPr>
    <w:rPr>
      <w:rFonts w:ascii="Cambria" w:eastAsia="Cambria" w:hAnsi="Cambria" w:cstheme="minorBidi"/>
      <w:sz w:val="22"/>
      <w:szCs w:val="22"/>
      <w:lang w:eastAsia="en-US"/>
    </w:rPr>
  </w:style>
  <w:style w:type="paragraph" w:styleId="aff3">
    <w:name w:val="macro"/>
    <w:link w:val="aff4"/>
    <w:uiPriority w:val="99"/>
    <w:unhideWhenUsed/>
    <w:rsid w:val="00626A85"/>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eastAsia="en-US"/>
    </w:rPr>
  </w:style>
  <w:style w:type="character" w:customStyle="1" w:styleId="aff4">
    <w:name w:val="宏文本 字符"/>
    <w:basedOn w:val="a2"/>
    <w:link w:val="aff3"/>
    <w:uiPriority w:val="99"/>
    <w:rsid w:val="00626A85"/>
    <w:rPr>
      <w:rFonts w:ascii="Courier" w:eastAsiaTheme="minorEastAsia" w:hAnsi="Courier" w:cstheme="minorBidi"/>
      <w:lang w:eastAsia="en-US"/>
    </w:rPr>
  </w:style>
  <w:style w:type="paragraph" w:styleId="aff5">
    <w:name w:val="Quote"/>
    <w:basedOn w:val="a1"/>
    <w:next w:val="a1"/>
    <w:link w:val="aff6"/>
    <w:uiPriority w:val="29"/>
    <w:qFormat/>
    <w:rsid w:val="00626A85"/>
    <w:pPr>
      <w:widowControl/>
      <w:autoSpaceDE/>
      <w:autoSpaceDN/>
      <w:adjustRightInd/>
      <w:spacing w:beforeLines="0" w:before="0" w:afterLines="0" w:after="120" w:line="276" w:lineRule="auto"/>
      <w:ind w:firstLineChars="0" w:firstLine="0"/>
      <w:jc w:val="left"/>
    </w:pPr>
    <w:rPr>
      <w:rFonts w:ascii="Cambria" w:eastAsia="Cambria" w:hAnsi="Cambria" w:cstheme="minorBidi"/>
      <w:i/>
      <w:iCs/>
      <w:color w:val="000000" w:themeColor="text1"/>
      <w:sz w:val="22"/>
      <w:szCs w:val="22"/>
      <w:lang w:eastAsia="en-US"/>
    </w:rPr>
  </w:style>
  <w:style w:type="character" w:customStyle="1" w:styleId="aff6">
    <w:name w:val="引用 字符"/>
    <w:basedOn w:val="a2"/>
    <w:link w:val="aff5"/>
    <w:uiPriority w:val="29"/>
    <w:rsid w:val="00626A85"/>
    <w:rPr>
      <w:rFonts w:ascii="Cambria" w:eastAsia="Cambria" w:hAnsi="Cambria" w:cstheme="minorBidi"/>
      <w:i/>
      <w:iCs/>
      <w:color w:val="000000" w:themeColor="text1"/>
      <w:sz w:val="22"/>
      <w:szCs w:val="22"/>
      <w:lang w:eastAsia="en-US"/>
    </w:rPr>
  </w:style>
  <w:style w:type="paragraph" w:styleId="aff7">
    <w:name w:val="caption"/>
    <w:basedOn w:val="a1"/>
    <w:next w:val="a1"/>
    <w:uiPriority w:val="35"/>
    <w:semiHidden/>
    <w:unhideWhenUsed/>
    <w:qFormat/>
    <w:rsid w:val="00626A85"/>
    <w:pPr>
      <w:widowControl/>
      <w:autoSpaceDE/>
      <w:autoSpaceDN/>
      <w:adjustRightInd/>
      <w:spacing w:beforeLines="0" w:before="0" w:afterLines="0" w:after="120" w:line="240" w:lineRule="auto"/>
      <w:ind w:firstLineChars="0" w:firstLine="0"/>
      <w:jc w:val="left"/>
    </w:pPr>
    <w:rPr>
      <w:rFonts w:ascii="Cambria" w:eastAsia="Cambria" w:hAnsi="Cambria" w:cstheme="minorBidi"/>
      <w:b/>
      <w:bCs/>
      <w:color w:val="4472C4" w:themeColor="accent1"/>
      <w:sz w:val="18"/>
      <w:szCs w:val="18"/>
      <w:lang w:eastAsia="en-US"/>
    </w:rPr>
  </w:style>
  <w:style w:type="character" w:styleId="aff8">
    <w:name w:val="Strong"/>
    <w:basedOn w:val="a2"/>
    <w:uiPriority w:val="22"/>
    <w:qFormat/>
    <w:rsid w:val="00626A85"/>
    <w:rPr>
      <w:b/>
      <w:bCs/>
    </w:rPr>
  </w:style>
  <w:style w:type="character" w:styleId="aff9">
    <w:name w:val="Emphasis"/>
    <w:basedOn w:val="a2"/>
    <w:uiPriority w:val="20"/>
    <w:qFormat/>
    <w:rsid w:val="00626A85"/>
    <w:rPr>
      <w:i/>
      <w:iCs/>
    </w:rPr>
  </w:style>
  <w:style w:type="paragraph" w:styleId="affa">
    <w:name w:val="Intense Quote"/>
    <w:basedOn w:val="a1"/>
    <w:next w:val="a1"/>
    <w:link w:val="affb"/>
    <w:uiPriority w:val="30"/>
    <w:qFormat/>
    <w:rsid w:val="00626A85"/>
    <w:pPr>
      <w:widowControl/>
      <w:pBdr>
        <w:bottom w:val="single" w:sz="4" w:space="4" w:color="4472C4" w:themeColor="accent1"/>
      </w:pBdr>
      <w:autoSpaceDE/>
      <w:autoSpaceDN/>
      <w:adjustRightInd/>
      <w:spacing w:beforeLines="0" w:before="200" w:afterLines="0" w:after="280" w:line="276" w:lineRule="auto"/>
      <w:ind w:left="936" w:right="936" w:firstLineChars="0" w:firstLine="0"/>
      <w:jc w:val="left"/>
    </w:pPr>
    <w:rPr>
      <w:rFonts w:ascii="Cambria" w:eastAsia="Cambria" w:hAnsi="Cambria" w:cstheme="minorBidi"/>
      <w:b/>
      <w:bCs/>
      <w:i/>
      <w:iCs/>
      <w:color w:val="4472C4" w:themeColor="accent1"/>
      <w:sz w:val="22"/>
      <w:szCs w:val="22"/>
      <w:lang w:eastAsia="en-US"/>
    </w:rPr>
  </w:style>
  <w:style w:type="character" w:customStyle="1" w:styleId="affb">
    <w:name w:val="明显引用 字符"/>
    <w:basedOn w:val="a2"/>
    <w:link w:val="affa"/>
    <w:uiPriority w:val="30"/>
    <w:rsid w:val="00626A85"/>
    <w:rPr>
      <w:rFonts w:ascii="Cambria" w:eastAsia="Cambria" w:hAnsi="Cambria" w:cstheme="minorBidi"/>
      <w:b/>
      <w:bCs/>
      <w:i/>
      <w:iCs/>
      <w:color w:val="4472C4" w:themeColor="accent1"/>
      <w:sz w:val="22"/>
      <w:szCs w:val="22"/>
      <w:lang w:eastAsia="en-US"/>
    </w:rPr>
  </w:style>
  <w:style w:type="character" w:styleId="affc">
    <w:name w:val="Subtle Emphasis"/>
    <w:basedOn w:val="a2"/>
    <w:uiPriority w:val="19"/>
    <w:qFormat/>
    <w:rsid w:val="00626A85"/>
    <w:rPr>
      <w:i/>
      <w:iCs/>
      <w:color w:val="808080" w:themeColor="text1" w:themeTint="7F"/>
    </w:rPr>
  </w:style>
  <w:style w:type="character" w:styleId="affd">
    <w:name w:val="Intense Emphasis"/>
    <w:basedOn w:val="a2"/>
    <w:uiPriority w:val="21"/>
    <w:qFormat/>
    <w:rsid w:val="00626A85"/>
    <w:rPr>
      <w:b/>
      <w:bCs/>
      <w:i/>
      <w:iCs/>
      <w:color w:val="4472C4" w:themeColor="accent1"/>
    </w:rPr>
  </w:style>
  <w:style w:type="character" w:styleId="affe">
    <w:name w:val="Subtle Reference"/>
    <w:basedOn w:val="a2"/>
    <w:uiPriority w:val="31"/>
    <w:qFormat/>
    <w:rsid w:val="00626A85"/>
    <w:rPr>
      <w:smallCaps/>
      <w:color w:val="ED7D31" w:themeColor="accent2"/>
      <w:u w:val="single"/>
    </w:rPr>
  </w:style>
  <w:style w:type="character" w:styleId="afff">
    <w:name w:val="Intense Reference"/>
    <w:basedOn w:val="a2"/>
    <w:uiPriority w:val="32"/>
    <w:qFormat/>
    <w:rsid w:val="00626A85"/>
    <w:rPr>
      <w:b/>
      <w:bCs/>
      <w:smallCaps/>
      <w:color w:val="ED7D31" w:themeColor="accent2"/>
      <w:spacing w:val="5"/>
      <w:u w:val="single"/>
    </w:rPr>
  </w:style>
  <w:style w:type="character" w:styleId="afff0">
    <w:name w:val="Book Title"/>
    <w:basedOn w:val="a2"/>
    <w:uiPriority w:val="33"/>
    <w:qFormat/>
    <w:rsid w:val="00626A85"/>
    <w:rPr>
      <w:b/>
      <w:bCs/>
      <w:smallCaps/>
      <w:spacing w:val="5"/>
    </w:rPr>
  </w:style>
  <w:style w:type="paragraph" w:styleId="TOC">
    <w:name w:val="TOC Heading"/>
    <w:basedOn w:val="1"/>
    <w:next w:val="a1"/>
    <w:uiPriority w:val="39"/>
    <w:semiHidden/>
    <w:unhideWhenUsed/>
    <w:qFormat/>
    <w:rsid w:val="00626A85"/>
    <w:pPr>
      <w:keepNext/>
      <w:keepLines/>
      <w:widowControl/>
      <w:adjustRightInd/>
      <w:spacing w:beforeLines="0" w:before="240" w:afterLines="0" w:after="80" w:line="276" w:lineRule="auto"/>
      <w:jc w:val="left"/>
      <w:outlineLvl w:val="9"/>
    </w:pPr>
    <w:rPr>
      <w:rFonts w:asciiTheme="majorHAnsi" w:eastAsiaTheme="majorEastAsia" w:hAnsiTheme="majorHAnsi" w:cstheme="majorBidi"/>
      <w:color w:val="1A3A57"/>
      <w:kern w:val="0"/>
      <w:sz w:val="26"/>
      <w:szCs w:val="28"/>
      <w:lang w:eastAsia="en-US"/>
    </w:rPr>
  </w:style>
  <w:style w:type="table" w:styleId="afff1">
    <w:name w:val="Light Shading"/>
    <w:basedOn w:val="a3"/>
    <w:uiPriority w:val="60"/>
    <w:rsid w:val="00626A85"/>
    <w:rPr>
      <w:rFonts w:asciiTheme="minorHAnsi" w:eastAsiaTheme="minorEastAsia"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626A85"/>
    <w:rPr>
      <w:rFonts w:asciiTheme="minorHAnsi" w:eastAsiaTheme="minorEastAsia" w:hAnsiTheme="minorHAnsi" w:cstheme="minorBidi"/>
      <w:color w:val="2F5496" w:themeColor="accent1" w:themeShade="BF"/>
      <w:sz w:val="22"/>
      <w:szCs w:val="22"/>
      <w:lang w:eastAsia="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
    <w:name w:val="Light Shading Accent 2"/>
    <w:basedOn w:val="a3"/>
    <w:uiPriority w:val="60"/>
    <w:rsid w:val="00626A85"/>
    <w:rPr>
      <w:rFonts w:asciiTheme="minorHAnsi" w:eastAsiaTheme="minorEastAsia" w:hAnsiTheme="minorHAnsi" w:cstheme="minorBidi"/>
      <w:color w:val="C45911" w:themeColor="accent2" w:themeShade="BF"/>
      <w:sz w:val="22"/>
      <w:szCs w:val="22"/>
      <w:lang w:eastAsia="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rsid w:val="00626A85"/>
    <w:rPr>
      <w:rFonts w:asciiTheme="minorHAnsi" w:eastAsiaTheme="minorEastAsia" w:hAnsiTheme="minorHAnsi" w:cstheme="minorBidi"/>
      <w:color w:val="7B7B7B" w:themeColor="accent3" w:themeShade="BF"/>
      <w:sz w:val="22"/>
      <w:szCs w:val="22"/>
      <w:lang w:eastAsia="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rsid w:val="00626A85"/>
    <w:rPr>
      <w:rFonts w:asciiTheme="minorHAnsi" w:eastAsiaTheme="minorEastAsia" w:hAnsiTheme="minorHAnsi" w:cstheme="minorBidi"/>
      <w:color w:val="BF8F00" w:themeColor="accent4" w:themeShade="BF"/>
      <w:sz w:val="22"/>
      <w:szCs w:val="22"/>
      <w:lang w:eastAsia="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rsid w:val="00626A85"/>
    <w:rPr>
      <w:rFonts w:asciiTheme="minorHAnsi" w:eastAsiaTheme="minorEastAsia" w:hAnsiTheme="minorHAnsi" w:cstheme="minorBidi"/>
      <w:color w:val="2E74B5" w:themeColor="accent5" w:themeShade="BF"/>
      <w:sz w:val="22"/>
      <w:szCs w:val="22"/>
      <w:lang w:eastAsia="en-U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Shading Accent 6"/>
    <w:basedOn w:val="a3"/>
    <w:uiPriority w:val="60"/>
    <w:rsid w:val="00626A85"/>
    <w:rPr>
      <w:rFonts w:asciiTheme="minorHAnsi" w:eastAsiaTheme="minorEastAsia" w:hAnsiTheme="minorHAnsi" w:cstheme="minorBidi"/>
      <w:color w:val="538135" w:themeColor="accent6" w:themeShade="BF"/>
      <w:sz w:val="22"/>
      <w:szCs w:val="22"/>
      <w:lang w:eastAsia="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2">
    <w:name w:val="Light List"/>
    <w:basedOn w:val="a3"/>
    <w:uiPriority w:val="61"/>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0">
    <w:name w:val="Light List Accent 2"/>
    <w:basedOn w:val="a3"/>
    <w:uiPriority w:val="61"/>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0">
    <w:name w:val="Light List Accent 6"/>
    <w:basedOn w:val="a3"/>
    <w:uiPriority w:val="61"/>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3">
    <w:name w:val="Light Grid"/>
    <w:basedOn w:val="a3"/>
    <w:uiPriority w:val="62"/>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1">
    <w:name w:val="Light Grid Accent 2"/>
    <w:basedOn w:val="a3"/>
    <w:uiPriority w:val="62"/>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3"/>
    <w:uiPriority w:val="62"/>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1">
    <w:name w:val="Light Grid Accent 4"/>
    <w:basedOn w:val="a3"/>
    <w:uiPriority w:val="62"/>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1">
    <w:name w:val="Light Grid Accent 5"/>
    <w:basedOn w:val="a3"/>
    <w:uiPriority w:val="62"/>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1">
    <w:name w:val="Light Grid Accent 6"/>
    <w:basedOn w:val="a3"/>
    <w:uiPriority w:val="62"/>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5">
    <w:name w:val="Medium Shading 1"/>
    <w:basedOn w:val="a3"/>
    <w:uiPriority w:val="63"/>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626A85"/>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626A85"/>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626A85"/>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626A85"/>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626A85"/>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626A85"/>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626A85"/>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6">
    <w:name w:val="Medium List 1"/>
    <w:basedOn w:val="a3"/>
    <w:uiPriority w:val="65"/>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0">
    <w:name w:val="Medium List 1 Accent 2"/>
    <w:basedOn w:val="a3"/>
    <w:uiPriority w:val="65"/>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a3"/>
    <w:uiPriority w:val="65"/>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a">
    <w:name w:val="Medium List 2"/>
    <w:basedOn w:val="a3"/>
    <w:uiPriority w:val="66"/>
    <w:rsid w:val="00626A8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626A8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626A8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626A8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626A8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626A8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626A8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7">
    <w:name w:val="Medium Grid 1"/>
    <w:basedOn w:val="a3"/>
    <w:uiPriority w:val="67"/>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1">
    <w:name w:val="Medium Grid 1 Accent 2"/>
    <w:basedOn w:val="a3"/>
    <w:uiPriority w:val="67"/>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3"/>
    <w:uiPriority w:val="67"/>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3"/>
    <w:uiPriority w:val="67"/>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3"/>
    <w:uiPriority w:val="67"/>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3"/>
    <w:uiPriority w:val="67"/>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b">
    <w:name w:val="Medium Grid 2"/>
    <w:basedOn w:val="a3"/>
    <w:uiPriority w:val="68"/>
    <w:rsid w:val="00626A8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626A8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626A8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626A8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626A8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626A8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626A8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8">
    <w:name w:val="Medium Grid 3"/>
    <w:basedOn w:val="a3"/>
    <w:uiPriority w:val="69"/>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
    <w:name w:val="Medium Grid 3 Accent 2"/>
    <w:basedOn w:val="a3"/>
    <w:uiPriority w:val="69"/>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3"/>
    <w:uiPriority w:val="69"/>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3"/>
    <w:uiPriority w:val="69"/>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3"/>
    <w:uiPriority w:val="69"/>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3"/>
    <w:uiPriority w:val="69"/>
    <w:rsid w:val="00626A85"/>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4">
    <w:name w:val="Dark List"/>
    <w:basedOn w:val="a3"/>
    <w:uiPriority w:val="70"/>
    <w:rsid w:val="00626A85"/>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626A85"/>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2">
    <w:name w:val="Dark List Accent 2"/>
    <w:basedOn w:val="a3"/>
    <w:uiPriority w:val="70"/>
    <w:rsid w:val="00626A85"/>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3"/>
    <w:uiPriority w:val="70"/>
    <w:rsid w:val="00626A85"/>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3"/>
    <w:uiPriority w:val="70"/>
    <w:rsid w:val="00626A85"/>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3"/>
    <w:uiPriority w:val="70"/>
    <w:rsid w:val="00626A85"/>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3"/>
    <w:uiPriority w:val="70"/>
    <w:rsid w:val="00626A85"/>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f5">
    <w:name w:val="Colorful Shading"/>
    <w:basedOn w:val="a3"/>
    <w:uiPriority w:val="71"/>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3">
    <w:name w:val="Colorful Shading Accent 4"/>
    <w:basedOn w:val="a3"/>
    <w:uiPriority w:val="71"/>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6">
    <w:name w:val="Colorful List"/>
    <w:basedOn w:val="a3"/>
    <w:uiPriority w:val="72"/>
    <w:rsid w:val="00626A85"/>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626A85"/>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4">
    <w:name w:val="Colorful List Accent 2"/>
    <w:basedOn w:val="a3"/>
    <w:uiPriority w:val="72"/>
    <w:rsid w:val="00626A85"/>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4">
    <w:name w:val="Colorful List Accent 3"/>
    <w:basedOn w:val="a3"/>
    <w:uiPriority w:val="72"/>
    <w:rsid w:val="00626A85"/>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4">
    <w:name w:val="Colorful List Accent 4"/>
    <w:basedOn w:val="a3"/>
    <w:uiPriority w:val="72"/>
    <w:rsid w:val="00626A85"/>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3"/>
    <w:uiPriority w:val="72"/>
    <w:rsid w:val="00626A85"/>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4">
    <w:name w:val="Colorful List Accent 6"/>
    <w:basedOn w:val="a3"/>
    <w:uiPriority w:val="72"/>
    <w:rsid w:val="00626A85"/>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f7">
    <w:name w:val="Colorful Grid"/>
    <w:basedOn w:val="a3"/>
    <w:uiPriority w:val="73"/>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5">
    <w:name w:val="Colorful Grid Accent 2"/>
    <w:basedOn w:val="a3"/>
    <w:uiPriority w:val="73"/>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5">
    <w:name w:val="Colorful Grid Accent 3"/>
    <w:basedOn w:val="a3"/>
    <w:uiPriority w:val="73"/>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3"/>
    <w:uiPriority w:val="73"/>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3"/>
    <w:uiPriority w:val="73"/>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5">
    <w:name w:val="Colorful Grid Accent 6"/>
    <w:basedOn w:val="a3"/>
    <w:uiPriority w:val="73"/>
    <w:rsid w:val="00626A85"/>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CustomTitle">
    <w:name w:val="CustomTitle"/>
    <w:basedOn w:val="a1"/>
    <w:rsid w:val="00626A85"/>
    <w:pPr>
      <w:widowControl/>
      <w:autoSpaceDE/>
      <w:autoSpaceDN/>
      <w:adjustRightInd/>
      <w:spacing w:beforeLines="0" w:before="0" w:afterLines="0" w:after="80" w:line="240" w:lineRule="auto"/>
      <w:ind w:firstLineChars="0" w:firstLine="0"/>
      <w:jc w:val="left"/>
    </w:pPr>
    <w:rPr>
      <w:rFonts w:ascii="Cambria" w:eastAsia="Cambria" w:hAnsi="Cambria" w:cstheme="minorBidi"/>
      <w:b/>
      <w:color w:val="1A3A57"/>
      <w:sz w:val="36"/>
      <w:szCs w:val="22"/>
      <w:lang w:eastAsia="en-US"/>
    </w:rPr>
  </w:style>
  <w:style w:type="paragraph" w:customStyle="1" w:styleId="CustomSubtitle">
    <w:name w:val="CustomSubtitle"/>
    <w:basedOn w:val="a1"/>
    <w:rsid w:val="00626A85"/>
    <w:pPr>
      <w:widowControl/>
      <w:autoSpaceDE/>
      <w:autoSpaceDN/>
      <w:adjustRightInd/>
      <w:spacing w:beforeLines="0" w:before="0" w:afterLines="0" w:after="200" w:line="276" w:lineRule="auto"/>
      <w:ind w:firstLineChars="0" w:firstLine="0"/>
      <w:jc w:val="left"/>
    </w:pPr>
    <w:rPr>
      <w:rFonts w:ascii="Cambria" w:eastAsia="Cambria" w:hAnsi="Cambria" w:cstheme="minorBidi"/>
      <w:i/>
      <w:color w:val="5A5A5A"/>
      <w:sz w:val="21"/>
      <w:szCs w:val="22"/>
      <w:lang w:eastAsia="en-US"/>
    </w:rPr>
  </w:style>
  <w:style w:type="paragraph" w:customStyle="1" w:styleId="EquationStyle">
    <w:name w:val="EquationStyle"/>
    <w:basedOn w:val="a1"/>
    <w:rsid w:val="00626A85"/>
    <w:pPr>
      <w:widowControl/>
      <w:autoSpaceDE/>
      <w:autoSpaceDN/>
      <w:adjustRightInd/>
      <w:spacing w:beforeLines="0" w:before="40" w:afterLines="0" w:after="40" w:line="252" w:lineRule="auto"/>
      <w:ind w:firstLineChars="0" w:firstLine="0"/>
      <w:jc w:val="center"/>
    </w:pPr>
    <w:rPr>
      <w:rFonts w:ascii="Cambria Math" w:eastAsia="Cambria Math" w:hAnsi="Cambria Math" w:cstheme="minorBidi"/>
      <w:sz w:val="23"/>
      <w:szCs w:val="22"/>
      <w:lang w:eastAsia="en-US"/>
    </w:rPr>
  </w:style>
  <w:style w:type="paragraph" w:customStyle="1" w:styleId="SmallText">
    <w:name w:val="SmallText"/>
    <w:basedOn w:val="a1"/>
    <w:rsid w:val="00626A85"/>
    <w:pPr>
      <w:widowControl/>
      <w:autoSpaceDE/>
      <w:autoSpaceDN/>
      <w:adjustRightInd/>
      <w:spacing w:beforeLines="0" w:before="0" w:afterLines="0" w:after="60" w:line="264" w:lineRule="auto"/>
      <w:ind w:firstLineChars="0" w:firstLine="0"/>
      <w:jc w:val="left"/>
    </w:pPr>
    <w:rPr>
      <w:rFonts w:ascii="Cambria" w:eastAsia="Cambria" w:hAnsi="Cambria" w:cstheme="minorBidi"/>
      <w:color w:val="464646"/>
      <w:sz w:val="19"/>
      <w:szCs w:val="22"/>
      <w:lang w:eastAsia="en-US"/>
    </w:rPr>
  </w:style>
  <w:style w:type="paragraph" w:customStyle="1" w:styleId="SourceCode">
    <w:name w:val="Source Code"/>
    <w:basedOn w:val="a1"/>
    <w:rsid w:val="00626A85"/>
    <w:pPr>
      <w:widowControl/>
      <w:wordWrap w:val="0"/>
      <w:autoSpaceDE/>
      <w:autoSpaceDN/>
      <w:adjustRightInd/>
      <w:spacing w:beforeLines="0" w:before="0" w:afterLines="0" w:after="120" w:line="276" w:lineRule="auto"/>
      <w:ind w:firstLineChars="0" w:firstLine="0"/>
      <w:jc w:val="left"/>
    </w:pPr>
    <w:rPr>
      <w:rFonts w:ascii="Cambria" w:eastAsia="Cambria" w:hAnsi="Cambria" w:cstheme="minorBidi"/>
      <w:sz w:val="22"/>
      <w:szCs w:val="22"/>
      <w:lang w:eastAsia="en-US"/>
    </w:rPr>
  </w:style>
  <w:style w:type="character" w:customStyle="1" w:styleId="KeywordTok">
    <w:name w:val="KeywordTok"/>
    <w:rsid w:val="00626A85"/>
    <w:rPr>
      <w:b/>
      <w:color w:val="007020"/>
    </w:rPr>
  </w:style>
  <w:style w:type="character" w:customStyle="1" w:styleId="DataTypeTok">
    <w:name w:val="DataTypeTok"/>
    <w:rsid w:val="00626A85"/>
    <w:rPr>
      <w:color w:val="902000"/>
    </w:rPr>
  </w:style>
  <w:style w:type="character" w:customStyle="1" w:styleId="DecValTok">
    <w:name w:val="DecValTok"/>
    <w:rsid w:val="00626A85"/>
    <w:rPr>
      <w:color w:val="40A070"/>
    </w:rPr>
  </w:style>
  <w:style w:type="character" w:customStyle="1" w:styleId="BaseNTok">
    <w:name w:val="BaseNTok"/>
    <w:rsid w:val="00626A85"/>
    <w:rPr>
      <w:color w:val="40A070"/>
    </w:rPr>
  </w:style>
  <w:style w:type="character" w:customStyle="1" w:styleId="FloatTok">
    <w:name w:val="FloatTok"/>
    <w:rsid w:val="00626A85"/>
    <w:rPr>
      <w:color w:val="40A070"/>
    </w:rPr>
  </w:style>
  <w:style w:type="character" w:customStyle="1" w:styleId="ConstantTok">
    <w:name w:val="ConstantTok"/>
    <w:rsid w:val="00626A85"/>
    <w:rPr>
      <w:color w:val="880000"/>
    </w:rPr>
  </w:style>
  <w:style w:type="character" w:customStyle="1" w:styleId="CharTok">
    <w:name w:val="CharTok"/>
    <w:rsid w:val="00626A85"/>
    <w:rPr>
      <w:color w:val="4070A0"/>
    </w:rPr>
  </w:style>
  <w:style w:type="character" w:customStyle="1" w:styleId="SpecialCharTok">
    <w:name w:val="SpecialCharTok"/>
    <w:rsid w:val="00626A85"/>
    <w:rPr>
      <w:color w:val="4070A0"/>
    </w:rPr>
  </w:style>
  <w:style w:type="character" w:customStyle="1" w:styleId="StringTok">
    <w:name w:val="StringTok"/>
    <w:rsid w:val="00626A85"/>
    <w:rPr>
      <w:color w:val="4070A0"/>
    </w:rPr>
  </w:style>
  <w:style w:type="character" w:customStyle="1" w:styleId="VerbatimStringTok">
    <w:name w:val="VerbatimStringTok"/>
    <w:rsid w:val="00626A85"/>
    <w:rPr>
      <w:color w:val="4070A0"/>
    </w:rPr>
  </w:style>
  <w:style w:type="character" w:customStyle="1" w:styleId="SpecialStringTok">
    <w:name w:val="SpecialStringTok"/>
    <w:rsid w:val="00626A85"/>
    <w:rPr>
      <w:color w:val="BB6688"/>
    </w:rPr>
  </w:style>
  <w:style w:type="character" w:customStyle="1" w:styleId="ImportTok">
    <w:name w:val="ImportTok"/>
    <w:rsid w:val="00626A85"/>
    <w:rPr>
      <w:b/>
      <w:color w:val="008000"/>
    </w:rPr>
  </w:style>
  <w:style w:type="character" w:customStyle="1" w:styleId="CommentTok">
    <w:name w:val="CommentTok"/>
    <w:rsid w:val="00626A85"/>
    <w:rPr>
      <w:i/>
      <w:color w:val="60A0B0"/>
    </w:rPr>
  </w:style>
  <w:style w:type="character" w:customStyle="1" w:styleId="DocumentationTok">
    <w:name w:val="DocumentationTok"/>
    <w:rsid w:val="00626A85"/>
    <w:rPr>
      <w:i/>
      <w:color w:val="BA2121"/>
    </w:rPr>
  </w:style>
  <w:style w:type="character" w:customStyle="1" w:styleId="AnnotationTok">
    <w:name w:val="AnnotationTok"/>
    <w:rsid w:val="00626A85"/>
    <w:rPr>
      <w:b/>
      <w:i/>
      <w:color w:val="60A0B0"/>
    </w:rPr>
  </w:style>
  <w:style w:type="character" w:customStyle="1" w:styleId="CommentVarTok">
    <w:name w:val="CommentVarTok"/>
    <w:rsid w:val="00626A85"/>
    <w:rPr>
      <w:b/>
      <w:i/>
      <w:color w:val="60A0B0"/>
    </w:rPr>
  </w:style>
  <w:style w:type="character" w:customStyle="1" w:styleId="OtherTok">
    <w:name w:val="OtherTok"/>
    <w:rsid w:val="00626A85"/>
    <w:rPr>
      <w:color w:val="007020"/>
    </w:rPr>
  </w:style>
  <w:style w:type="character" w:customStyle="1" w:styleId="FunctionTok">
    <w:name w:val="FunctionTok"/>
    <w:rsid w:val="00626A85"/>
    <w:rPr>
      <w:color w:val="06287E"/>
    </w:rPr>
  </w:style>
  <w:style w:type="character" w:customStyle="1" w:styleId="VariableTok">
    <w:name w:val="VariableTok"/>
    <w:rsid w:val="00626A85"/>
    <w:rPr>
      <w:color w:val="19177C"/>
    </w:rPr>
  </w:style>
  <w:style w:type="character" w:customStyle="1" w:styleId="ControlFlowTok">
    <w:name w:val="ControlFlowTok"/>
    <w:rsid w:val="00626A85"/>
    <w:rPr>
      <w:b/>
      <w:color w:val="007020"/>
    </w:rPr>
  </w:style>
  <w:style w:type="character" w:customStyle="1" w:styleId="OperatorTok">
    <w:name w:val="OperatorTok"/>
    <w:rsid w:val="00626A85"/>
    <w:rPr>
      <w:color w:val="666666"/>
    </w:rPr>
  </w:style>
  <w:style w:type="character" w:customStyle="1" w:styleId="BuiltInTok">
    <w:name w:val="BuiltInTok"/>
    <w:rsid w:val="00626A85"/>
    <w:rPr>
      <w:color w:val="008000"/>
    </w:rPr>
  </w:style>
  <w:style w:type="character" w:customStyle="1" w:styleId="ExtensionTok">
    <w:name w:val="ExtensionTok"/>
    <w:rsid w:val="00626A85"/>
  </w:style>
  <w:style w:type="character" w:customStyle="1" w:styleId="PreprocessorTok">
    <w:name w:val="PreprocessorTok"/>
    <w:rsid w:val="00626A85"/>
    <w:rPr>
      <w:color w:val="BC7A00"/>
    </w:rPr>
  </w:style>
  <w:style w:type="character" w:customStyle="1" w:styleId="AttributeTok">
    <w:name w:val="AttributeTok"/>
    <w:rsid w:val="00626A85"/>
    <w:rPr>
      <w:color w:val="7D9029"/>
    </w:rPr>
  </w:style>
  <w:style w:type="character" w:customStyle="1" w:styleId="RegionMarkerTok">
    <w:name w:val="RegionMarkerTok"/>
    <w:rsid w:val="00626A85"/>
  </w:style>
  <w:style w:type="character" w:customStyle="1" w:styleId="InformationTok">
    <w:name w:val="InformationTok"/>
    <w:rsid w:val="00626A85"/>
    <w:rPr>
      <w:b/>
      <w:i/>
      <w:color w:val="60A0B0"/>
    </w:rPr>
  </w:style>
  <w:style w:type="character" w:customStyle="1" w:styleId="WarningTok">
    <w:name w:val="WarningTok"/>
    <w:rsid w:val="00626A85"/>
    <w:rPr>
      <w:b/>
      <w:i/>
      <w:color w:val="60A0B0"/>
    </w:rPr>
  </w:style>
  <w:style w:type="character" w:customStyle="1" w:styleId="AlertTok">
    <w:name w:val="AlertTok"/>
    <w:rsid w:val="00626A85"/>
    <w:rPr>
      <w:b/>
      <w:color w:val="FF0000"/>
    </w:rPr>
  </w:style>
  <w:style w:type="character" w:customStyle="1" w:styleId="ErrorTok">
    <w:name w:val="ErrorTok"/>
    <w:rsid w:val="00626A85"/>
    <w:rPr>
      <w:b/>
      <w:color w:val="FF0000"/>
    </w:rPr>
  </w:style>
  <w:style w:type="character" w:customStyle="1" w:styleId="NormalTok">
    <w:name w:val="NormalTok"/>
    <w:rsid w:val="00626A85"/>
  </w:style>
  <w:style w:type="character" w:customStyle="1" w:styleId="apple-converted-space">
    <w:name w:val="apple-converted-space"/>
    <w:basedOn w:val="a2"/>
    <w:rsid w:val="009D2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8964">
      <w:bodyDiv w:val="1"/>
      <w:marLeft w:val="0"/>
      <w:marRight w:val="0"/>
      <w:marTop w:val="0"/>
      <w:marBottom w:val="0"/>
      <w:divBdr>
        <w:top w:val="none" w:sz="0" w:space="0" w:color="auto"/>
        <w:left w:val="none" w:sz="0" w:space="0" w:color="auto"/>
        <w:bottom w:val="none" w:sz="0" w:space="0" w:color="auto"/>
        <w:right w:val="none" w:sz="0" w:space="0" w:color="auto"/>
      </w:divBdr>
    </w:div>
    <w:div w:id="356854731">
      <w:bodyDiv w:val="1"/>
      <w:marLeft w:val="0"/>
      <w:marRight w:val="0"/>
      <w:marTop w:val="0"/>
      <w:marBottom w:val="0"/>
      <w:divBdr>
        <w:top w:val="none" w:sz="0" w:space="0" w:color="auto"/>
        <w:left w:val="none" w:sz="0" w:space="0" w:color="auto"/>
        <w:bottom w:val="none" w:sz="0" w:space="0" w:color="auto"/>
        <w:right w:val="none" w:sz="0" w:space="0" w:color="auto"/>
      </w:divBdr>
    </w:div>
    <w:div w:id="370808469">
      <w:bodyDiv w:val="1"/>
      <w:marLeft w:val="0"/>
      <w:marRight w:val="0"/>
      <w:marTop w:val="0"/>
      <w:marBottom w:val="0"/>
      <w:divBdr>
        <w:top w:val="none" w:sz="0" w:space="0" w:color="auto"/>
        <w:left w:val="none" w:sz="0" w:space="0" w:color="auto"/>
        <w:bottom w:val="none" w:sz="0" w:space="0" w:color="auto"/>
        <w:right w:val="none" w:sz="0" w:space="0" w:color="auto"/>
      </w:divBdr>
    </w:div>
    <w:div w:id="395125871">
      <w:bodyDiv w:val="1"/>
      <w:marLeft w:val="0"/>
      <w:marRight w:val="0"/>
      <w:marTop w:val="0"/>
      <w:marBottom w:val="0"/>
      <w:divBdr>
        <w:top w:val="none" w:sz="0" w:space="0" w:color="auto"/>
        <w:left w:val="none" w:sz="0" w:space="0" w:color="auto"/>
        <w:bottom w:val="none" w:sz="0" w:space="0" w:color="auto"/>
        <w:right w:val="none" w:sz="0" w:space="0" w:color="auto"/>
      </w:divBdr>
    </w:div>
    <w:div w:id="426195064">
      <w:bodyDiv w:val="1"/>
      <w:marLeft w:val="0"/>
      <w:marRight w:val="0"/>
      <w:marTop w:val="0"/>
      <w:marBottom w:val="0"/>
      <w:divBdr>
        <w:top w:val="none" w:sz="0" w:space="0" w:color="auto"/>
        <w:left w:val="none" w:sz="0" w:space="0" w:color="auto"/>
        <w:bottom w:val="none" w:sz="0" w:space="0" w:color="auto"/>
        <w:right w:val="none" w:sz="0" w:space="0" w:color="auto"/>
      </w:divBdr>
    </w:div>
    <w:div w:id="513690940">
      <w:bodyDiv w:val="1"/>
      <w:marLeft w:val="0"/>
      <w:marRight w:val="0"/>
      <w:marTop w:val="0"/>
      <w:marBottom w:val="0"/>
      <w:divBdr>
        <w:top w:val="none" w:sz="0" w:space="0" w:color="auto"/>
        <w:left w:val="none" w:sz="0" w:space="0" w:color="auto"/>
        <w:bottom w:val="none" w:sz="0" w:space="0" w:color="auto"/>
        <w:right w:val="none" w:sz="0" w:space="0" w:color="auto"/>
      </w:divBdr>
    </w:div>
    <w:div w:id="560746907">
      <w:bodyDiv w:val="1"/>
      <w:marLeft w:val="0"/>
      <w:marRight w:val="0"/>
      <w:marTop w:val="0"/>
      <w:marBottom w:val="0"/>
      <w:divBdr>
        <w:top w:val="none" w:sz="0" w:space="0" w:color="auto"/>
        <w:left w:val="none" w:sz="0" w:space="0" w:color="auto"/>
        <w:bottom w:val="none" w:sz="0" w:space="0" w:color="auto"/>
        <w:right w:val="none" w:sz="0" w:space="0" w:color="auto"/>
      </w:divBdr>
    </w:div>
    <w:div w:id="658119956">
      <w:bodyDiv w:val="1"/>
      <w:marLeft w:val="0"/>
      <w:marRight w:val="0"/>
      <w:marTop w:val="0"/>
      <w:marBottom w:val="0"/>
      <w:divBdr>
        <w:top w:val="none" w:sz="0" w:space="0" w:color="auto"/>
        <w:left w:val="none" w:sz="0" w:space="0" w:color="auto"/>
        <w:bottom w:val="none" w:sz="0" w:space="0" w:color="auto"/>
        <w:right w:val="none" w:sz="0" w:space="0" w:color="auto"/>
      </w:divBdr>
    </w:div>
    <w:div w:id="707145021">
      <w:bodyDiv w:val="1"/>
      <w:marLeft w:val="0"/>
      <w:marRight w:val="0"/>
      <w:marTop w:val="0"/>
      <w:marBottom w:val="0"/>
      <w:divBdr>
        <w:top w:val="none" w:sz="0" w:space="0" w:color="auto"/>
        <w:left w:val="none" w:sz="0" w:space="0" w:color="auto"/>
        <w:bottom w:val="none" w:sz="0" w:space="0" w:color="auto"/>
        <w:right w:val="none" w:sz="0" w:space="0" w:color="auto"/>
      </w:divBdr>
      <w:divsChild>
        <w:div w:id="14313117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9086249">
      <w:bodyDiv w:val="1"/>
      <w:marLeft w:val="0"/>
      <w:marRight w:val="0"/>
      <w:marTop w:val="0"/>
      <w:marBottom w:val="0"/>
      <w:divBdr>
        <w:top w:val="none" w:sz="0" w:space="0" w:color="auto"/>
        <w:left w:val="none" w:sz="0" w:space="0" w:color="auto"/>
        <w:bottom w:val="none" w:sz="0" w:space="0" w:color="auto"/>
        <w:right w:val="none" w:sz="0" w:space="0" w:color="auto"/>
      </w:divBdr>
    </w:div>
    <w:div w:id="778451359">
      <w:bodyDiv w:val="1"/>
      <w:marLeft w:val="0"/>
      <w:marRight w:val="0"/>
      <w:marTop w:val="0"/>
      <w:marBottom w:val="0"/>
      <w:divBdr>
        <w:top w:val="none" w:sz="0" w:space="0" w:color="auto"/>
        <w:left w:val="none" w:sz="0" w:space="0" w:color="auto"/>
        <w:bottom w:val="none" w:sz="0" w:space="0" w:color="auto"/>
        <w:right w:val="none" w:sz="0" w:space="0" w:color="auto"/>
      </w:divBdr>
    </w:div>
    <w:div w:id="818767159">
      <w:bodyDiv w:val="1"/>
      <w:marLeft w:val="0"/>
      <w:marRight w:val="0"/>
      <w:marTop w:val="0"/>
      <w:marBottom w:val="0"/>
      <w:divBdr>
        <w:top w:val="none" w:sz="0" w:space="0" w:color="auto"/>
        <w:left w:val="none" w:sz="0" w:space="0" w:color="auto"/>
        <w:bottom w:val="none" w:sz="0" w:space="0" w:color="auto"/>
        <w:right w:val="none" w:sz="0" w:space="0" w:color="auto"/>
      </w:divBdr>
    </w:div>
    <w:div w:id="854346479">
      <w:bodyDiv w:val="1"/>
      <w:marLeft w:val="0"/>
      <w:marRight w:val="0"/>
      <w:marTop w:val="0"/>
      <w:marBottom w:val="0"/>
      <w:divBdr>
        <w:top w:val="none" w:sz="0" w:space="0" w:color="auto"/>
        <w:left w:val="none" w:sz="0" w:space="0" w:color="auto"/>
        <w:bottom w:val="none" w:sz="0" w:space="0" w:color="auto"/>
        <w:right w:val="none" w:sz="0" w:space="0" w:color="auto"/>
      </w:divBdr>
    </w:div>
    <w:div w:id="919144352">
      <w:bodyDiv w:val="1"/>
      <w:marLeft w:val="0"/>
      <w:marRight w:val="0"/>
      <w:marTop w:val="0"/>
      <w:marBottom w:val="0"/>
      <w:divBdr>
        <w:top w:val="none" w:sz="0" w:space="0" w:color="auto"/>
        <w:left w:val="none" w:sz="0" w:space="0" w:color="auto"/>
        <w:bottom w:val="none" w:sz="0" w:space="0" w:color="auto"/>
        <w:right w:val="none" w:sz="0" w:space="0" w:color="auto"/>
      </w:divBdr>
    </w:div>
    <w:div w:id="958873524">
      <w:bodyDiv w:val="1"/>
      <w:marLeft w:val="0"/>
      <w:marRight w:val="0"/>
      <w:marTop w:val="0"/>
      <w:marBottom w:val="0"/>
      <w:divBdr>
        <w:top w:val="none" w:sz="0" w:space="0" w:color="auto"/>
        <w:left w:val="none" w:sz="0" w:space="0" w:color="auto"/>
        <w:bottom w:val="none" w:sz="0" w:space="0" w:color="auto"/>
        <w:right w:val="none" w:sz="0" w:space="0" w:color="auto"/>
      </w:divBdr>
    </w:div>
    <w:div w:id="972828700">
      <w:bodyDiv w:val="1"/>
      <w:marLeft w:val="0"/>
      <w:marRight w:val="0"/>
      <w:marTop w:val="0"/>
      <w:marBottom w:val="0"/>
      <w:divBdr>
        <w:top w:val="none" w:sz="0" w:space="0" w:color="auto"/>
        <w:left w:val="none" w:sz="0" w:space="0" w:color="auto"/>
        <w:bottom w:val="none" w:sz="0" w:space="0" w:color="auto"/>
        <w:right w:val="none" w:sz="0" w:space="0" w:color="auto"/>
      </w:divBdr>
    </w:div>
    <w:div w:id="983896804">
      <w:bodyDiv w:val="1"/>
      <w:marLeft w:val="0"/>
      <w:marRight w:val="0"/>
      <w:marTop w:val="0"/>
      <w:marBottom w:val="0"/>
      <w:divBdr>
        <w:top w:val="none" w:sz="0" w:space="0" w:color="auto"/>
        <w:left w:val="none" w:sz="0" w:space="0" w:color="auto"/>
        <w:bottom w:val="none" w:sz="0" w:space="0" w:color="auto"/>
        <w:right w:val="none" w:sz="0" w:space="0" w:color="auto"/>
      </w:divBdr>
    </w:div>
    <w:div w:id="986476805">
      <w:bodyDiv w:val="1"/>
      <w:marLeft w:val="0"/>
      <w:marRight w:val="0"/>
      <w:marTop w:val="0"/>
      <w:marBottom w:val="0"/>
      <w:divBdr>
        <w:top w:val="none" w:sz="0" w:space="0" w:color="auto"/>
        <w:left w:val="none" w:sz="0" w:space="0" w:color="auto"/>
        <w:bottom w:val="none" w:sz="0" w:space="0" w:color="auto"/>
        <w:right w:val="none" w:sz="0" w:space="0" w:color="auto"/>
      </w:divBdr>
    </w:div>
    <w:div w:id="1079014161">
      <w:bodyDiv w:val="1"/>
      <w:marLeft w:val="0"/>
      <w:marRight w:val="0"/>
      <w:marTop w:val="0"/>
      <w:marBottom w:val="0"/>
      <w:divBdr>
        <w:top w:val="none" w:sz="0" w:space="0" w:color="auto"/>
        <w:left w:val="none" w:sz="0" w:space="0" w:color="auto"/>
        <w:bottom w:val="none" w:sz="0" w:space="0" w:color="auto"/>
        <w:right w:val="none" w:sz="0" w:space="0" w:color="auto"/>
      </w:divBdr>
      <w:divsChild>
        <w:div w:id="1466587367">
          <w:marLeft w:val="0"/>
          <w:marRight w:val="0"/>
          <w:marTop w:val="0"/>
          <w:marBottom w:val="0"/>
          <w:divBdr>
            <w:top w:val="none" w:sz="0" w:space="0" w:color="auto"/>
            <w:left w:val="none" w:sz="0" w:space="0" w:color="auto"/>
            <w:bottom w:val="none" w:sz="0" w:space="0" w:color="auto"/>
            <w:right w:val="none" w:sz="0" w:space="0" w:color="auto"/>
          </w:divBdr>
          <w:divsChild>
            <w:div w:id="1048338965">
              <w:marLeft w:val="0"/>
              <w:marRight w:val="0"/>
              <w:marTop w:val="0"/>
              <w:marBottom w:val="0"/>
              <w:divBdr>
                <w:top w:val="none" w:sz="0" w:space="0" w:color="auto"/>
                <w:left w:val="none" w:sz="0" w:space="0" w:color="auto"/>
                <w:bottom w:val="none" w:sz="0" w:space="0" w:color="auto"/>
                <w:right w:val="none" w:sz="0" w:space="0" w:color="auto"/>
              </w:divBdr>
              <w:divsChild>
                <w:div w:id="452140819">
                  <w:marLeft w:val="0"/>
                  <w:marRight w:val="0"/>
                  <w:marTop w:val="0"/>
                  <w:marBottom w:val="0"/>
                  <w:divBdr>
                    <w:top w:val="none" w:sz="0" w:space="0" w:color="auto"/>
                    <w:left w:val="none" w:sz="0" w:space="0" w:color="auto"/>
                    <w:bottom w:val="none" w:sz="0" w:space="0" w:color="auto"/>
                    <w:right w:val="none" w:sz="0" w:space="0" w:color="auto"/>
                  </w:divBdr>
                  <w:divsChild>
                    <w:div w:id="612830757">
                      <w:marLeft w:val="0"/>
                      <w:marRight w:val="0"/>
                      <w:marTop w:val="0"/>
                      <w:marBottom w:val="0"/>
                      <w:divBdr>
                        <w:top w:val="none" w:sz="0" w:space="0" w:color="auto"/>
                        <w:left w:val="none" w:sz="0" w:space="0" w:color="auto"/>
                        <w:bottom w:val="none" w:sz="0" w:space="0" w:color="auto"/>
                        <w:right w:val="none" w:sz="0" w:space="0" w:color="auto"/>
                      </w:divBdr>
                      <w:divsChild>
                        <w:div w:id="555899768">
                          <w:marLeft w:val="0"/>
                          <w:marRight w:val="0"/>
                          <w:marTop w:val="0"/>
                          <w:marBottom w:val="0"/>
                          <w:divBdr>
                            <w:top w:val="none" w:sz="0" w:space="0" w:color="auto"/>
                            <w:left w:val="none" w:sz="0" w:space="0" w:color="auto"/>
                            <w:bottom w:val="none" w:sz="0" w:space="0" w:color="auto"/>
                            <w:right w:val="none" w:sz="0" w:space="0" w:color="auto"/>
                          </w:divBdr>
                          <w:divsChild>
                            <w:div w:id="1471749600">
                              <w:marLeft w:val="0"/>
                              <w:marRight w:val="0"/>
                              <w:marTop w:val="0"/>
                              <w:marBottom w:val="0"/>
                              <w:divBdr>
                                <w:top w:val="none" w:sz="0" w:space="0" w:color="auto"/>
                                <w:left w:val="none" w:sz="0" w:space="0" w:color="auto"/>
                                <w:bottom w:val="none" w:sz="0" w:space="0" w:color="auto"/>
                                <w:right w:val="none" w:sz="0" w:space="0" w:color="auto"/>
                              </w:divBdr>
                              <w:divsChild>
                                <w:div w:id="116085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760015">
      <w:bodyDiv w:val="1"/>
      <w:marLeft w:val="0"/>
      <w:marRight w:val="0"/>
      <w:marTop w:val="0"/>
      <w:marBottom w:val="0"/>
      <w:divBdr>
        <w:top w:val="none" w:sz="0" w:space="0" w:color="auto"/>
        <w:left w:val="none" w:sz="0" w:space="0" w:color="auto"/>
        <w:bottom w:val="none" w:sz="0" w:space="0" w:color="auto"/>
        <w:right w:val="none" w:sz="0" w:space="0" w:color="auto"/>
      </w:divBdr>
    </w:div>
    <w:div w:id="1189372734">
      <w:bodyDiv w:val="1"/>
      <w:marLeft w:val="0"/>
      <w:marRight w:val="0"/>
      <w:marTop w:val="0"/>
      <w:marBottom w:val="0"/>
      <w:divBdr>
        <w:top w:val="none" w:sz="0" w:space="0" w:color="auto"/>
        <w:left w:val="none" w:sz="0" w:space="0" w:color="auto"/>
        <w:bottom w:val="none" w:sz="0" w:space="0" w:color="auto"/>
        <w:right w:val="none" w:sz="0" w:space="0" w:color="auto"/>
      </w:divBdr>
    </w:div>
    <w:div w:id="1288200445">
      <w:bodyDiv w:val="1"/>
      <w:marLeft w:val="0"/>
      <w:marRight w:val="0"/>
      <w:marTop w:val="0"/>
      <w:marBottom w:val="0"/>
      <w:divBdr>
        <w:top w:val="none" w:sz="0" w:space="0" w:color="auto"/>
        <w:left w:val="none" w:sz="0" w:space="0" w:color="auto"/>
        <w:bottom w:val="none" w:sz="0" w:space="0" w:color="auto"/>
        <w:right w:val="none" w:sz="0" w:space="0" w:color="auto"/>
      </w:divBdr>
      <w:divsChild>
        <w:div w:id="140930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8319288">
      <w:bodyDiv w:val="1"/>
      <w:marLeft w:val="0"/>
      <w:marRight w:val="0"/>
      <w:marTop w:val="0"/>
      <w:marBottom w:val="0"/>
      <w:divBdr>
        <w:top w:val="none" w:sz="0" w:space="0" w:color="auto"/>
        <w:left w:val="none" w:sz="0" w:space="0" w:color="auto"/>
        <w:bottom w:val="none" w:sz="0" w:space="0" w:color="auto"/>
        <w:right w:val="none" w:sz="0" w:space="0" w:color="auto"/>
      </w:divBdr>
    </w:div>
    <w:div w:id="1289315240">
      <w:bodyDiv w:val="1"/>
      <w:marLeft w:val="0"/>
      <w:marRight w:val="0"/>
      <w:marTop w:val="0"/>
      <w:marBottom w:val="0"/>
      <w:divBdr>
        <w:top w:val="none" w:sz="0" w:space="0" w:color="auto"/>
        <w:left w:val="none" w:sz="0" w:space="0" w:color="auto"/>
        <w:bottom w:val="none" w:sz="0" w:space="0" w:color="auto"/>
        <w:right w:val="none" w:sz="0" w:space="0" w:color="auto"/>
      </w:divBdr>
      <w:divsChild>
        <w:div w:id="1606843457">
          <w:marLeft w:val="0"/>
          <w:marRight w:val="0"/>
          <w:marTop w:val="0"/>
          <w:marBottom w:val="0"/>
          <w:divBdr>
            <w:top w:val="none" w:sz="0" w:space="0" w:color="auto"/>
            <w:left w:val="none" w:sz="0" w:space="0" w:color="auto"/>
            <w:bottom w:val="none" w:sz="0" w:space="0" w:color="auto"/>
            <w:right w:val="none" w:sz="0" w:space="0" w:color="auto"/>
          </w:divBdr>
          <w:divsChild>
            <w:div w:id="74252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97761">
      <w:bodyDiv w:val="1"/>
      <w:marLeft w:val="0"/>
      <w:marRight w:val="0"/>
      <w:marTop w:val="0"/>
      <w:marBottom w:val="0"/>
      <w:divBdr>
        <w:top w:val="none" w:sz="0" w:space="0" w:color="auto"/>
        <w:left w:val="none" w:sz="0" w:space="0" w:color="auto"/>
        <w:bottom w:val="none" w:sz="0" w:space="0" w:color="auto"/>
        <w:right w:val="none" w:sz="0" w:space="0" w:color="auto"/>
      </w:divBdr>
    </w:div>
    <w:div w:id="1300570358">
      <w:bodyDiv w:val="1"/>
      <w:marLeft w:val="0"/>
      <w:marRight w:val="0"/>
      <w:marTop w:val="0"/>
      <w:marBottom w:val="0"/>
      <w:divBdr>
        <w:top w:val="none" w:sz="0" w:space="0" w:color="auto"/>
        <w:left w:val="none" w:sz="0" w:space="0" w:color="auto"/>
        <w:bottom w:val="none" w:sz="0" w:space="0" w:color="auto"/>
        <w:right w:val="none" w:sz="0" w:space="0" w:color="auto"/>
      </w:divBdr>
      <w:divsChild>
        <w:div w:id="1587422911">
          <w:marLeft w:val="0"/>
          <w:marRight w:val="0"/>
          <w:marTop w:val="0"/>
          <w:marBottom w:val="0"/>
          <w:divBdr>
            <w:top w:val="none" w:sz="0" w:space="0" w:color="auto"/>
            <w:left w:val="none" w:sz="0" w:space="0" w:color="auto"/>
            <w:bottom w:val="none" w:sz="0" w:space="0" w:color="auto"/>
            <w:right w:val="none" w:sz="0" w:space="0" w:color="auto"/>
          </w:divBdr>
          <w:divsChild>
            <w:div w:id="21293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81810">
      <w:bodyDiv w:val="1"/>
      <w:marLeft w:val="0"/>
      <w:marRight w:val="0"/>
      <w:marTop w:val="0"/>
      <w:marBottom w:val="0"/>
      <w:divBdr>
        <w:top w:val="none" w:sz="0" w:space="0" w:color="auto"/>
        <w:left w:val="none" w:sz="0" w:space="0" w:color="auto"/>
        <w:bottom w:val="none" w:sz="0" w:space="0" w:color="auto"/>
        <w:right w:val="none" w:sz="0" w:space="0" w:color="auto"/>
      </w:divBdr>
    </w:div>
    <w:div w:id="1431975606">
      <w:bodyDiv w:val="1"/>
      <w:marLeft w:val="0"/>
      <w:marRight w:val="0"/>
      <w:marTop w:val="0"/>
      <w:marBottom w:val="0"/>
      <w:divBdr>
        <w:top w:val="none" w:sz="0" w:space="0" w:color="auto"/>
        <w:left w:val="none" w:sz="0" w:space="0" w:color="auto"/>
        <w:bottom w:val="none" w:sz="0" w:space="0" w:color="auto"/>
        <w:right w:val="none" w:sz="0" w:space="0" w:color="auto"/>
      </w:divBdr>
      <w:divsChild>
        <w:div w:id="1464426678">
          <w:marLeft w:val="0"/>
          <w:marRight w:val="0"/>
          <w:marTop w:val="0"/>
          <w:marBottom w:val="0"/>
          <w:divBdr>
            <w:top w:val="none" w:sz="0" w:space="0" w:color="auto"/>
            <w:left w:val="none" w:sz="0" w:space="0" w:color="auto"/>
            <w:bottom w:val="none" w:sz="0" w:space="0" w:color="auto"/>
            <w:right w:val="none" w:sz="0" w:space="0" w:color="auto"/>
          </w:divBdr>
          <w:divsChild>
            <w:div w:id="2126076499">
              <w:marLeft w:val="0"/>
              <w:marRight w:val="0"/>
              <w:marTop w:val="0"/>
              <w:marBottom w:val="0"/>
              <w:divBdr>
                <w:top w:val="none" w:sz="0" w:space="0" w:color="auto"/>
                <w:left w:val="none" w:sz="0" w:space="0" w:color="auto"/>
                <w:bottom w:val="none" w:sz="0" w:space="0" w:color="auto"/>
                <w:right w:val="none" w:sz="0" w:space="0" w:color="auto"/>
              </w:divBdr>
              <w:divsChild>
                <w:div w:id="226840608">
                  <w:marLeft w:val="0"/>
                  <w:marRight w:val="0"/>
                  <w:marTop w:val="0"/>
                  <w:marBottom w:val="0"/>
                  <w:divBdr>
                    <w:top w:val="none" w:sz="0" w:space="0" w:color="auto"/>
                    <w:left w:val="none" w:sz="0" w:space="0" w:color="auto"/>
                    <w:bottom w:val="none" w:sz="0" w:space="0" w:color="auto"/>
                    <w:right w:val="none" w:sz="0" w:space="0" w:color="auto"/>
                  </w:divBdr>
                  <w:divsChild>
                    <w:div w:id="252323109">
                      <w:marLeft w:val="0"/>
                      <w:marRight w:val="0"/>
                      <w:marTop w:val="0"/>
                      <w:marBottom w:val="0"/>
                      <w:divBdr>
                        <w:top w:val="none" w:sz="0" w:space="0" w:color="auto"/>
                        <w:left w:val="none" w:sz="0" w:space="0" w:color="auto"/>
                        <w:bottom w:val="none" w:sz="0" w:space="0" w:color="auto"/>
                        <w:right w:val="none" w:sz="0" w:space="0" w:color="auto"/>
                      </w:divBdr>
                      <w:divsChild>
                        <w:div w:id="874463680">
                          <w:marLeft w:val="0"/>
                          <w:marRight w:val="0"/>
                          <w:marTop w:val="0"/>
                          <w:marBottom w:val="0"/>
                          <w:divBdr>
                            <w:top w:val="none" w:sz="0" w:space="0" w:color="auto"/>
                            <w:left w:val="none" w:sz="0" w:space="0" w:color="auto"/>
                            <w:bottom w:val="none" w:sz="0" w:space="0" w:color="auto"/>
                            <w:right w:val="none" w:sz="0" w:space="0" w:color="auto"/>
                          </w:divBdr>
                          <w:divsChild>
                            <w:div w:id="1174997301">
                              <w:marLeft w:val="0"/>
                              <w:marRight w:val="0"/>
                              <w:marTop w:val="0"/>
                              <w:marBottom w:val="0"/>
                              <w:divBdr>
                                <w:top w:val="none" w:sz="0" w:space="0" w:color="auto"/>
                                <w:left w:val="none" w:sz="0" w:space="0" w:color="auto"/>
                                <w:bottom w:val="none" w:sz="0" w:space="0" w:color="auto"/>
                                <w:right w:val="none" w:sz="0" w:space="0" w:color="auto"/>
                              </w:divBdr>
                              <w:divsChild>
                                <w:div w:id="36753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2701807">
      <w:bodyDiv w:val="1"/>
      <w:marLeft w:val="0"/>
      <w:marRight w:val="0"/>
      <w:marTop w:val="0"/>
      <w:marBottom w:val="0"/>
      <w:divBdr>
        <w:top w:val="none" w:sz="0" w:space="0" w:color="auto"/>
        <w:left w:val="none" w:sz="0" w:space="0" w:color="auto"/>
        <w:bottom w:val="none" w:sz="0" w:space="0" w:color="auto"/>
        <w:right w:val="none" w:sz="0" w:space="0" w:color="auto"/>
      </w:divBdr>
    </w:div>
    <w:div w:id="1600409612">
      <w:bodyDiv w:val="1"/>
      <w:marLeft w:val="0"/>
      <w:marRight w:val="0"/>
      <w:marTop w:val="0"/>
      <w:marBottom w:val="0"/>
      <w:divBdr>
        <w:top w:val="none" w:sz="0" w:space="0" w:color="auto"/>
        <w:left w:val="none" w:sz="0" w:space="0" w:color="auto"/>
        <w:bottom w:val="none" w:sz="0" w:space="0" w:color="auto"/>
        <w:right w:val="none" w:sz="0" w:space="0" w:color="auto"/>
      </w:divBdr>
    </w:div>
    <w:div w:id="1644650307">
      <w:bodyDiv w:val="1"/>
      <w:marLeft w:val="0"/>
      <w:marRight w:val="0"/>
      <w:marTop w:val="0"/>
      <w:marBottom w:val="0"/>
      <w:divBdr>
        <w:top w:val="none" w:sz="0" w:space="0" w:color="auto"/>
        <w:left w:val="none" w:sz="0" w:space="0" w:color="auto"/>
        <w:bottom w:val="none" w:sz="0" w:space="0" w:color="auto"/>
        <w:right w:val="none" w:sz="0" w:space="0" w:color="auto"/>
      </w:divBdr>
    </w:div>
    <w:div w:id="1764032659">
      <w:bodyDiv w:val="1"/>
      <w:marLeft w:val="0"/>
      <w:marRight w:val="0"/>
      <w:marTop w:val="0"/>
      <w:marBottom w:val="0"/>
      <w:divBdr>
        <w:top w:val="none" w:sz="0" w:space="0" w:color="auto"/>
        <w:left w:val="none" w:sz="0" w:space="0" w:color="auto"/>
        <w:bottom w:val="none" w:sz="0" w:space="0" w:color="auto"/>
        <w:right w:val="none" w:sz="0" w:space="0" w:color="auto"/>
      </w:divBdr>
    </w:div>
    <w:div w:id="1868912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51181-82EC-4ED2-AA17-4BF0C0911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12</Pages>
  <Words>2276</Words>
  <Characters>12976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Hangjie</dc:creator>
  <cp:keywords/>
  <dc:description/>
  <cp:lastModifiedBy>Lin, Hangjie</cp:lastModifiedBy>
  <cp:revision>81</cp:revision>
  <dcterms:created xsi:type="dcterms:W3CDTF">2026-05-25T16:23:00Z</dcterms:created>
  <dcterms:modified xsi:type="dcterms:W3CDTF">2026-05-30T21:51:00Z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3F2C36646DE34F83AB413D9A8E3714BE</vt:lpwstr>
  </property>
</Properties>
</file>