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F9F2" w14:textId="77777777" w:rsidR="00882BED" w:rsidRPr="0090561A" w:rsidRDefault="00882BED" w:rsidP="00882BED">
      <w:pPr>
        <w:pStyle w:val="Heading1"/>
        <w:jc w:val="both"/>
      </w:pPr>
      <w:r w:rsidRPr="0090561A">
        <w:rPr>
          <w:rFonts w:ascii="Times New Roman" w:eastAsia="Times New Roman" w:hAnsi="Times New Roman"/>
        </w:rPr>
        <w:t>Appendix A Additional thermal-share robustness</w:t>
      </w:r>
    </w:p>
    <w:p w14:paraId="2340B393" w14:textId="77777777" w:rsidR="00882BED" w:rsidRPr="0090561A" w:rsidRDefault="00882BED" w:rsidP="00882BED">
      <w:pPr>
        <w:pStyle w:val="Caption"/>
        <w:jc w:val="both"/>
        <w:rPr>
          <w:color w:val="000000"/>
        </w:rPr>
      </w:pPr>
      <w:r w:rsidRPr="0090561A">
        <w:rPr>
          <w:rFonts w:eastAsia="Times New Roman"/>
          <w:color w:val="000000"/>
        </w:rPr>
        <w:t>Table A1 Implied dynamic thermal-share multipliers across attention proxies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43"/>
        <w:gridCol w:w="1031"/>
        <w:gridCol w:w="1047"/>
        <w:gridCol w:w="1038"/>
        <w:gridCol w:w="1038"/>
        <w:gridCol w:w="1038"/>
        <w:gridCol w:w="1038"/>
        <w:gridCol w:w="1038"/>
        <w:gridCol w:w="1039"/>
      </w:tblGrid>
      <w:tr w:rsidR="00882BED" w:rsidRPr="0090561A" w14:paraId="48DEF7B0" w14:textId="77777777" w:rsidTr="00350CDA">
        <w:trPr>
          <w:tblHeader/>
          <w:jc w:val="center"/>
        </w:trPr>
        <w:tc>
          <w:tcPr>
            <w:tcW w:w="1051" w:type="dxa"/>
            <w:shd w:val="clear" w:color="auto" w:fill="D9EAF7"/>
            <w:vAlign w:val="center"/>
          </w:tcPr>
          <w:p w14:paraId="0435CF25" w14:textId="77777777" w:rsidR="00882BED" w:rsidRPr="0090561A" w:rsidRDefault="00882BED" w:rsidP="00350CDA">
            <w:pPr>
              <w:jc w:val="both"/>
            </w:pPr>
            <w:r w:rsidRPr="0090561A">
              <w:rPr>
                <w:b/>
                <w:sz w:val="13"/>
              </w:rPr>
              <w:t>Attention proxy</w:t>
            </w:r>
          </w:p>
        </w:tc>
        <w:tc>
          <w:tcPr>
            <w:tcW w:w="1051" w:type="dxa"/>
            <w:shd w:val="clear" w:color="auto" w:fill="D9EAF7"/>
            <w:vAlign w:val="center"/>
          </w:tcPr>
          <w:p w14:paraId="1F586F86" w14:textId="77777777" w:rsidR="00882BED" w:rsidRPr="0090561A" w:rsidRDefault="00882BED" w:rsidP="00350CDA">
            <w:pPr>
              <w:jc w:val="both"/>
            </w:pPr>
            <w:r w:rsidRPr="0090561A">
              <w:rPr>
                <w:b/>
                <w:sz w:val="13"/>
              </w:rPr>
              <w:t>N</w:t>
            </w:r>
          </w:p>
        </w:tc>
        <w:tc>
          <w:tcPr>
            <w:tcW w:w="1051" w:type="dxa"/>
            <w:shd w:val="clear" w:color="auto" w:fill="D9EAF7"/>
            <w:vAlign w:val="center"/>
          </w:tcPr>
          <w:p w14:paraId="1EBB1A2F" w14:textId="77777777" w:rsidR="00882BED" w:rsidRPr="0090561A" w:rsidRDefault="00882BED" w:rsidP="00350CDA">
            <w:pPr>
              <w:jc w:val="both"/>
            </w:pPr>
            <w:r w:rsidRPr="0090561A">
              <w:rPr>
                <w:rFonts w:eastAsia="Times New Roman"/>
                <w:sz w:val="18"/>
              </w:rPr>
              <w:t>Implied dynamic thermal-share multiplier</w:t>
            </w:r>
          </w:p>
        </w:tc>
        <w:tc>
          <w:tcPr>
            <w:tcW w:w="1051" w:type="dxa"/>
            <w:shd w:val="clear" w:color="auto" w:fill="D9EAF7"/>
            <w:vAlign w:val="center"/>
          </w:tcPr>
          <w:p w14:paraId="0AE840E3" w14:textId="77777777" w:rsidR="00882BED" w:rsidRPr="0090561A" w:rsidRDefault="00882BED" w:rsidP="00350CDA">
            <w:pPr>
              <w:jc w:val="both"/>
            </w:pPr>
            <w:r w:rsidRPr="0090561A">
              <w:rPr>
                <w:b/>
                <w:sz w:val="13"/>
              </w:rPr>
              <w:t>HAC SE</w:t>
            </w:r>
          </w:p>
        </w:tc>
        <w:tc>
          <w:tcPr>
            <w:tcW w:w="1051" w:type="dxa"/>
            <w:shd w:val="clear" w:color="auto" w:fill="D9EAF7"/>
            <w:vAlign w:val="center"/>
          </w:tcPr>
          <w:p w14:paraId="0B0E06B4" w14:textId="77777777" w:rsidR="00882BED" w:rsidRPr="0090561A" w:rsidRDefault="00882BED" w:rsidP="00350CDA">
            <w:pPr>
              <w:jc w:val="both"/>
            </w:pPr>
            <w:r w:rsidRPr="0090561A">
              <w:rPr>
                <w:b/>
                <w:sz w:val="13"/>
              </w:rPr>
              <w:t>p-value</w:t>
            </w:r>
          </w:p>
        </w:tc>
        <w:tc>
          <w:tcPr>
            <w:tcW w:w="1051" w:type="dxa"/>
            <w:shd w:val="clear" w:color="auto" w:fill="D9EAF7"/>
            <w:vAlign w:val="center"/>
          </w:tcPr>
          <w:p w14:paraId="3423F0BF" w14:textId="77777777" w:rsidR="00882BED" w:rsidRPr="0090561A" w:rsidRDefault="00882BED" w:rsidP="00350CDA">
            <w:pPr>
              <w:jc w:val="both"/>
            </w:pPr>
            <w:r w:rsidRPr="0090561A">
              <w:rPr>
                <w:b/>
                <w:sz w:val="13"/>
              </w:rPr>
              <w:t>Boot 95% CI Lower</w:t>
            </w:r>
          </w:p>
        </w:tc>
        <w:tc>
          <w:tcPr>
            <w:tcW w:w="1051" w:type="dxa"/>
            <w:shd w:val="clear" w:color="auto" w:fill="D9EAF7"/>
            <w:vAlign w:val="center"/>
          </w:tcPr>
          <w:p w14:paraId="61D7A28E" w14:textId="77777777" w:rsidR="00882BED" w:rsidRPr="0090561A" w:rsidRDefault="00882BED" w:rsidP="00350CDA">
            <w:pPr>
              <w:jc w:val="both"/>
            </w:pPr>
            <w:r w:rsidRPr="0090561A">
              <w:rPr>
                <w:b/>
                <w:sz w:val="13"/>
              </w:rPr>
              <w:t>Boot 95% CI Upper</w:t>
            </w:r>
          </w:p>
        </w:tc>
        <w:tc>
          <w:tcPr>
            <w:tcW w:w="1051" w:type="dxa"/>
            <w:shd w:val="clear" w:color="auto" w:fill="D9EAF7"/>
            <w:vAlign w:val="center"/>
          </w:tcPr>
          <w:p w14:paraId="28841341" w14:textId="77777777" w:rsidR="00882BED" w:rsidRPr="0090561A" w:rsidRDefault="00882BED" w:rsidP="00350CDA">
            <w:pPr>
              <w:jc w:val="both"/>
            </w:pPr>
            <w:r w:rsidRPr="0090561A">
              <w:rPr>
                <w:b/>
                <w:sz w:val="13"/>
              </w:rPr>
              <w:t>Boot p-value</w:t>
            </w:r>
          </w:p>
        </w:tc>
        <w:tc>
          <w:tcPr>
            <w:tcW w:w="1051" w:type="dxa"/>
            <w:shd w:val="clear" w:color="auto" w:fill="D9EAF7"/>
            <w:vAlign w:val="center"/>
          </w:tcPr>
          <w:p w14:paraId="6DE36D24" w14:textId="77777777" w:rsidR="00882BED" w:rsidRPr="0090561A" w:rsidRDefault="00882BED" w:rsidP="00350CDA">
            <w:pPr>
              <w:jc w:val="both"/>
            </w:pPr>
            <w:r w:rsidRPr="0090561A">
              <w:rPr>
                <w:b/>
                <w:sz w:val="13"/>
              </w:rPr>
              <w:t>AIC</w:t>
            </w:r>
          </w:p>
        </w:tc>
      </w:tr>
      <w:tr w:rsidR="00882BED" w:rsidRPr="0090561A" w14:paraId="76B66C23" w14:textId="77777777" w:rsidTr="00350CDA">
        <w:trPr>
          <w:jc w:val="center"/>
        </w:trPr>
        <w:tc>
          <w:tcPr>
            <w:tcW w:w="1051" w:type="dxa"/>
            <w:vAlign w:val="center"/>
          </w:tcPr>
          <w:p w14:paraId="2CD0ED49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Wikipedia pageviews (ln_wiki)</w:t>
            </w:r>
          </w:p>
        </w:tc>
        <w:tc>
          <w:tcPr>
            <w:tcW w:w="1051" w:type="dxa"/>
            <w:vAlign w:val="center"/>
          </w:tcPr>
          <w:p w14:paraId="662BD4E5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18</w:t>
            </w:r>
          </w:p>
        </w:tc>
        <w:tc>
          <w:tcPr>
            <w:tcW w:w="1051" w:type="dxa"/>
            <w:vAlign w:val="center"/>
          </w:tcPr>
          <w:p w14:paraId="3A934B0E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-0.0003</w:t>
            </w:r>
          </w:p>
        </w:tc>
        <w:tc>
          <w:tcPr>
            <w:tcW w:w="1051" w:type="dxa"/>
            <w:vAlign w:val="center"/>
          </w:tcPr>
          <w:p w14:paraId="3FB32736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0.0014</w:t>
            </w:r>
          </w:p>
        </w:tc>
        <w:tc>
          <w:tcPr>
            <w:tcW w:w="1051" w:type="dxa"/>
            <w:vAlign w:val="center"/>
          </w:tcPr>
          <w:p w14:paraId="56F41543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0.8317</w:t>
            </w:r>
          </w:p>
        </w:tc>
        <w:tc>
          <w:tcPr>
            <w:tcW w:w="1051" w:type="dxa"/>
            <w:vAlign w:val="center"/>
          </w:tcPr>
          <w:p w14:paraId="6CE09297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-0.0032</w:t>
            </w:r>
          </w:p>
        </w:tc>
        <w:tc>
          <w:tcPr>
            <w:tcW w:w="1051" w:type="dxa"/>
            <w:vAlign w:val="center"/>
          </w:tcPr>
          <w:p w14:paraId="7E64903B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0.0047</w:t>
            </w:r>
          </w:p>
        </w:tc>
        <w:tc>
          <w:tcPr>
            <w:tcW w:w="1051" w:type="dxa"/>
            <w:vAlign w:val="center"/>
          </w:tcPr>
          <w:p w14:paraId="72FE1E7E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0.8265</w:t>
            </w:r>
          </w:p>
        </w:tc>
        <w:tc>
          <w:tcPr>
            <w:tcW w:w="1051" w:type="dxa"/>
            <w:vAlign w:val="center"/>
          </w:tcPr>
          <w:p w14:paraId="19E4B9BE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-96.6559</w:t>
            </w:r>
          </w:p>
        </w:tc>
      </w:tr>
      <w:tr w:rsidR="00882BED" w:rsidRPr="0090561A" w14:paraId="4E792735" w14:textId="77777777" w:rsidTr="00350CDA">
        <w:trPr>
          <w:jc w:val="center"/>
        </w:trPr>
        <w:tc>
          <w:tcPr>
            <w:tcW w:w="1051" w:type="dxa"/>
            <w:vAlign w:val="center"/>
          </w:tcPr>
          <w:p w14:paraId="4F5F6ACF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Google Trends (ln_trends)</w:t>
            </w:r>
          </w:p>
        </w:tc>
        <w:tc>
          <w:tcPr>
            <w:tcW w:w="1051" w:type="dxa"/>
            <w:vAlign w:val="center"/>
          </w:tcPr>
          <w:p w14:paraId="1A9156DA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18</w:t>
            </w:r>
          </w:p>
        </w:tc>
        <w:tc>
          <w:tcPr>
            <w:tcW w:w="1051" w:type="dxa"/>
            <w:vAlign w:val="center"/>
          </w:tcPr>
          <w:p w14:paraId="54BD9FE4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-0.0084</w:t>
            </w:r>
          </w:p>
        </w:tc>
        <w:tc>
          <w:tcPr>
            <w:tcW w:w="1051" w:type="dxa"/>
            <w:vAlign w:val="center"/>
          </w:tcPr>
          <w:p w14:paraId="09ABDE99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0.0059</w:t>
            </w:r>
          </w:p>
        </w:tc>
        <w:tc>
          <w:tcPr>
            <w:tcW w:w="1051" w:type="dxa"/>
            <w:vAlign w:val="center"/>
          </w:tcPr>
          <w:p w14:paraId="21875539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0.1533</w:t>
            </w:r>
          </w:p>
        </w:tc>
        <w:tc>
          <w:tcPr>
            <w:tcW w:w="1051" w:type="dxa"/>
            <w:vAlign w:val="center"/>
          </w:tcPr>
          <w:p w14:paraId="5FDD23AD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-0.0609</w:t>
            </w:r>
          </w:p>
        </w:tc>
        <w:tc>
          <w:tcPr>
            <w:tcW w:w="1051" w:type="dxa"/>
            <w:vAlign w:val="center"/>
          </w:tcPr>
          <w:p w14:paraId="41AE97FD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0.0328</w:t>
            </w:r>
          </w:p>
        </w:tc>
        <w:tc>
          <w:tcPr>
            <w:tcW w:w="1051" w:type="dxa"/>
            <w:vAlign w:val="center"/>
          </w:tcPr>
          <w:p w14:paraId="62098D37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0.3022</w:t>
            </w:r>
          </w:p>
        </w:tc>
        <w:tc>
          <w:tcPr>
            <w:tcW w:w="1051" w:type="dxa"/>
            <w:vAlign w:val="center"/>
          </w:tcPr>
          <w:p w14:paraId="237B5BB0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-94.6795</w:t>
            </w:r>
          </w:p>
        </w:tc>
      </w:tr>
      <w:tr w:rsidR="00882BED" w:rsidRPr="0090561A" w14:paraId="09C346B6" w14:textId="77777777" w:rsidTr="00350CDA">
        <w:trPr>
          <w:jc w:val="center"/>
        </w:trPr>
        <w:tc>
          <w:tcPr>
            <w:tcW w:w="1051" w:type="dxa"/>
            <w:vAlign w:val="center"/>
          </w:tcPr>
          <w:p w14:paraId="18E205E8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GDELT news volume (ln_gdelt)</w:t>
            </w:r>
          </w:p>
        </w:tc>
        <w:tc>
          <w:tcPr>
            <w:tcW w:w="1051" w:type="dxa"/>
            <w:vAlign w:val="center"/>
          </w:tcPr>
          <w:p w14:paraId="32094D1B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18</w:t>
            </w:r>
          </w:p>
        </w:tc>
        <w:tc>
          <w:tcPr>
            <w:tcW w:w="1051" w:type="dxa"/>
            <w:vAlign w:val="center"/>
          </w:tcPr>
          <w:p w14:paraId="29DFC4A6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-0.0005</w:t>
            </w:r>
          </w:p>
        </w:tc>
        <w:tc>
          <w:tcPr>
            <w:tcW w:w="1051" w:type="dxa"/>
            <w:vAlign w:val="center"/>
          </w:tcPr>
          <w:p w14:paraId="0887E4DB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0.0035</w:t>
            </w:r>
          </w:p>
        </w:tc>
        <w:tc>
          <w:tcPr>
            <w:tcW w:w="1051" w:type="dxa"/>
            <w:vAlign w:val="center"/>
          </w:tcPr>
          <w:p w14:paraId="60636326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0.894</w:t>
            </w:r>
          </w:p>
        </w:tc>
        <w:tc>
          <w:tcPr>
            <w:tcW w:w="1051" w:type="dxa"/>
            <w:vAlign w:val="center"/>
          </w:tcPr>
          <w:p w14:paraId="5FDF8E7B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-0.0087</w:t>
            </w:r>
          </w:p>
        </w:tc>
        <w:tc>
          <w:tcPr>
            <w:tcW w:w="1051" w:type="dxa"/>
            <w:vAlign w:val="center"/>
          </w:tcPr>
          <w:p w14:paraId="1E69F12F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0.0199</w:t>
            </w:r>
          </w:p>
        </w:tc>
        <w:tc>
          <w:tcPr>
            <w:tcW w:w="1051" w:type="dxa"/>
            <w:vAlign w:val="center"/>
          </w:tcPr>
          <w:p w14:paraId="61564C26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0.9026</w:t>
            </w:r>
          </w:p>
        </w:tc>
        <w:tc>
          <w:tcPr>
            <w:tcW w:w="1051" w:type="dxa"/>
            <w:vAlign w:val="center"/>
          </w:tcPr>
          <w:p w14:paraId="46B430DC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-97.4069</w:t>
            </w:r>
          </w:p>
        </w:tc>
      </w:tr>
      <w:tr w:rsidR="00882BED" w:rsidRPr="0090561A" w14:paraId="3753CF88" w14:textId="77777777" w:rsidTr="00350CDA">
        <w:trPr>
          <w:jc w:val="center"/>
        </w:trPr>
        <w:tc>
          <w:tcPr>
            <w:tcW w:w="1051" w:type="dxa"/>
            <w:vAlign w:val="center"/>
          </w:tcPr>
          <w:p w14:paraId="237C5EFA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Black Myth: Wukong (Placebo)</w:t>
            </w:r>
          </w:p>
        </w:tc>
        <w:tc>
          <w:tcPr>
            <w:tcW w:w="1051" w:type="dxa"/>
            <w:vAlign w:val="center"/>
          </w:tcPr>
          <w:p w14:paraId="755472C3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18</w:t>
            </w:r>
          </w:p>
        </w:tc>
        <w:tc>
          <w:tcPr>
            <w:tcW w:w="1051" w:type="dxa"/>
            <w:vAlign w:val="center"/>
          </w:tcPr>
          <w:p w14:paraId="43C389CB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0.0122</w:t>
            </w:r>
          </w:p>
        </w:tc>
        <w:tc>
          <w:tcPr>
            <w:tcW w:w="1051" w:type="dxa"/>
            <w:vAlign w:val="center"/>
          </w:tcPr>
          <w:p w14:paraId="3F89FA67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0.0056</w:t>
            </w:r>
          </w:p>
        </w:tc>
        <w:tc>
          <w:tcPr>
            <w:tcW w:w="1051" w:type="dxa"/>
            <w:vAlign w:val="center"/>
          </w:tcPr>
          <w:p w14:paraId="2B580A1A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0.0289</w:t>
            </w:r>
          </w:p>
        </w:tc>
        <w:tc>
          <w:tcPr>
            <w:tcW w:w="1051" w:type="dxa"/>
            <w:vAlign w:val="center"/>
          </w:tcPr>
          <w:p w14:paraId="6B884243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-0.0138</w:t>
            </w:r>
          </w:p>
        </w:tc>
        <w:tc>
          <w:tcPr>
            <w:tcW w:w="1051" w:type="dxa"/>
            <w:vAlign w:val="center"/>
          </w:tcPr>
          <w:p w14:paraId="6562F4BB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0.0404</w:t>
            </w:r>
          </w:p>
        </w:tc>
        <w:tc>
          <w:tcPr>
            <w:tcW w:w="1051" w:type="dxa"/>
            <w:vAlign w:val="center"/>
          </w:tcPr>
          <w:p w14:paraId="20539575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0.2045</w:t>
            </w:r>
          </w:p>
        </w:tc>
        <w:tc>
          <w:tcPr>
            <w:tcW w:w="1051" w:type="dxa"/>
            <w:vAlign w:val="center"/>
          </w:tcPr>
          <w:p w14:paraId="41997615" w14:textId="77777777" w:rsidR="00882BED" w:rsidRPr="0090561A" w:rsidRDefault="00882BED" w:rsidP="00350CDA">
            <w:pPr>
              <w:jc w:val="both"/>
            </w:pPr>
            <w:r w:rsidRPr="0090561A">
              <w:rPr>
                <w:sz w:val="13"/>
              </w:rPr>
              <w:t>-94.6867</w:t>
            </w:r>
          </w:p>
        </w:tc>
      </w:tr>
    </w:tbl>
    <w:p w14:paraId="254D6E52" w14:textId="77777777" w:rsidR="00882BED" w:rsidRPr="00975E98" w:rsidRDefault="00882BED" w:rsidP="00882BED">
      <w:pPr>
        <w:spacing w:after="120"/>
        <w:ind w:left="216" w:right="216"/>
        <w:jc w:val="both"/>
      </w:pPr>
      <w:r w:rsidRPr="0090561A">
        <w:rPr>
          <w:rFonts w:eastAsia="Times New Roman"/>
          <w:i/>
          <w:sz w:val="16"/>
        </w:rPr>
        <w:t>Notes: Across proxies, the estimated thermal-share multipliers are small and statistically weak once HDD18 and CDD18 are retained. The appendix supports the main-text claim that generation-mix inference is materially weaker than electricity-level inference in this sample. Numerical values are reproduced from the original empirical output.</w:t>
      </w:r>
    </w:p>
    <w:p w14:paraId="5B017050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ED"/>
    <w:rsid w:val="003C2EF4"/>
    <w:rsid w:val="00446799"/>
    <w:rsid w:val="00471820"/>
    <w:rsid w:val="006A7E07"/>
    <w:rsid w:val="00701021"/>
    <w:rsid w:val="00866E40"/>
    <w:rsid w:val="00882BED"/>
    <w:rsid w:val="00A362FB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60271"/>
  <w15:chartTrackingRefBased/>
  <w15:docId w15:val="{D859B1B2-D9B4-4FCC-9E29-A6AE142E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BED"/>
    <w:pPr>
      <w:spacing w:after="200" w:line="276" w:lineRule="auto"/>
    </w:pPr>
    <w:rPr>
      <w:rFonts w:ascii="Times New Roman" w:eastAsiaTheme="minorEastAsia" w:hAnsi="Times New Roman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B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B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BE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BE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B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BE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BE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BE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BE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B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B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2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BE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2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BE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2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BED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2B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B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BED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82BED"/>
    <w:pPr>
      <w:spacing w:line="240" w:lineRule="auto"/>
    </w:pPr>
    <w:rPr>
      <w:b/>
      <w:bCs/>
      <w:color w:val="156082" w:themeColor="accent1"/>
      <w:sz w:val="18"/>
      <w:szCs w:val="18"/>
    </w:rPr>
  </w:style>
  <w:style w:type="table" w:styleId="TableGrid">
    <w:name w:val="Table Grid"/>
    <w:basedOn w:val="TableNormal"/>
    <w:uiPriority w:val="59"/>
    <w:rsid w:val="00882BE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>Springer Nature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2026-09-23T10:55:00Z</dcterms:created>
  <dcterms:modified xsi:type="dcterms:W3CDTF">2026-09-23T10:56:00Z</dcterms:modified>
</cp:coreProperties>
</file>