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02DB5">
      <w:pPr>
        <w:spacing w:after="200" w:line="276" w:lineRule="auto"/>
        <w:jc w:val="left"/>
        <w:rPr>
          <w:rFonts w:ascii="Times New Roman" w:hAnsi="Times New Roman"/>
        </w:rPr>
      </w:pPr>
      <w:r>
        <w:rPr>
          <w:rFonts w:ascii="Times New Roman" w:hAnsi="Times New Roman" w:eastAsia="Times New Roman" w:cs="Times New Roman"/>
          <w:b/>
          <w:bCs/>
          <w:i w:val="0"/>
          <w:iCs w:val="0"/>
          <w:sz w:val="30"/>
          <w:szCs w:val="30"/>
        </w:rPr>
        <w:t>Additional file 1: Supplementary Material</w:t>
      </w:r>
    </w:p>
    <w:p w14:paraId="11F817A9">
      <w:pPr>
        <w:spacing w:after="120" w:line="312" w:lineRule="auto"/>
        <w:jc w:val="left"/>
        <w:rPr>
          <w:rFonts w:ascii="Times New Roman" w:hAnsi="Times New Roman"/>
          <w:sz w:val="22"/>
          <w:szCs w:val="22"/>
        </w:rPr>
      </w:pPr>
      <w:bookmarkStart w:id="0" w:name="_GoBack"/>
      <w:bookmarkEnd w:id="0"/>
      <w:r>
        <w:rPr>
          <w:rFonts w:ascii="Times New Roman" w:hAnsi="Times New Roman" w:eastAsia="Times New Roman" w:cs="Times New Roman"/>
          <w:b/>
          <w:bCs/>
          <w:i w:val="0"/>
          <w:iCs w:val="0"/>
          <w:sz w:val="22"/>
          <w:szCs w:val="22"/>
        </w:rPr>
        <w:t xml:space="preserve">Contents: </w:t>
      </w:r>
      <w:r>
        <w:rPr>
          <w:rFonts w:ascii="Times New Roman" w:hAnsi="Times New Roman" w:eastAsia="Times New Roman" w:cs="Times New Roman"/>
          <w:b w:val="0"/>
          <w:bCs w:val="0"/>
          <w:i w:val="0"/>
          <w:iCs w:val="0"/>
          <w:sz w:val="22"/>
          <w:szCs w:val="22"/>
        </w:rPr>
        <w:t>S1 Supplementary methods; S2 Supplementary figure (S1); S3 Supplementary tables (S1-S3); S4 STROBE/RECORD reporting checklist.</w:t>
      </w:r>
    </w:p>
    <w:p w14:paraId="7425B4B1">
      <w:pPr>
        <w:spacing w:before="200" w:after="80"/>
        <w:jc w:val="left"/>
        <w:rPr>
          <w:rFonts w:ascii="Times New Roman" w:hAnsi="Times New Roman"/>
          <w:sz w:val="22"/>
          <w:szCs w:val="22"/>
        </w:rPr>
      </w:pPr>
      <w:r>
        <w:rPr>
          <w:rFonts w:ascii="Times New Roman" w:hAnsi="Times New Roman" w:eastAsia="Times New Roman" w:cs="Times New Roman"/>
          <w:b/>
          <w:bCs/>
          <w:i w:val="0"/>
          <w:iCs w:val="0"/>
          <w:sz w:val="22"/>
          <w:szCs w:val="22"/>
        </w:rPr>
        <w:t>S1. Supplementary Methods</w:t>
      </w:r>
    </w:p>
    <w:p w14:paraId="48F21CAE">
      <w:pPr>
        <w:spacing w:before="200" w:after="80"/>
        <w:jc w:val="left"/>
        <w:rPr>
          <w:rFonts w:ascii="Times New Roman" w:hAnsi="Times New Roman"/>
          <w:sz w:val="22"/>
          <w:szCs w:val="22"/>
        </w:rPr>
      </w:pPr>
      <w:r>
        <w:rPr>
          <w:rFonts w:ascii="Times New Roman" w:hAnsi="Times New Roman" w:eastAsia="Times New Roman" w:cs="Times New Roman"/>
          <w:b/>
          <w:bCs/>
          <w:i/>
          <w:iCs/>
          <w:sz w:val="22"/>
          <w:szCs w:val="22"/>
        </w:rPr>
        <w:t>S1.1 Variable derivation</w:t>
      </w:r>
    </w:p>
    <w:p w14:paraId="2F18BA11">
      <w:pPr>
        <w:spacing w:before="200" w:after="80"/>
        <w:jc w:val="left"/>
        <w:rPr>
          <w:rFonts w:hint="eastAsia" w:ascii="Times New Roman" w:hAnsi="Times New Roman" w:eastAsia="Times New Roman" w:cs="Times New Roman"/>
          <w:b w:val="0"/>
          <w:bCs w:val="0"/>
          <w:i w:val="0"/>
          <w:iCs w:val="0"/>
          <w:sz w:val="22"/>
          <w:szCs w:val="22"/>
        </w:rPr>
      </w:pPr>
      <w:r>
        <w:rPr>
          <w:rFonts w:hint="eastAsia" w:ascii="Times New Roman" w:hAnsi="Times New Roman" w:eastAsia="Times New Roman" w:cs="Times New Roman"/>
          <w:b/>
          <w:bCs/>
          <w:i w:val="0"/>
          <w:iCs w:val="0"/>
          <w:sz w:val="22"/>
          <w:szCs w:val="22"/>
        </w:rPr>
        <w:t xml:space="preserve">Exposure. </w:t>
      </w:r>
      <w:r>
        <w:rPr>
          <w:rFonts w:hint="eastAsia" w:ascii="Times New Roman" w:hAnsi="Times New Roman" w:eastAsia="Times New Roman" w:cs="Times New Roman"/>
          <w:b w:val="0"/>
          <w:bCs w:val="0"/>
          <w:i w:val="0"/>
          <w:iCs w:val="0"/>
          <w:sz w:val="22"/>
          <w:szCs w:val="22"/>
        </w:rPr>
        <w:t>The three-level digital-integration variable was derived from two NHATS technology-module items: whether the participant went online and whether the participant had an internet-based telehealth visit with a medical provider. Telehealth users reported an internet-based telehealth visit; connected non-users went online but reported no such visit; and completely disconnected participants reported not going online. The gating skip for the telehealth item among offline participants was coded as consistent with offline status. Refused and “don’t know” responses were coded as missing and handled using multiple imputation.</w:t>
      </w:r>
    </w:p>
    <w:p w14:paraId="2CDCECA1">
      <w:pPr>
        <w:spacing w:before="200" w:after="80"/>
        <w:jc w:val="left"/>
        <w:rPr>
          <w:rFonts w:hint="eastAsia" w:ascii="Times New Roman" w:hAnsi="Times New Roman" w:eastAsia="Times New Roman" w:cs="Times New Roman"/>
          <w:b w:val="0"/>
          <w:bCs w:val="0"/>
          <w:i w:val="0"/>
          <w:iCs w:val="0"/>
          <w:sz w:val="22"/>
          <w:szCs w:val="22"/>
        </w:rPr>
      </w:pPr>
      <w:r>
        <w:rPr>
          <w:rFonts w:hint="eastAsia" w:ascii="Times New Roman" w:hAnsi="Times New Roman" w:eastAsia="Times New Roman" w:cs="Times New Roman"/>
          <w:b/>
          <w:bCs/>
          <w:i w:val="0"/>
          <w:iCs w:val="0"/>
          <w:sz w:val="22"/>
          <w:szCs w:val="22"/>
        </w:rPr>
        <w:t xml:space="preserve">High cardiovascular risk. </w:t>
      </w:r>
      <w:r>
        <w:rPr>
          <w:rFonts w:hint="eastAsia" w:ascii="Times New Roman" w:hAnsi="Times New Roman" w:eastAsia="Times New Roman" w:cs="Times New Roman"/>
          <w:b w:val="0"/>
          <w:bCs w:val="0"/>
          <w:i w:val="0"/>
          <w:iCs w:val="0"/>
          <w:sz w:val="22"/>
          <w:szCs w:val="22"/>
        </w:rPr>
        <w:t>High cardiovascular risk was defined as a reported diagnosis of heart disease, hypertension, or diabetes in the chronic-condition module, using carry-forward coding in which a previously reported diagnosis was counted as present. The established cardiovascular disease covariate, defined as prior myocardial infarction, heart disease, or stroke, was constructed using data up to and including the entry round.</w:t>
      </w:r>
    </w:p>
    <w:p w14:paraId="569B3A0D">
      <w:pPr>
        <w:spacing w:before="200" w:after="80"/>
        <w:jc w:val="left"/>
        <w:rPr>
          <w:rFonts w:hint="eastAsia" w:ascii="Times New Roman" w:hAnsi="Times New Roman" w:eastAsia="Times New Roman" w:cs="Times New Roman"/>
          <w:b w:val="0"/>
          <w:bCs w:val="0"/>
          <w:i w:val="0"/>
          <w:iCs w:val="0"/>
          <w:sz w:val="22"/>
          <w:szCs w:val="22"/>
        </w:rPr>
      </w:pPr>
      <w:r>
        <w:rPr>
          <w:rFonts w:hint="eastAsia" w:ascii="Times New Roman" w:hAnsi="Times New Roman" w:eastAsia="Times New Roman" w:cs="Times New Roman"/>
          <w:b/>
          <w:bCs/>
          <w:i w:val="0"/>
          <w:iCs w:val="0"/>
          <w:sz w:val="22"/>
          <w:szCs w:val="22"/>
        </w:rPr>
        <w:t xml:space="preserve">Outcomes. </w:t>
      </w:r>
      <w:r>
        <w:rPr>
          <w:rFonts w:hint="eastAsia" w:ascii="Times New Roman" w:hAnsi="Times New Roman" w:eastAsia="Times New Roman" w:cs="Times New Roman"/>
          <w:b w:val="0"/>
          <w:bCs w:val="0"/>
          <w:i w:val="0"/>
          <w:iCs w:val="0"/>
          <w:sz w:val="22"/>
          <w:szCs w:val="22"/>
        </w:rPr>
        <w:t>Death was ascertained from round 14 tracker case-status codes. Transition to nursing home or residential care was ascertained from the residential-status variable; participants already in residential care at entry were excluded from this risk set. The composite endpoint was death or transition to residential care.</w:t>
      </w:r>
    </w:p>
    <w:p w14:paraId="5A919687">
      <w:pPr>
        <w:spacing w:before="200" w:after="80"/>
        <w:jc w:val="left"/>
        <w:rPr>
          <w:rFonts w:hint="eastAsia" w:ascii="Times New Roman" w:hAnsi="Times New Roman" w:eastAsia="Times New Roman" w:cs="Times New Roman"/>
          <w:b w:val="0"/>
          <w:bCs w:val="0"/>
          <w:i w:val="0"/>
          <w:iCs w:val="0"/>
          <w:sz w:val="22"/>
          <w:szCs w:val="22"/>
        </w:rPr>
      </w:pPr>
      <w:r>
        <w:rPr>
          <w:rFonts w:hint="eastAsia" w:ascii="Times New Roman" w:hAnsi="Times New Roman" w:eastAsia="Times New Roman" w:cs="Times New Roman"/>
          <w:b/>
          <w:bCs/>
          <w:i w:val="0"/>
          <w:iCs w:val="0"/>
          <w:sz w:val="22"/>
          <w:szCs w:val="22"/>
        </w:rPr>
        <w:t xml:space="preserve">Geriatric-vulnerability covariates (M4). </w:t>
      </w:r>
      <w:r>
        <w:rPr>
          <w:rFonts w:hint="eastAsia" w:ascii="Times New Roman" w:hAnsi="Times New Roman" w:eastAsia="Times New Roman" w:cs="Times New Roman"/>
          <w:b w:val="0"/>
          <w:bCs w:val="0"/>
          <w:i w:val="0"/>
          <w:iCs w:val="0"/>
          <w:sz w:val="22"/>
          <w:szCs w:val="22"/>
        </w:rPr>
        <w:t>The M4 block added the following covariates: assistance with activities of daily living, counted from 0 to ≥2 across eating, bathing, toileting, and dressing; frequency of going outside, used as a proxy for homebound status; a positive depression screen, defined as a Patient Health Questionnaire-2 score ≥3; self-rated memory; and household income tertile. All covariates were measured at the entry round; participants with missing values for a given item were retained using an explicit missing category.</w:t>
      </w:r>
    </w:p>
    <w:p w14:paraId="655989B8">
      <w:pPr>
        <w:spacing w:before="200" w:after="80"/>
        <w:jc w:val="left"/>
        <w:rPr>
          <w:rFonts w:ascii="Times New Roman" w:hAnsi="Times New Roman" w:eastAsia="Times New Roman" w:cs="Times New Roman"/>
          <w:b/>
          <w:bCs/>
          <w:i/>
          <w:iCs/>
          <w:sz w:val="22"/>
          <w:szCs w:val="22"/>
        </w:rPr>
      </w:pPr>
      <w:r>
        <w:rPr>
          <w:rFonts w:ascii="Times New Roman" w:hAnsi="Times New Roman" w:eastAsia="Times New Roman" w:cs="Times New Roman"/>
          <w:b/>
          <w:bCs/>
          <w:i/>
          <w:iCs/>
          <w:sz w:val="22"/>
          <w:szCs w:val="22"/>
        </w:rPr>
        <w:t>S1.2 Statistical models</w:t>
      </w:r>
    </w:p>
    <w:p w14:paraId="2E7626EE">
      <w:pPr>
        <w:spacing w:before="200" w:after="80"/>
        <w:jc w:val="left"/>
        <w:rPr>
          <w:rFonts w:hint="eastAsia" w:ascii="Times New Roman" w:hAnsi="Times New Roman" w:eastAsia="Times New Roman" w:cs="Times New Roman"/>
          <w:b w:val="0"/>
          <w:bCs w:val="0"/>
          <w:i w:val="0"/>
          <w:iCs w:val="0"/>
          <w:sz w:val="22"/>
          <w:szCs w:val="22"/>
        </w:rPr>
      </w:pPr>
      <w:r>
        <w:rPr>
          <w:rFonts w:hint="eastAsia" w:ascii="Times New Roman" w:hAnsi="Times New Roman" w:eastAsia="Times New Roman" w:cs="Times New Roman"/>
          <w:b w:val="0"/>
          <w:bCs w:val="0"/>
          <w:i w:val="0"/>
          <w:iCs w:val="0"/>
          <w:sz w:val="22"/>
          <w:szCs w:val="22"/>
        </w:rPr>
        <w:t>The primary model was a survey-weighted discrete-time survival model with a complementary log-log link, fitted to a stacked person-period dataset that pooled the three entry cohorts and included entry-cohort fixed effects and cluster-robust variance estimation at the participant level. As a consistency check, each entry cohort was estimated separately using its corresponding NHATS survey design, and the estimates were combined using an inverse-variance random-effects meta-analysis. The following robustness analyses were conducted and are reported in the main text (Table 4) and below: (1) multiple imputation by chained equations with 10 imputations for covariate missingness; (2) cause-specific and Fine–Gray subdistribution models for transition to residential care, with death treated as the competing event; (3) exclusion of first-interval events; (4) restriction to self-respondents; and (5) characterization of loss to follow-up by exposure group using extreme-scenario bounds. A time-varying exposure analysis was considered but not adopted as the primary analysis because updating connectivity during follow-up could reintroduce susceptibility to reverse causation; connectivity was therefore fixed at the entry-round value.</w:t>
      </w:r>
    </w:p>
    <w:p w14:paraId="21067F74">
      <w:pPr>
        <w:spacing w:before="200" w:after="80"/>
        <w:jc w:val="left"/>
        <w:rPr>
          <w:rFonts w:ascii="Times New Roman" w:hAnsi="Times New Roman"/>
          <w:sz w:val="22"/>
          <w:szCs w:val="22"/>
        </w:rPr>
      </w:pPr>
      <w:r>
        <w:rPr>
          <w:rFonts w:ascii="Times New Roman" w:hAnsi="Times New Roman" w:eastAsia="Times New Roman" w:cs="Times New Roman"/>
          <w:b/>
          <w:bCs/>
          <w:i w:val="0"/>
          <w:iCs w:val="0"/>
          <w:sz w:val="22"/>
          <w:szCs w:val="22"/>
        </w:rPr>
        <w:t>S2. Supplementary Figure</w:t>
      </w:r>
    </w:p>
    <w:p w14:paraId="0BB409F1">
      <w:pPr>
        <w:spacing w:before="120" w:after="40"/>
        <w:jc w:val="center"/>
        <w:rPr>
          <w:rFonts w:ascii="Times New Roman" w:hAnsi="Times New Roman"/>
          <w:sz w:val="22"/>
          <w:szCs w:val="22"/>
        </w:rPr>
      </w:pPr>
      <w:r>
        <w:rPr>
          <w:rFonts w:ascii="Times New Roman" w:hAnsi="Times New Roman"/>
          <w:sz w:val="22"/>
          <w:szCs w:val="22"/>
        </w:rPr>
        <w:drawing>
          <wp:inline distT="0" distB="0" distL="0" distR="0">
            <wp:extent cx="5991860" cy="350520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4"/>
                    <a:srcRect/>
                    <a:stretch>
                      <a:fillRect/>
                    </a:stretch>
                  </pic:blipFill>
                  <pic:spPr>
                    <a:xfrm>
                      <a:off x="0" y="0"/>
                      <a:ext cx="5991860" cy="3505200"/>
                    </a:xfrm>
                    <a:prstGeom prst="rect">
                      <a:avLst/>
                    </a:prstGeom>
                  </pic:spPr>
                </pic:pic>
              </a:graphicData>
            </a:graphic>
          </wp:inline>
        </w:drawing>
      </w:r>
    </w:p>
    <w:p w14:paraId="181CE184">
      <w:pPr>
        <w:spacing w:before="120" w:after="80" w:line="276" w:lineRule="auto"/>
        <w:rPr>
          <w:rFonts w:ascii="Times New Roman" w:hAnsi="Times New Roman" w:eastAsia="Times New Roman" w:cs="Times New Roman"/>
          <w:b/>
          <w:bCs/>
          <w:i w:val="0"/>
          <w:iCs w:val="0"/>
          <w:sz w:val="22"/>
          <w:szCs w:val="22"/>
        </w:rPr>
      </w:pPr>
    </w:p>
    <w:p w14:paraId="0E966828">
      <w:pPr>
        <w:spacing w:before="120" w:after="80" w:line="276" w:lineRule="auto"/>
        <w:rPr>
          <w:rFonts w:ascii="Times New Roman" w:hAnsi="Times New Roman"/>
          <w:sz w:val="22"/>
          <w:szCs w:val="22"/>
        </w:rPr>
      </w:pPr>
      <w:r>
        <w:rPr>
          <w:rFonts w:ascii="Times New Roman" w:hAnsi="Times New Roman" w:eastAsia="Times New Roman" w:cs="Times New Roman"/>
          <w:b/>
          <w:bCs/>
          <w:i w:val="0"/>
          <w:iCs w:val="0"/>
          <w:sz w:val="22"/>
          <w:szCs w:val="22"/>
        </w:rPr>
        <w:t>Supplementary Figure S1. Stepwise attenuation of the stacked-model hazard ratio for offline versus non-disconnected status across progressive confounder adjustment (M0 structural terms only to M4 full geriatric-vulnerability model), for all-cause mortality and the composite end point.</w:t>
      </w:r>
    </w:p>
    <w:p w14:paraId="076C6B6D">
      <w:pPr>
        <w:spacing w:before="200" w:after="80"/>
        <w:jc w:val="left"/>
        <w:rPr>
          <w:rFonts w:ascii="Times New Roman" w:hAnsi="Times New Roman"/>
          <w:sz w:val="22"/>
          <w:szCs w:val="22"/>
        </w:rPr>
      </w:pPr>
      <w:r>
        <w:rPr>
          <w:rFonts w:ascii="Times New Roman" w:hAnsi="Times New Roman" w:eastAsia="Times New Roman" w:cs="Times New Roman"/>
          <w:b/>
          <w:bCs/>
          <w:i w:val="0"/>
          <w:iCs w:val="0"/>
          <w:sz w:val="22"/>
          <w:szCs w:val="22"/>
        </w:rPr>
        <w:t>S3. Supplementary Tables</w:t>
      </w:r>
    </w:p>
    <w:p w14:paraId="27F8EAEE">
      <w:pPr>
        <w:spacing w:before="120" w:after="80" w:line="276" w:lineRule="auto"/>
        <w:rPr>
          <w:rFonts w:ascii="Times New Roman" w:hAnsi="Times New Roman"/>
          <w:sz w:val="22"/>
          <w:szCs w:val="22"/>
        </w:rPr>
      </w:pPr>
      <w:r>
        <w:rPr>
          <w:rFonts w:ascii="Times New Roman" w:hAnsi="Times New Roman" w:eastAsia="Times New Roman" w:cs="Times New Roman"/>
          <w:b/>
          <w:bCs/>
          <w:i w:val="0"/>
          <w:iCs w:val="0"/>
          <w:sz w:val="22"/>
          <w:szCs w:val="22"/>
        </w:rPr>
        <w:t xml:space="preserve">Supplementary Table S1. </w:t>
      </w:r>
      <w:r>
        <w:rPr>
          <w:rFonts w:ascii="Times New Roman" w:hAnsi="Times New Roman" w:eastAsia="Times New Roman" w:cs="Times New Roman"/>
          <w:b w:val="0"/>
          <w:bCs w:val="0"/>
          <w:i w:val="0"/>
          <w:iCs w:val="0"/>
          <w:sz w:val="22"/>
          <w:szCs w:val="22"/>
        </w:rPr>
        <w:t>Fully adjusted (M3) hazard ratios for the additional contrast of complete disconnection versus connected non-users (reference).</w:t>
      </w:r>
    </w:p>
    <w:tbl>
      <w:tblPr>
        <w:tblStyle w:val="11"/>
        <w:tblW w:w="9026"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726"/>
        <w:gridCol w:w="1260"/>
        <w:gridCol w:w="1260"/>
        <w:gridCol w:w="1260"/>
        <w:gridCol w:w="1260"/>
        <w:gridCol w:w="1260"/>
      </w:tblGrid>
      <w:tr w14:paraId="3F2B72C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726"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1658EF5C">
            <w:pPr>
              <w:spacing w:before="20" w:after="20" w:line="240" w:lineRule="auto"/>
              <w:jc w:val="left"/>
              <w:rPr>
                <w:rFonts w:ascii="Times New Roman" w:hAnsi="Times New Roman"/>
                <w:sz w:val="20"/>
                <w:szCs w:val="20"/>
              </w:rPr>
            </w:pPr>
            <w:r>
              <w:rPr>
                <w:rFonts w:ascii="Times New Roman" w:hAnsi="Times New Roman" w:eastAsia="Times New Roman" w:cs="Times New Roman"/>
                <w:b/>
                <w:bCs/>
                <w:i w:val="0"/>
                <w:iCs w:val="0"/>
                <w:sz w:val="20"/>
                <w:szCs w:val="20"/>
              </w:rPr>
              <w:t>Outcome and model</w:t>
            </w:r>
          </w:p>
        </w:tc>
        <w:tc>
          <w:tcPr>
            <w:tcW w:w="126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215E4982">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Stacked (primary)</w:t>
            </w:r>
          </w:p>
        </w:tc>
        <w:tc>
          <w:tcPr>
            <w:tcW w:w="126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635B5518">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R11</w:t>
            </w:r>
          </w:p>
        </w:tc>
        <w:tc>
          <w:tcPr>
            <w:tcW w:w="126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113FA697">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R12</w:t>
            </w:r>
          </w:p>
        </w:tc>
        <w:tc>
          <w:tcPr>
            <w:tcW w:w="126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5F2A7713">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R13</w:t>
            </w:r>
          </w:p>
        </w:tc>
        <w:tc>
          <w:tcPr>
            <w:tcW w:w="126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3D7E4DE5">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Meta-analytic (I-squared)</w:t>
            </w:r>
          </w:p>
        </w:tc>
      </w:tr>
      <w:tr w14:paraId="21F4B31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726" w:type="dxa"/>
            <w:tcBorders>
              <w:top w:val="nil"/>
              <w:left w:val="nil"/>
              <w:bottom w:val="nil"/>
              <w:right w:val="nil"/>
            </w:tcBorders>
            <w:tcMar>
              <w:top w:w="40" w:type="dxa"/>
              <w:left w:w="90" w:type="dxa"/>
              <w:bottom w:w="40" w:type="dxa"/>
              <w:right w:w="90" w:type="dxa"/>
            </w:tcMar>
            <w:vAlign w:val="center"/>
          </w:tcPr>
          <w:p w14:paraId="377724B2">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Composite end point (M3)</w:t>
            </w:r>
          </w:p>
        </w:tc>
        <w:tc>
          <w:tcPr>
            <w:tcW w:w="1260" w:type="dxa"/>
            <w:tcBorders>
              <w:top w:val="nil"/>
              <w:left w:val="nil"/>
              <w:bottom w:val="nil"/>
              <w:right w:val="nil"/>
            </w:tcBorders>
            <w:tcMar>
              <w:top w:w="40" w:type="dxa"/>
              <w:left w:w="90" w:type="dxa"/>
              <w:bottom w:w="40" w:type="dxa"/>
              <w:right w:w="90" w:type="dxa"/>
            </w:tcMar>
            <w:vAlign w:val="center"/>
          </w:tcPr>
          <w:p w14:paraId="6D861257">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1.38 (1.09-1.75)</w:t>
            </w:r>
          </w:p>
        </w:tc>
        <w:tc>
          <w:tcPr>
            <w:tcW w:w="1260" w:type="dxa"/>
            <w:tcBorders>
              <w:top w:val="nil"/>
              <w:left w:val="nil"/>
              <w:bottom w:val="nil"/>
              <w:right w:val="nil"/>
            </w:tcBorders>
            <w:tcMar>
              <w:top w:w="40" w:type="dxa"/>
              <w:left w:w="90" w:type="dxa"/>
              <w:bottom w:w="40" w:type="dxa"/>
              <w:right w:w="90" w:type="dxa"/>
            </w:tcMar>
            <w:vAlign w:val="center"/>
          </w:tcPr>
          <w:p w14:paraId="5155BA9A">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1.37 (1.03-1.82)</w:t>
            </w:r>
          </w:p>
        </w:tc>
        <w:tc>
          <w:tcPr>
            <w:tcW w:w="1260" w:type="dxa"/>
            <w:tcBorders>
              <w:top w:val="nil"/>
              <w:left w:val="nil"/>
              <w:bottom w:val="nil"/>
              <w:right w:val="nil"/>
            </w:tcBorders>
            <w:tcMar>
              <w:top w:w="40" w:type="dxa"/>
              <w:left w:w="90" w:type="dxa"/>
              <w:bottom w:w="40" w:type="dxa"/>
              <w:right w:w="90" w:type="dxa"/>
            </w:tcMar>
            <w:vAlign w:val="center"/>
          </w:tcPr>
          <w:p w14:paraId="5B7B405D">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1.43 (0.97-2.10)</w:t>
            </w:r>
          </w:p>
        </w:tc>
        <w:tc>
          <w:tcPr>
            <w:tcW w:w="1260" w:type="dxa"/>
            <w:tcBorders>
              <w:top w:val="nil"/>
              <w:left w:val="nil"/>
              <w:bottom w:val="nil"/>
              <w:right w:val="nil"/>
            </w:tcBorders>
            <w:tcMar>
              <w:top w:w="40" w:type="dxa"/>
              <w:left w:w="90" w:type="dxa"/>
              <w:bottom w:w="40" w:type="dxa"/>
              <w:right w:w="90" w:type="dxa"/>
            </w:tcMar>
            <w:vAlign w:val="center"/>
          </w:tcPr>
          <w:p w14:paraId="7EEBEB6E">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1.36 (0.92-2.00)</w:t>
            </w:r>
          </w:p>
        </w:tc>
        <w:tc>
          <w:tcPr>
            <w:tcW w:w="1260" w:type="dxa"/>
            <w:tcBorders>
              <w:top w:val="nil"/>
              <w:left w:val="nil"/>
              <w:bottom w:val="nil"/>
              <w:right w:val="nil"/>
            </w:tcBorders>
            <w:tcMar>
              <w:top w:w="40" w:type="dxa"/>
              <w:left w:w="90" w:type="dxa"/>
              <w:bottom w:w="40" w:type="dxa"/>
              <w:right w:w="90" w:type="dxa"/>
            </w:tcMar>
            <w:vAlign w:val="center"/>
          </w:tcPr>
          <w:p w14:paraId="52A69A3E">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1.38 (1.14-1.68); 0%</w:t>
            </w:r>
          </w:p>
        </w:tc>
      </w:tr>
      <w:tr w14:paraId="6B464EF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726" w:type="dxa"/>
            <w:tcBorders>
              <w:top w:val="nil"/>
              <w:left w:val="nil"/>
              <w:bottom w:val="single" w:color="000000" w:sz="12" w:space="0"/>
              <w:right w:val="nil"/>
            </w:tcBorders>
            <w:tcMar>
              <w:top w:w="40" w:type="dxa"/>
              <w:left w:w="90" w:type="dxa"/>
              <w:bottom w:w="40" w:type="dxa"/>
              <w:right w:w="90" w:type="dxa"/>
            </w:tcMar>
            <w:vAlign w:val="center"/>
          </w:tcPr>
          <w:p w14:paraId="184613F8">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All-cause mortality (M3)</w:t>
            </w:r>
          </w:p>
        </w:tc>
        <w:tc>
          <w:tcPr>
            <w:tcW w:w="1260" w:type="dxa"/>
            <w:tcBorders>
              <w:top w:val="nil"/>
              <w:left w:val="nil"/>
              <w:bottom w:val="single" w:color="000000" w:sz="12" w:space="0"/>
              <w:right w:val="nil"/>
            </w:tcBorders>
            <w:tcMar>
              <w:top w:w="40" w:type="dxa"/>
              <w:left w:w="90" w:type="dxa"/>
              <w:bottom w:w="40" w:type="dxa"/>
              <w:right w:w="90" w:type="dxa"/>
            </w:tcMar>
            <w:vAlign w:val="center"/>
          </w:tcPr>
          <w:p w14:paraId="4B2DC2DB">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1.49 (1.13-1.96)</w:t>
            </w:r>
          </w:p>
        </w:tc>
        <w:tc>
          <w:tcPr>
            <w:tcW w:w="1260" w:type="dxa"/>
            <w:tcBorders>
              <w:top w:val="nil"/>
              <w:left w:val="nil"/>
              <w:bottom w:val="single" w:color="000000" w:sz="12" w:space="0"/>
              <w:right w:val="nil"/>
            </w:tcBorders>
            <w:tcMar>
              <w:top w:w="40" w:type="dxa"/>
              <w:left w:w="90" w:type="dxa"/>
              <w:bottom w:w="40" w:type="dxa"/>
              <w:right w:w="90" w:type="dxa"/>
            </w:tcMar>
            <w:vAlign w:val="center"/>
          </w:tcPr>
          <w:p w14:paraId="5935DC0B">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1.33 (0.92-1.93)</w:t>
            </w:r>
          </w:p>
        </w:tc>
        <w:tc>
          <w:tcPr>
            <w:tcW w:w="1260" w:type="dxa"/>
            <w:tcBorders>
              <w:top w:val="nil"/>
              <w:left w:val="nil"/>
              <w:bottom w:val="single" w:color="000000" w:sz="12" w:space="0"/>
              <w:right w:val="nil"/>
            </w:tcBorders>
            <w:tcMar>
              <w:top w:w="40" w:type="dxa"/>
              <w:left w:w="90" w:type="dxa"/>
              <w:bottom w:w="40" w:type="dxa"/>
              <w:right w:w="90" w:type="dxa"/>
            </w:tcMar>
            <w:vAlign w:val="center"/>
          </w:tcPr>
          <w:p w14:paraId="08CEDA8B">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1.97 (1.26-3.08)</w:t>
            </w:r>
          </w:p>
        </w:tc>
        <w:tc>
          <w:tcPr>
            <w:tcW w:w="1260" w:type="dxa"/>
            <w:tcBorders>
              <w:top w:val="nil"/>
              <w:left w:val="nil"/>
              <w:bottom w:val="single" w:color="000000" w:sz="12" w:space="0"/>
              <w:right w:val="nil"/>
            </w:tcBorders>
            <w:tcMar>
              <w:top w:w="40" w:type="dxa"/>
              <w:left w:w="90" w:type="dxa"/>
              <w:bottom w:w="40" w:type="dxa"/>
              <w:right w:w="90" w:type="dxa"/>
            </w:tcMar>
            <w:vAlign w:val="center"/>
          </w:tcPr>
          <w:p w14:paraId="34FBA3E0">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1.17 (0.78-1.77)</w:t>
            </w:r>
          </w:p>
        </w:tc>
        <w:tc>
          <w:tcPr>
            <w:tcW w:w="1260" w:type="dxa"/>
            <w:tcBorders>
              <w:top w:val="nil"/>
              <w:left w:val="nil"/>
              <w:bottom w:val="single" w:color="000000" w:sz="12" w:space="0"/>
              <w:right w:val="nil"/>
            </w:tcBorders>
            <w:tcMar>
              <w:top w:w="40" w:type="dxa"/>
              <w:left w:w="90" w:type="dxa"/>
              <w:bottom w:w="40" w:type="dxa"/>
              <w:right w:w="90" w:type="dxa"/>
            </w:tcMar>
            <w:vAlign w:val="center"/>
          </w:tcPr>
          <w:p w14:paraId="5CCDD1ED">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1.42 (1.13-1.80); 34%</w:t>
            </w:r>
          </w:p>
        </w:tc>
      </w:tr>
    </w:tbl>
    <w:p w14:paraId="7E0CE954">
      <w:pPr>
        <w:spacing w:before="60" w:after="160" w:line="240" w:lineRule="auto"/>
        <w:rPr>
          <w:rFonts w:ascii="Times New Roman" w:hAnsi="Times New Roman"/>
          <w:sz w:val="22"/>
          <w:szCs w:val="22"/>
        </w:rPr>
      </w:pPr>
      <w:r>
        <w:rPr>
          <w:rFonts w:ascii="Times New Roman" w:hAnsi="Times New Roman" w:eastAsia="Times New Roman" w:cs="Times New Roman"/>
          <w:b w:val="0"/>
          <w:bCs w:val="0"/>
          <w:i/>
          <w:iCs/>
          <w:sz w:val="22"/>
          <w:szCs w:val="22"/>
        </w:rPr>
        <w:t xml:space="preserve">Note. </w:t>
      </w:r>
      <w:r>
        <w:rPr>
          <w:rFonts w:ascii="Times New Roman" w:hAnsi="Times New Roman" w:eastAsia="Times New Roman" w:cs="Times New Roman"/>
          <w:b w:val="0"/>
          <w:bCs w:val="0"/>
          <w:i w:val="0"/>
          <w:iCs w:val="0"/>
          <w:sz w:val="22"/>
          <w:szCs w:val="22"/>
        </w:rPr>
        <w:t>Hazard ratios (95% CI). Reference category is connected non-users. Models adjusted as in main-text Table 3 (M3).</w:t>
      </w:r>
    </w:p>
    <w:p w14:paraId="466B2FF5">
      <w:pPr>
        <w:spacing w:before="120" w:after="80" w:line="276" w:lineRule="auto"/>
        <w:rPr>
          <w:rFonts w:ascii="Times New Roman" w:hAnsi="Times New Roman"/>
          <w:sz w:val="22"/>
          <w:szCs w:val="22"/>
        </w:rPr>
      </w:pPr>
      <w:r>
        <w:rPr>
          <w:rFonts w:ascii="Times New Roman" w:hAnsi="Times New Roman" w:eastAsia="Times New Roman" w:cs="Times New Roman"/>
          <w:b/>
          <w:bCs/>
          <w:i w:val="0"/>
          <w:iCs w:val="0"/>
          <w:sz w:val="22"/>
          <w:szCs w:val="22"/>
        </w:rPr>
        <w:t xml:space="preserve">Supplementary Table S2. </w:t>
      </w:r>
      <w:r>
        <w:rPr>
          <w:rFonts w:hint="eastAsia" w:ascii="Times New Roman" w:hAnsi="Times New Roman" w:eastAsia="Times New Roman" w:cs="Times New Roman"/>
          <w:b w:val="0"/>
          <w:bCs w:val="0"/>
          <w:i w:val="0"/>
          <w:iCs w:val="0"/>
          <w:sz w:val="22"/>
          <w:szCs w:val="22"/>
        </w:rPr>
        <w:t>Secondary contrast between telehealth users and connected non-users by adjustment model, showing similar risk among connected adults.</w:t>
      </w:r>
    </w:p>
    <w:tbl>
      <w:tblPr>
        <w:tblStyle w:val="11"/>
        <w:tblW w:w="9026"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2226"/>
        <w:gridCol w:w="1700"/>
        <w:gridCol w:w="1700"/>
        <w:gridCol w:w="1700"/>
        <w:gridCol w:w="1700"/>
      </w:tblGrid>
      <w:tr w14:paraId="2B5ACE3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2226"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04BD05FA">
            <w:pPr>
              <w:spacing w:before="20" w:after="20" w:line="240" w:lineRule="auto"/>
              <w:jc w:val="left"/>
              <w:rPr>
                <w:rFonts w:ascii="Times New Roman" w:hAnsi="Times New Roman"/>
                <w:sz w:val="20"/>
                <w:szCs w:val="20"/>
              </w:rPr>
            </w:pPr>
            <w:r>
              <w:rPr>
                <w:rFonts w:ascii="Times New Roman" w:hAnsi="Times New Roman" w:eastAsia="Times New Roman" w:cs="Times New Roman"/>
                <w:b/>
                <w:bCs/>
                <w:i w:val="0"/>
                <w:iCs w:val="0"/>
                <w:sz w:val="20"/>
                <w:szCs w:val="20"/>
              </w:rPr>
              <w:t>Adjustment model</w:t>
            </w:r>
          </w:p>
        </w:tc>
        <w:tc>
          <w:tcPr>
            <w:tcW w:w="170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44C106BB">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Composite - stacked</w:t>
            </w:r>
          </w:p>
        </w:tc>
        <w:tc>
          <w:tcPr>
            <w:tcW w:w="170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6C410B06">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Composite - meta (I-squared)</w:t>
            </w:r>
          </w:p>
        </w:tc>
        <w:tc>
          <w:tcPr>
            <w:tcW w:w="170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70F24D80">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Mortality - stacked</w:t>
            </w:r>
          </w:p>
        </w:tc>
        <w:tc>
          <w:tcPr>
            <w:tcW w:w="170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0619482B">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Mortality - meta (I-squared)</w:t>
            </w:r>
          </w:p>
        </w:tc>
      </w:tr>
      <w:tr w14:paraId="2CB6D0C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226" w:type="dxa"/>
            <w:tcBorders>
              <w:top w:val="nil"/>
              <w:left w:val="nil"/>
              <w:bottom w:val="nil"/>
              <w:right w:val="nil"/>
            </w:tcBorders>
            <w:tcMar>
              <w:top w:w="40" w:type="dxa"/>
              <w:left w:w="90" w:type="dxa"/>
              <w:bottom w:w="40" w:type="dxa"/>
              <w:right w:w="90" w:type="dxa"/>
            </w:tcMar>
            <w:vAlign w:val="center"/>
          </w:tcPr>
          <w:p w14:paraId="72AD7625">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M0 (structural terms only)</w:t>
            </w:r>
          </w:p>
        </w:tc>
        <w:tc>
          <w:tcPr>
            <w:tcW w:w="1700" w:type="dxa"/>
            <w:tcBorders>
              <w:top w:val="nil"/>
              <w:left w:val="nil"/>
              <w:bottom w:val="nil"/>
              <w:right w:val="nil"/>
            </w:tcBorders>
            <w:tcMar>
              <w:top w:w="40" w:type="dxa"/>
              <w:left w:w="90" w:type="dxa"/>
              <w:bottom w:w="40" w:type="dxa"/>
              <w:right w:w="90" w:type="dxa"/>
            </w:tcMar>
            <w:vAlign w:val="center"/>
          </w:tcPr>
          <w:p w14:paraId="7B8353C2">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0.88 (0.70-1.10)</w:t>
            </w:r>
          </w:p>
        </w:tc>
        <w:tc>
          <w:tcPr>
            <w:tcW w:w="1700" w:type="dxa"/>
            <w:tcBorders>
              <w:top w:val="nil"/>
              <w:left w:val="nil"/>
              <w:bottom w:val="nil"/>
              <w:right w:val="nil"/>
            </w:tcBorders>
            <w:tcMar>
              <w:top w:w="40" w:type="dxa"/>
              <w:left w:w="90" w:type="dxa"/>
              <w:bottom w:w="40" w:type="dxa"/>
              <w:right w:w="90" w:type="dxa"/>
            </w:tcMar>
            <w:vAlign w:val="center"/>
          </w:tcPr>
          <w:p w14:paraId="7BCFF38E">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0.88 (0.74-1.05); 55%</w:t>
            </w:r>
          </w:p>
        </w:tc>
        <w:tc>
          <w:tcPr>
            <w:tcW w:w="1700" w:type="dxa"/>
            <w:tcBorders>
              <w:top w:val="nil"/>
              <w:left w:val="nil"/>
              <w:bottom w:val="nil"/>
              <w:right w:val="nil"/>
            </w:tcBorders>
            <w:tcMar>
              <w:top w:w="40" w:type="dxa"/>
              <w:left w:w="90" w:type="dxa"/>
              <w:bottom w:w="40" w:type="dxa"/>
              <w:right w:w="90" w:type="dxa"/>
            </w:tcMar>
            <w:vAlign w:val="center"/>
          </w:tcPr>
          <w:p w14:paraId="4E6FCA85">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0.89 (0.68-1.17)</w:t>
            </w:r>
          </w:p>
        </w:tc>
        <w:tc>
          <w:tcPr>
            <w:tcW w:w="1700" w:type="dxa"/>
            <w:tcBorders>
              <w:top w:val="nil"/>
              <w:left w:val="nil"/>
              <w:bottom w:val="nil"/>
              <w:right w:val="nil"/>
            </w:tcBorders>
            <w:tcMar>
              <w:top w:w="40" w:type="dxa"/>
              <w:left w:w="90" w:type="dxa"/>
              <w:bottom w:w="40" w:type="dxa"/>
              <w:right w:w="90" w:type="dxa"/>
            </w:tcMar>
            <w:vAlign w:val="center"/>
          </w:tcPr>
          <w:p w14:paraId="1108DBF5">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0.89 (0.73-1.09); 42%</w:t>
            </w:r>
          </w:p>
        </w:tc>
      </w:tr>
      <w:tr w14:paraId="7789F4D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226" w:type="dxa"/>
            <w:tcBorders>
              <w:top w:val="nil"/>
              <w:left w:val="nil"/>
              <w:bottom w:val="nil"/>
              <w:right w:val="nil"/>
            </w:tcBorders>
            <w:tcMar>
              <w:top w:w="40" w:type="dxa"/>
              <w:left w:w="90" w:type="dxa"/>
              <w:bottom w:w="40" w:type="dxa"/>
              <w:right w:w="90" w:type="dxa"/>
            </w:tcMar>
            <w:vAlign w:val="center"/>
          </w:tcPr>
          <w:p w14:paraId="1EA45182">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M1 (+demographic)</w:t>
            </w:r>
          </w:p>
        </w:tc>
        <w:tc>
          <w:tcPr>
            <w:tcW w:w="1700" w:type="dxa"/>
            <w:tcBorders>
              <w:top w:val="nil"/>
              <w:left w:val="nil"/>
              <w:bottom w:val="nil"/>
              <w:right w:val="nil"/>
            </w:tcBorders>
            <w:tcMar>
              <w:top w:w="40" w:type="dxa"/>
              <w:left w:w="90" w:type="dxa"/>
              <w:bottom w:w="40" w:type="dxa"/>
              <w:right w:w="90" w:type="dxa"/>
            </w:tcMar>
            <w:vAlign w:val="center"/>
          </w:tcPr>
          <w:p w14:paraId="27D1E086">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0.98 (0.78-1.23)</w:t>
            </w:r>
          </w:p>
        </w:tc>
        <w:tc>
          <w:tcPr>
            <w:tcW w:w="1700" w:type="dxa"/>
            <w:tcBorders>
              <w:top w:val="nil"/>
              <w:left w:val="nil"/>
              <w:bottom w:val="nil"/>
              <w:right w:val="nil"/>
            </w:tcBorders>
            <w:tcMar>
              <w:top w:w="40" w:type="dxa"/>
              <w:left w:w="90" w:type="dxa"/>
              <w:bottom w:w="40" w:type="dxa"/>
              <w:right w:w="90" w:type="dxa"/>
            </w:tcMar>
            <w:vAlign w:val="center"/>
          </w:tcPr>
          <w:p w14:paraId="1840A663">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1.00 (0.85-1.18); 64%</w:t>
            </w:r>
          </w:p>
        </w:tc>
        <w:tc>
          <w:tcPr>
            <w:tcW w:w="1700" w:type="dxa"/>
            <w:tcBorders>
              <w:top w:val="nil"/>
              <w:left w:val="nil"/>
              <w:bottom w:val="nil"/>
              <w:right w:val="nil"/>
            </w:tcBorders>
            <w:tcMar>
              <w:top w:w="40" w:type="dxa"/>
              <w:left w:w="90" w:type="dxa"/>
              <w:bottom w:w="40" w:type="dxa"/>
              <w:right w:w="90" w:type="dxa"/>
            </w:tcMar>
            <w:vAlign w:val="center"/>
          </w:tcPr>
          <w:p w14:paraId="1BF3D77D">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0.98 (0.75-1.29)</w:t>
            </w:r>
          </w:p>
        </w:tc>
        <w:tc>
          <w:tcPr>
            <w:tcW w:w="1700" w:type="dxa"/>
            <w:tcBorders>
              <w:top w:val="nil"/>
              <w:left w:val="nil"/>
              <w:bottom w:val="nil"/>
              <w:right w:val="nil"/>
            </w:tcBorders>
            <w:tcMar>
              <w:top w:w="40" w:type="dxa"/>
              <w:left w:w="90" w:type="dxa"/>
              <w:bottom w:w="40" w:type="dxa"/>
              <w:right w:w="90" w:type="dxa"/>
            </w:tcMar>
            <w:vAlign w:val="center"/>
          </w:tcPr>
          <w:p w14:paraId="2398303A">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1.00 (0.82-1.21); 49%</w:t>
            </w:r>
          </w:p>
        </w:tc>
      </w:tr>
      <w:tr w14:paraId="75A3FF5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226" w:type="dxa"/>
            <w:tcBorders>
              <w:top w:val="nil"/>
              <w:left w:val="nil"/>
              <w:bottom w:val="nil"/>
              <w:right w:val="nil"/>
            </w:tcBorders>
            <w:tcMar>
              <w:top w:w="40" w:type="dxa"/>
              <w:left w:w="90" w:type="dxa"/>
              <w:bottom w:w="40" w:type="dxa"/>
              <w:right w:w="90" w:type="dxa"/>
            </w:tcMar>
            <w:vAlign w:val="center"/>
          </w:tcPr>
          <w:p w14:paraId="75F35F0D">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M2 (+socioeconomic)</w:t>
            </w:r>
          </w:p>
        </w:tc>
        <w:tc>
          <w:tcPr>
            <w:tcW w:w="1700" w:type="dxa"/>
            <w:tcBorders>
              <w:top w:val="nil"/>
              <w:left w:val="nil"/>
              <w:bottom w:val="nil"/>
              <w:right w:val="nil"/>
            </w:tcBorders>
            <w:tcMar>
              <w:top w:w="40" w:type="dxa"/>
              <w:left w:w="90" w:type="dxa"/>
              <w:bottom w:w="40" w:type="dxa"/>
              <w:right w:w="90" w:type="dxa"/>
            </w:tcMar>
            <w:vAlign w:val="center"/>
          </w:tcPr>
          <w:p w14:paraId="57C93B11">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1.02 (0.81-1.28)</w:t>
            </w:r>
          </w:p>
        </w:tc>
        <w:tc>
          <w:tcPr>
            <w:tcW w:w="1700" w:type="dxa"/>
            <w:tcBorders>
              <w:top w:val="nil"/>
              <w:left w:val="nil"/>
              <w:bottom w:val="nil"/>
              <w:right w:val="nil"/>
            </w:tcBorders>
            <w:tcMar>
              <w:top w:w="40" w:type="dxa"/>
              <w:left w:w="90" w:type="dxa"/>
              <w:bottom w:w="40" w:type="dxa"/>
              <w:right w:w="90" w:type="dxa"/>
            </w:tcMar>
            <w:vAlign w:val="center"/>
          </w:tcPr>
          <w:p w14:paraId="6FDC192D">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1.03 (0.87-1.22); 64%</w:t>
            </w:r>
          </w:p>
        </w:tc>
        <w:tc>
          <w:tcPr>
            <w:tcW w:w="1700" w:type="dxa"/>
            <w:tcBorders>
              <w:top w:val="nil"/>
              <w:left w:val="nil"/>
              <w:bottom w:val="nil"/>
              <w:right w:val="nil"/>
            </w:tcBorders>
            <w:tcMar>
              <w:top w:w="40" w:type="dxa"/>
              <w:left w:w="90" w:type="dxa"/>
              <w:bottom w:w="40" w:type="dxa"/>
              <w:right w:w="90" w:type="dxa"/>
            </w:tcMar>
            <w:vAlign w:val="center"/>
          </w:tcPr>
          <w:p w14:paraId="76A1772D">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1.01 (0.77-1.34)</w:t>
            </w:r>
          </w:p>
        </w:tc>
        <w:tc>
          <w:tcPr>
            <w:tcW w:w="1700" w:type="dxa"/>
            <w:tcBorders>
              <w:top w:val="nil"/>
              <w:left w:val="nil"/>
              <w:bottom w:val="nil"/>
              <w:right w:val="nil"/>
            </w:tcBorders>
            <w:tcMar>
              <w:top w:w="40" w:type="dxa"/>
              <w:left w:w="90" w:type="dxa"/>
              <w:bottom w:w="40" w:type="dxa"/>
              <w:right w:w="90" w:type="dxa"/>
            </w:tcMar>
            <w:vAlign w:val="center"/>
          </w:tcPr>
          <w:p w14:paraId="3C060370">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1.04 (0.85-1.27); 54%</w:t>
            </w:r>
          </w:p>
        </w:tc>
      </w:tr>
      <w:tr w14:paraId="0354B2E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226" w:type="dxa"/>
            <w:tcBorders>
              <w:top w:val="nil"/>
              <w:left w:val="nil"/>
              <w:bottom w:val="nil"/>
              <w:right w:val="nil"/>
            </w:tcBorders>
            <w:tcMar>
              <w:top w:w="40" w:type="dxa"/>
              <w:left w:w="90" w:type="dxa"/>
              <w:bottom w:w="40" w:type="dxa"/>
              <w:right w:w="90" w:type="dxa"/>
            </w:tcMar>
            <w:vAlign w:val="center"/>
          </w:tcPr>
          <w:p w14:paraId="53F98E24">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M3 (+health/frailty)</w:t>
            </w:r>
          </w:p>
        </w:tc>
        <w:tc>
          <w:tcPr>
            <w:tcW w:w="1700" w:type="dxa"/>
            <w:tcBorders>
              <w:top w:val="nil"/>
              <w:left w:val="nil"/>
              <w:bottom w:val="nil"/>
              <w:right w:val="nil"/>
            </w:tcBorders>
            <w:tcMar>
              <w:top w:w="40" w:type="dxa"/>
              <w:left w:w="90" w:type="dxa"/>
              <w:bottom w:w="40" w:type="dxa"/>
              <w:right w:w="90" w:type="dxa"/>
            </w:tcMar>
            <w:vAlign w:val="center"/>
          </w:tcPr>
          <w:p w14:paraId="53E97711">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0.99 (0.79-1.24)</w:t>
            </w:r>
          </w:p>
        </w:tc>
        <w:tc>
          <w:tcPr>
            <w:tcW w:w="1700" w:type="dxa"/>
            <w:tcBorders>
              <w:top w:val="nil"/>
              <w:left w:val="nil"/>
              <w:bottom w:val="nil"/>
              <w:right w:val="nil"/>
            </w:tcBorders>
            <w:tcMar>
              <w:top w:w="40" w:type="dxa"/>
              <w:left w:w="90" w:type="dxa"/>
              <w:bottom w:w="40" w:type="dxa"/>
              <w:right w:w="90" w:type="dxa"/>
            </w:tcMar>
            <w:vAlign w:val="center"/>
          </w:tcPr>
          <w:p w14:paraId="2EB6B4E2">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1.00 (0.85-1.18); 61%</w:t>
            </w:r>
          </w:p>
        </w:tc>
        <w:tc>
          <w:tcPr>
            <w:tcW w:w="1700" w:type="dxa"/>
            <w:tcBorders>
              <w:top w:val="nil"/>
              <w:left w:val="nil"/>
              <w:bottom w:val="nil"/>
              <w:right w:val="nil"/>
            </w:tcBorders>
            <w:tcMar>
              <w:top w:w="40" w:type="dxa"/>
              <w:left w:w="90" w:type="dxa"/>
              <w:bottom w:w="40" w:type="dxa"/>
              <w:right w:w="90" w:type="dxa"/>
            </w:tcMar>
            <w:vAlign w:val="center"/>
          </w:tcPr>
          <w:p w14:paraId="04E38EA5">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0.99 (0.75-1.30)</w:t>
            </w:r>
          </w:p>
        </w:tc>
        <w:tc>
          <w:tcPr>
            <w:tcW w:w="1700" w:type="dxa"/>
            <w:tcBorders>
              <w:top w:val="nil"/>
              <w:left w:val="nil"/>
              <w:bottom w:val="nil"/>
              <w:right w:val="nil"/>
            </w:tcBorders>
            <w:tcMar>
              <w:top w:w="40" w:type="dxa"/>
              <w:left w:w="90" w:type="dxa"/>
              <w:bottom w:w="40" w:type="dxa"/>
              <w:right w:w="90" w:type="dxa"/>
            </w:tcMar>
            <w:vAlign w:val="center"/>
          </w:tcPr>
          <w:p w14:paraId="6BFA89C4">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1.00 (0.82-1.22); 52%</w:t>
            </w:r>
          </w:p>
        </w:tc>
      </w:tr>
      <w:tr w14:paraId="49DACC5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2226" w:type="dxa"/>
            <w:tcBorders>
              <w:top w:val="nil"/>
              <w:left w:val="nil"/>
              <w:bottom w:val="single" w:color="000000" w:sz="12" w:space="0"/>
              <w:right w:val="nil"/>
            </w:tcBorders>
            <w:tcMar>
              <w:top w:w="40" w:type="dxa"/>
              <w:left w:w="90" w:type="dxa"/>
              <w:bottom w:w="40" w:type="dxa"/>
              <w:right w:w="90" w:type="dxa"/>
            </w:tcMar>
            <w:vAlign w:val="center"/>
          </w:tcPr>
          <w:p w14:paraId="78E89364">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M4 (+geriatric vulnerability)</w:t>
            </w:r>
          </w:p>
        </w:tc>
        <w:tc>
          <w:tcPr>
            <w:tcW w:w="1700" w:type="dxa"/>
            <w:tcBorders>
              <w:top w:val="nil"/>
              <w:left w:val="nil"/>
              <w:bottom w:val="single" w:color="000000" w:sz="12" w:space="0"/>
              <w:right w:val="nil"/>
            </w:tcBorders>
            <w:tcMar>
              <w:top w:w="40" w:type="dxa"/>
              <w:left w:w="90" w:type="dxa"/>
              <w:bottom w:w="40" w:type="dxa"/>
              <w:right w:w="90" w:type="dxa"/>
            </w:tcMar>
            <w:vAlign w:val="center"/>
          </w:tcPr>
          <w:p w14:paraId="015F649B">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1.03 (0.82-1.29)</w:t>
            </w:r>
          </w:p>
        </w:tc>
        <w:tc>
          <w:tcPr>
            <w:tcW w:w="1700" w:type="dxa"/>
            <w:tcBorders>
              <w:top w:val="nil"/>
              <w:left w:val="nil"/>
              <w:bottom w:val="single" w:color="000000" w:sz="12" w:space="0"/>
              <w:right w:val="nil"/>
            </w:tcBorders>
            <w:tcMar>
              <w:top w:w="40" w:type="dxa"/>
              <w:left w:w="90" w:type="dxa"/>
              <w:bottom w:w="40" w:type="dxa"/>
              <w:right w:w="90" w:type="dxa"/>
            </w:tcMar>
            <w:vAlign w:val="center"/>
          </w:tcPr>
          <w:p w14:paraId="150D9373">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1.05 (0.89-1.25); 55%</w:t>
            </w:r>
          </w:p>
        </w:tc>
        <w:tc>
          <w:tcPr>
            <w:tcW w:w="1700" w:type="dxa"/>
            <w:tcBorders>
              <w:top w:val="nil"/>
              <w:left w:val="nil"/>
              <w:bottom w:val="single" w:color="000000" w:sz="12" w:space="0"/>
              <w:right w:val="nil"/>
            </w:tcBorders>
            <w:tcMar>
              <w:top w:w="40" w:type="dxa"/>
              <w:left w:w="90" w:type="dxa"/>
              <w:bottom w:w="40" w:type="dxa"/>
              <w:right w:w="90" w:type="dxa"/>
            </w:tcMar>
            <w:vAlign w:val="center"/>
          </w:tcPr>
          <w:p w14:paraId="0B62B5BB">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1.02 (0.78-1.34)</w:t>
            </w:r>
          </w:p>
        </w:tc>
        <w:tc>
          <w:tcPr>
            <w:tcW w:w="1700" w:type="dxa"/>
            <w:tcBorders>
              <w:top w:val="nil"/>
              <w:left w:val="nil"/>
              <w:bottom w:val="single" w:color="000000" w:sz="12" w:space="0"/>
              <w:right w:val="nil"/>
            </w:tcBorders>
            <w:tcMar>
              <w:top w:w="40" w:type="dxa"/>
              <w:left w:w="90" w:type="dxa"/>
              <w:bottom w:w="40" w:type="dxa"/>
              <w:right w:w="90" w:type="dxa"/>
            </w:tcMar>
            <w:vAlign w:val="center"/>
          </w:tcPr>
          <w:p w14:paraId="41E8CBE9">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1.02 (0.84-1.24); 61%</w:t>
            </w:r>
          </w:p>
        </w:tc>
      </w:tr>
    </w:tbl>
    <w:p w14:paraId="3D446E00">
      <w:pPr>
        <w:spacing w:before="60" w:after="160" w:line="240" w:lineRule="auto"/>
        <w:rPr>
          <w:rFonts w:ascii="Times New Roman" w:hAnsi="Times New Roman"/>
          <w:sz w:val="22"/>
          <w:szCs w:val="22"/>
        </w:rPr>
      </w:pPr>
      <w:r>
        <w:rPr>
          <w:rFonts w:ascii="Times New Roman" w:hAnsi="Times New Roman" w:eastAsia="Times New Roman" w:cs="Times New Roman"/>
          <w:b w:val="0"/>
          <w:bCs w:val="0"/>
          <w:i/>
          <w:iCs/>
          <w:sz w:val="22"/>
          <w:szCs w:val="22"/>
        </w:rPr>
        <w:t xml:space="preserve">Note. </w:t>
      </w:r>
      <w:r>
        <w:rPr>
          <w:rFonts w:ascii="Times New Roman" w:hAnsi="Times New Roman" w:eastAsia="Times New Roman" w:cs="Times New Roman"/>
          <w:b w:val="0"/>
          <w:bCs w:val="0"/>
          <w:i w:val="0"/>
          <w:iCs w:val="0"/>
          <w:sz w:val="22"/>
          <w:szCs w:val="22"/>
        </w:rPr>
        <w:t xml:space="preserve">Hazard ratios (95% CI). The near-1.0 stacked estimates </w:t>
      </w:r>
      <w:r>
        <w:rPr>
          <w:rFonts w:hint="eastAsia" w:ascii="Times New Roman" w:hAnsi="Times New Roman" w:eastAsia="Times New Roman" w:cs="Times New Roman"/>
          <w:b w:val="0"/>
          <w:bCs w:val="0"/>
          <w:i w:val="0"/>
          <w:iCs w:val="0"/>
          <w:sz w:val="22"/>
          <w:szCs w:val="22"/>
        </w:rPr>
        <w:t>show no evidence of materially different risk</w:t>
      </w:r>
      <w:r>
        <w:rPr>
          <w:rFonts w:ascii="Times New Roman" w:hAnsi="Times New Roman" w:eastAsia="Times New Roman" w:cs="Times New Roman"/>
          <w:b w:val="0"/>
          <w:bCs w:val="0"/>
          <w:i w:val="0"/>
          <w:iCs w:val="0"/>
          <w:sz w:val="22"/>
          <w:szCs w:val="22"/>
        </w:rPr>
        <w:t xml:space="preserve"> that telehealth adoption, conditional on being online, is not associated with the hard outcomes. The per-cohort meta-analytic estimates are heterogeneous (I-squared up to 64%); the single stacked estimate is the more stable summary.</w:t>
      </w:r>
    </w:p>
    <w:p w14:paraId="04E83707">
      <w:pPr>
        <w:spacing w:before="120" w:after="80" w:line="276" w:lineRule="auto"/>
        <w:rPr>
          <w:rFonts w:ascii="Times New Roman" w:hAnsi="Times New Roman"/>
          <w:sz w:val="22"/>
          <w:szCs w:val="22"/>
        </w:rPr>
      </w:pPr>
      <w:r>
        <w:rPr>
          <w:rFonts w:ascii="Times New Roman" w:hAnsi="Times New Roman" w:eastAsia="Times New Roman" w:cs="Times New Roman"/>
          <w:b/>
          <w:bCs/>
          <w:i w:val="0"/>
          <w:iCs w:val="0"/>
          <w:sz w:val="22"/>
          <w:szCs w:val="22"/>
        </w:rPr>
        <w:t xml:space="preserve">Supplementary Table S3. </w:t>
      </w:r>
      <w:r>
        <w:rPr>
          <w:rFonts w:ascii="Times New Roman" w:hAnsi="Times New Roman" w:eastAsia="Times New Roman" w:cs="Times New Roman"/>
          <w:b w:val="0"/>
          <w:bCs w:val="0"/>
          <w:i w:val="0"/>
          <w:iCs w:val="0"/>
          <w:sz w:val="22"/>
          <w:szCs w:val="22"/>
        </w:rPr>
        <w:t>Survey-weighted loss to follow-up by digital-integration group.</w:t>
      </w:r>
    </w:p>
    <w:tbl>
      <w:tblPr>
        <w:tblStyle w:val="11"/>
        <w:tblW w:w="9026"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4513"/>
        <w:gridCol w:w="4513"/>
      </w:tblGrid>
      <w:tr w14:paraId="0AF74BA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4513"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291B177C">
            <w:pPr>
              <w:spacing w:before="20" w:after="20" w:line="240" w:lineRule="auto"/>
              <w:jc w:val="left"/>
              <w:rPr>
                <w:rFonts w:ascii="Times New Roman" w:hAnsi="Times New Roman"/>
                <w:sz w:val="20"/>
                <w:szCs w:val="20"/>
              </w:rPr>
            </w:pPr>
            <w:r>
              <w:rPr>
                <w:rFonts w:ascii="Times New Roman" w:hAnsi="Times New Roman" w:eastAsia="Times New Roman" w:cs="Times New Roman"/>
                <w:b/>
                <w:bCs/>
                <w:i w:val="0"/>
                <w:iCs w:val="0"/>
                <w:sz w:val="20"/>
                <w:szCs w:val="20"/>
              </w:rPr>
              <w:t>Exposure group</w:t>
            </w:r>
          </w:p>
        </w:tc>
        <w:tc>
          <w:tcPr>
            <w:tcW w:w="4513"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7925A986">
            <w:pPr>
              <w:spacing w:before="20" w:after="20" w:line="240" w:lineRule="auto"/>
              <w:jc w:val="center"/>
              <w:rPr>
                <w:rFonts w:ascii="Times New Roman" w:hAnsi="Times New Roman"/>
                <w:sz w:val="20"/>
                <w:szCs w:val="20"/>
              </w:rPr>
            </w:pPr>
            <w:r>
              <w:rPr>
                <w:rFonts w:ascii="Times New Roman" w:hAnsi="Times New Roman" w:eastAsia="Times New Roman" w:cs="Times New Roman"/>
                <w:b/>
                <w:bCs/>
                <w:i w:val="0"/>
                <w:iCs w:val="0"/>
                <w:sz w:val="20"/>
                <w:szCs w:val="20"/>
              </w:rPr>
              <w:t>Weighted loss to follow-up</w:t>
            </w:r>
          </w:p>
        </w:tc>
      </w:tr>
      <w:tr w14:paraId="02DC9FD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4513" w:type="dxa"/>
            <w:tcBorders>
              <w:top w:val="nil"/>
              <w:left w:val="nil"/>
              <w:bottom w:val="nil"/>
              <w:right w:val="nil"/>
            </w:tcBorders>
            <w:tcMar>
              <w:top w:w="40" w:type="dxa"/>
              <w:left w:w="90" w:type="dxa"/>
              <w:bottom w:w="40" w:type="dxa"/>
              <w:right w:w="90" w:type="dxa"/>
            </w:tcMar>
            <w:vAlign w:val="center"/>
          </w:tcPr>
          <w:p w14:paraId="29C02718">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Connected non-user</w:t>
            </w:r>
          </w:p>
        </w:tc>
        <w:tc>
          <w:tcPr>
            <w:tcW w:w="4513" w:type="dxa"/>
            <w:tcBorders>
              <w:top w:val="nil"/>
              <w:left w:val="nil"/>
              <w:bottom w:val="nil"/>
              <w:right w:val="nil"/>
            </w:tcBorders>
            <w:tcMar>
              <w:top w:w="40" w:type="dxa"/>
              <w:left w:w="90" w:type="dxa"/>
              <w:bottom w:w="40" w:type="dxa"/>
              <w:right w:w="90" w:type="dxa"/>
            </w:tcMar>
            <w:vAlign w:val="center"/>
          </w:tcPr>
          <w:p w14:paraId="3BA3F27F">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11.3%</w:t>
            </w:r>
          </w:p>
        </w:tc>
      </w:tr>
      <w:tr w14:paraId="45F7D8BA">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4513" w:type="dxa"/>
            <w:tcBorders>
              <w:top w:val="nil"/>
              <w:left w:val="nil"/>
              <w:bottom w:val="nil"/>
              <w:right w:val="nil"/>
            </w:tcBorders>
            <w:tcMar>
              <w:top w:w="40" w:type="dxa"/>
              <w:left w:w="90" w:type="dxa"/>
              <w:bottom w:w="40" w:type="dxa"/>
              <w:right w:w="90" w:type="dxa"/>
            </w:tcMar>
            <w:vAlign w:val="center"/>
          </w:tcPr>
          <w:p w14:paraId="783B9048">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Telehealth user</w:t>
            </w:r>
          </w:p>
        </w:tc>
        <w:tc>
          <w:tcPr>
            <w:tcW w:w="4513" w:type="dxa"/>
            <w:tcBorders>
              <w:top w:val="nil"/>
              <w:left w:val="nil"/>
              <w:bottom w:val="nil"/>
              <w:right w:val="nil"/>
            </w:tcBorders>
            <w:tcMar>
              <w:top w:w="40" w:type="dxa"/>
              <w:left w:w="90" w:type="dxa"/>
              <w:bottom w:w="40" w:type="dxa"/>
              <w:right w:w="90" w:type="dxa"/>
            </w:tcMar>
            <w:vAlign w:val="center"/>
          </w:tcPr>
          <w:p w14:paraId="02AED85B">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11.8%</w:t>
            </w:r>
          </w:p>
        </w:tc>
      </w:tr>
      <w:tr w14:paraId="0A4EF05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4513" w:type="dxa"/>
            <w:tcBorders>
              <w:top w:val="nil"/>
              <w:left w:val="nil"/>
              <w:bottom w:val="single" w:color="000000" w:sz="12" w:space="0"/>
              <w:right w:val="nil"/>
            </w:tcBorders>
            <w:tcMar>
              <w:top w:w="40" w:type="dxa"/>
              <w:left w:w="90" w:type="dxa"/>
              <w:bottom w:w="40" w:type="dxa"/>
              <w:right w:w="90" w:type="dxa"/>
            </w:tcMar>
            <w:vAlign w:val="center"/>
          </w:tcPr>
          <w:p w14:paraId="6C6053D6">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Completely disconnected</w:t>
            </w:r>
          </w:p>
        </w:tc>
        <w:tc>
          <w:tcPr>
            <w:tcW w:w="4513" w:type="dxa"/>
            <w:tcBorders>
              <w:top w:val="nil"/>
              <w:left w:val="nil"/>
              <w:bottom w:val="single" w:color="000000" w:sz="12" w:space="0"/>
              <w:right w:val="nil"/>
            </w:tcBorders>
            <w:tcMar>
              <w:top w:w="40" w:type="dxa"/>
              <w:left w:w="90" w:type="dxa"/>
              <w:bottom w:w="40" w:type="dxa"/>
              <w:right w:w="90" w:type="dxa"/>
            </w:tcMar>
            <w:vAlign w:val="center"/>
          </w:tcPr>
          <w:p w14:paraId="57628EB9">
            <w:pPr>
              <w:spacing w:before="20" w:after="20" w:line="240" w:lineRule="auto"/>
              <w:jc w:val="center"/>
              <w:rPr>
                <w:rFonts w:ascii="Times New Roman" w:hAnsi="Times New Roman"/>
                <w:sz w:val="20"/>
                <w:szCs w:val="20"/>
              </w:rPr>
            </w:pPr>
            <w:r>
              <w:rPr>
                <w:rFonts w:ascii="Times New Roman" w:hAnsi="Times New Roman" w:eastAsia="Times New Roman" w:cs="Times New Roman"/>
                <w:b w:val="0"/>
                <w:bCs w:val="0"/>
                <w:i w:val="0"/>
                <w:iCs w:val="0"/>
                <w:sz w:val="20"/>
                <w:szCs w:val="20"/>
              </w:rPr>
              <w:t>14.0%</w:t>
            </w:r>
          </w:p>
        </w:tc>
      </w:tr>
    </w:tbl>
    <w:p w14:paraId="48CDBFA2">
      <w:pPr>
        <w:spacing w:before="60" w:after="160" w:line="240" w:lineRule="auto"/>
        <w:rPr>
          <w:rFonts w:ascii="Times New Roman" w:hAnsi="Times New Roman"/>
          <w:sz w:val="22"/>
          <w:szCs w:val="22"/>
        </w:rPr>
      </w:pPr>
      <w:r>
        <w:rPr>
          <w:rFonts w:ascii="Times New Roman" w:hAnsi="Times New Roman" w:eastAsia="Times New Roman" w:cs="Times New Roman"/>
          <w:b w:val="0"/>
          <w:bCs w:val="0"/>
          <w:i/>
          <w:iCs/>
          <w:sz w:val="22"/>
          <w:szCs w:val="22"/>
        </w:rPr>
        <w:t xml:space="preserve">Note. </w:t>
      </w:r>
      <w:r>
        <w:rPr>
          <w:rFonts w:ascii="Times New Roman" w:hAnsi="Times New Roman" w:eastAsia="Times New Roman" w:cs="Times New Roman"/>
          <w:b w:val="0"/>
          <w:bCs w:val="0"/>
          <w:i w:val="0"/>
          <w:iCs w:val="0"/>
          <w:sz w:val="22"/>
          <w:szCs w:val="22"/>
        </w:rPr>
        <w:t>Loss to follow-up = no composite event and last observation before round 14. Under extreme-scenario bounding (offline losses recoded as event-free and non-disconnected losses as events, and the reverse), the stacked M3 composite hazard ratio ranged from 1.07 to 1.85.</w:t>
      </w:r>
    </w:p>
    <w:p w14:paraId="1411FA54">
      <w:pPr>
        <w:spacing w:before="200" w:after="80"/>
        <w:jc w:val="left"/>
        <w:rPr>
          <w:rFonts w:ascii="Times New Roman" w:hAnsi="Times New Roman"/>
          <w:sz w:val="22"/>
          <w:szCs w:val="22"/>
        </w:rPr>
      </w:pPr>
      <w:r>
        <w:rPr>
          <w:rFonts w:ascii="Times New Roman" w:hAnsi="Times New Roman" w:eastAsia="Times New Roman" w:cs="Times New Roman"/>
          <w:b/>
          <w:bCs/>
          <w:i w:val="0"/>
          <w:iCs w:val="0"/>
          <w:sz w:val="22"/>
          <w:szCs w:val="22"/>
        </w:rPr>
        <w:t>S4. STROBE / RECORD Reporting Checklist</w:t>
      </w:r>
    </w:p>
    <w:p w14:paraId="7B0DCC2C">
      <w:pPr>
        <w:spacing w:after="120" w:line="312" w:lineRule="auto"/>
        <w:jc w:val="left"/>
        <w:rPr>
          <w:rFonts w:ascii="Times New Roman" w:hAnsi="Times New Roman"/>
          <w:sz w:val="22"/>
          <w:szCs w:val="22"/>
        </w:rPr>
      </w:pPr>
      <w:r>
        <w:rPr>
          <w:rFonts w:ascii="Times New Roman" w:hAnsi="Times New Roman" w:eastAsia="Times New Roman" w:cs="Times New Roman"/>
          <w:b w:val="0"/>
          <w:bCs w:val="0"/>
          <w:i w:val="0"/>
          <w:iCs w:val="0"/>
          <w:sz w:val="22"/>
          <w:szCs w:val="22"/>
        </w:rPr>
        <w:t>The study is reported in accordance with the STROBE statement for cohort studies and the RECORD extension for studies using routinely-collected data. Item locations refer to the main manuscript.</w:t>
      </w:r>
    </w:p>
    <w:tbl>
      <w:tblPr>
        <w:tblStyle w:val="11"/>
        <w:tblW w:w="9026" w:type="dxa"/>
        <w:tblInd w:w="0" w:type="dxa"/>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autofit"/>
        <w:tblCellMar>
          <w:top w:w="0" w:type="dxa"/>
          <w:left w:w="10" w:type="dxa"/>
          <w:bottom w:w="0" w:type="dxa"/>
          <w:right w:w="10" w:type="dxa"/>
        </w:tblCellMar>
      </w:tblPr>
      <w:tblGrid>
        <w:gridCol w:w="1300"/>
        <w:gridCol w:w="4726"/>
        <w:gridCol w:w="3000"/>
      </w:tblGrid>
      <w:tr w14:paraId="39128E4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rPr>
          <w:tblHeader/>
        </w:trPr>
        <w:tc>
          <w:tcPr>
            <w:tcW w:w="130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2056DECA">
            <w:pPr>
              <w:spacing w:before="20" w:after="20" w:line="240" w:lineRule="auto"/>
              <w:jc w:val="left"/>
              <w:rPr>
                <w:rFonts w:ascii="Times New Roman" w:hAnsi="Times New Roman"/>
                <w:sz w:val="20"/>
                <w:szCs w:val="20"/>
              </w:rPr>
            </w:pPr>
            <w:r>
              <w:rPr>
                <w:rFonts w:ascii="Times New Roman" w:hAnsi="Times New Roman" w:eastAsia="Times New Roman" w:cs="Times New Roman"/>
                <w:b/>
                <w:bCs/>
                <w:i w:val="0"/>
                <w:iCs w:val="0"/>
                <w:sz w:val="20"/>
                <w:szCs w:val="20"/>
              </w:rPr>
              <w:t>Item</w:t>
            </w:r>
          </w:p>
        </w:tc>
        <w:tc>
          <w:tcPr>
            <w:tcW w:w="4726"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51B7693C">
            <w:pPr>
              <w:spacing w:before="20" w:after="20" w:line="240" w:lineRule="auto"/>
              <w:jc w:val="left"/>
              <w:rPr>
                <w:rFonts w:ascii="Times New Roman" w:hAnsi="Times New Roman"/>
                <w:sz w:val="20"/>
                <w:szCs w:val="20"/>
              </w:rPr>
            </w:pPr>
            <w:r>
              <w:rPr>
                <w:rFonts w:ascii="Times New Roman" w:hAnsi="Times New Roman" w:eastAsia="Times New Roman" w:cs="Times New Roman"/>
                <w:b/>
                <w:bCs/>
                <w:i w:val="0"/>
                <w:iCs w:val="0"/>
                <w:sz w:val="20"/>
                <w:szCs w:val="20"/>
              </w:rPr>
              <w:t>STROBE/RECORD recommendation</w:t>
            </w:r>
          </w:p>
        </w:tc>
        <w:tc>
          <w:tcPr>
            <w:tcW w:w="3000" w:type="dxa"/>
            <w:tcBorders>
              <w:top w:val="single" w:color="000000" w:sz="12" w:space="0"/>
              <w:left w:val="nil"/>
              <w:bottom w:val="single" w:color="000000" w:sz="4" w:space="0"/>
              <w:right w:val="nil"/>
            </w:tcBorders>
            <w:tcMar>
              <w:top w:w="40" w:type="dxa"/>
              <w:left w:w="90" w:type="dxa"/>
              <w:bottom w:w="40" w:type="dxa"/>
              <w:right w:w="90" w:type="dxa"/>
            </w:tcMar>
            <w:vAlign w:val="center"/>
          </w:tcPr>
          <w:p w14:paraId="0569F168">
            <w:pPr>
              <w:spacing w:before="20" w:after="20" w:line="240" w:lineRule="auto"/>
              <w:jc w:val="left"/>
              <w:rPr>
                <w:rFonts w:ascii="Times New Roman" w:hAnsi="Times New Roman"/>
                <w:sz w:val="20"/>
                <w:szCs w:val="20"/>
              </w:rPr>
            </w:pPr>
            <w:r>
              <w:rPr>
                <w:rFonts w:ascii="Times New Roman" w:hAnsi="Times New Roman" w:eastAsia="Times New Roman" w:cs="Times New Roman"/>
                <w:b/>
                <w:bCs/>
                <w:i w:val="0"/>
                <w:iCs w:val="0"/>
                <w:sz w:val="20"/>
                <w:szCs w:val="20"/>
              </w:rPr>
              <w:t>Location</w:t>
            </w:r>
          </w:p>
        </w:tc>
      </w:tr>
      <w:tr w14:paraId="5F0A509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6264265D">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w:t>
            </w:r>
          </w:p>
        </w:tc>
        <w:tc>
          <w:tcPr>
            <w:tcW w:w="4726" w:type="dxa"/>
            <w:tcBorders>
              <w:top w:val="nil"/>
              <w:left w:val="nil"/>
              <w:bottom w:val="nil"/>
              <w:right w:val="nil"/>
            </w:tcBorders>
            <w:tcMar>
              <w:top w:w="40" w:type="dxa"/>
              <w:left w:w="90" w:type="dxa"/>
              <w:bottom w:w="40" w:type="dxa"/>
              <w:right w:w="90" w:type="dxa"/>
            </w:tcMar>
            <w:vAlign w:val="center"/>
          </w:tcPr>
          <w:p w14:paraId="6E05A675">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Informative title and structured abstract</w:t>
            </w:r>
          </w:p>
        </w:tc>
        <w:tc>
          <w:tcPr>
            <w:tcW w:w="3000" w:type="dxa"/>
            <w:tcBorders>
              <w:top w:val="nil"/>
              <w:left w:val="nil"/>
              <w:bottom w:val="nil"/>
              <w:right w:val="nil"/>
            </w:tcBorders>
            <w:tcMar>
              <w:top w:w="40" w:type="dxa"/>
              <w:left w:w="90" w:type="dxa"/>
              <w:bottom w:w="40" w:type="dxa"/>
              <w:right w:w="90" w:type="dxa"/>
            </w:tcMar>
            <w:vAlign w:val="center"/>
          </w:tcPr>
          <w:p w14:paraId="3871D2C9">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Title; Abstract</w:t>
            </w:r>
          </w:p>
        </w:tc>
      </w:tr>
      <w:tr w14:paraId="76EAFF5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14684683">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2</w:t>
            </w:r>
          </w:p>
        </w:tc>
        <w:tc>
          <w:tcPr>
            <w:tcW w:w="4726" w:type="dxa"/>
            <w:tcBorders>
              <w:top w:val="nil"/>
              <w:left w:val="nil"/>
              <w:bottom w:val="nil"/>
              <w:right w:val="nil"/>
            </w:tcBorders>
            <w:tcMar>
              <w:top w:w="40" w:type="dxa"/>
              <w:left w:w="90" w:type="dxa"/>
              <w:bottom w:w="40" w:type="dxa"/>
              <w:right w:w="90" w:type="dxa"/>
            </w:tcMar>
            <w:vAlign w:val="center"/>
          </w:tcPr>
          <w:p w14:paraId="6926456C">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Background and rationale</w:t>
            </w:r>
          </w:p>
        </w:tc>
        <w:tc>
          <w:tcPr>
            <w:tcW w:w="3000" w:type="dxa"/>
            <w:tcBorders>
              <w:top w:val="nil"/>
              <w:left w:val="nil"/>
              <w:bottom w:val="nil"/>
              <w:right w:val="nil"/>
            </w:tcBorders>
            <w:tcMar>
              <w:top w:w="40" w:type="dxa"/>
              <w:left w:w="90" w:type="dxa"/>
              <w:bottom w:w="40" w:type="dxa"/>
              <w:right w:w="90" w:type="dxa"/>
            </w:tcMar>
            <w:vAlign w:val="center"/>
          </w:tcPr>
          <w:p w14:paraId="72701CFE">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Background</w:t>
            </w:r>
          </w:p>
        </w:tc>
      </w:tr>
      <w:tr w14:paraId="5F9D21D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66BC3D51">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3</w:t>
            </w:r>
          </w:p>
        </w:tc>
        <w:tc>
          <w:tcPr>
            <w:tcW w:w="4726" w:type="dxa"/>
            <w:tcBorders>
              <w:top w:val="nil"/>
              <w:left w:val="nil"/>
              <w:bottom w:val="nil"/>
              <w:right w:val="nil"/>
            </w:tcBorders>
            <w:tcMar>
              <w:top w:w="40" w:type="dxa"/>
              <w:left w:w="90" w:type="dxa"/>
              <w:bottom w:w="40" w:type="dxa"/>
              <w:right w:w="90" w:type="dxa"/>
            </w:tcMar>
            <w:vAlign w:val="center"/>
          </w:tcPr>
          <w:p w14:paraId="25E6FBA3">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Specific objectives and pre-specified hypotheses</w:t>
            </w:r>
          </w:p>
        </w:tc>
        <w:tc>
          <w:tcPr>
            <w:tcW w:w="3000" w:type="dxa"/>
            <w:tcBorders>
              <w:top w:val="nil"/>
              <w:left w:val="nil"/>
              <w:bottom w:val="nil"/>
              <w:right w:val="nil"/>
            </w:tcBorders>
            <w:tcMar>
              <w:top w:w="40" w:type="dxa"/>
              <w:left w:w="90" w:type="dxa"/>
              <w:bottom w:w="40" w:type="dxa"/>
              <w:right w:w="90" w:type="dxa"/>
            </w:tcMar>
            <w:vAlign w:val="center"/>
          </w:tcPr>
          <w:p w14:paraId="69CB4FB1">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Background (final paragraph)</w:t>
            </w:r>
          </w:p>
        </w:tc>
      </w:tr>
      <w:tr w14:paraId="3304E5D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2CA1EE87">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4</w:t>
            </w:r>
          </w:p>
        </w:tc>
        <w:tc>
          <w:tcPr>
            <w:tcW w:w="4726" w:type="dxa"/>
            <w:tcBorders>
              <w:top w:val="nil"/>
              <w:left w:val="nil"/>
              <w:bottom w:val="nil"/>
              <w:right w:val="nil"/>
            </w:tcBorders>
            <w:tcMar>
              <w:top w:w="40" w:type="dxa"/>
              <w:left w:w="90" w:type="dxa"/>
              <w:bottom w:w="40" w:type="dxa"/>
              <w:right w:w="90" w:type="dxa"/>
            </w:tcMar>
            <w:vAlign w:val="center"/>
          </w:tcPr>
          <w:p w14:paraId="7C2212BC">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Cohort study design stated early</w:t>
            </w:r>
          </w:p>
        </w:tc>
        <w:tc>
          <w:tcPr>
            <w:tcW w:w="3000" w:type="dxa"/>
            <w:tcBorders>
              <w:top w:val="nil"/>
              <w:left w:val="nil"/>
              <w:bottom w:val="nil"/>
              <w:right w:val="nil"/>
            </w:tcBorders>
            <w:tcMar>
              <w:top w:w="40" w:type="dxa"/>
              <w:left w:w="90" w:type="dxa"/>
              <w:bottom w:w="40" w:type="dxa"/>
              <w:right w:w="90" w:type="dxa"/>
            </w:tcMar>
            <w:vAlign w:val="center"/>
          </w:tcPr>
          <w:p w14:paraId="41495E80">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Study Design</w:t>
            </w:r>
          </w:p>
        </w:tc>
      </w:tr>
      <w:tr w14:paraId="71BAF55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4301E43C">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5</w:t>
            </w:r>
          </w:p>
        </w:tc>
        <w:tc>
          <w:tcPr>
            <w:tcW w:w="4726" w:type="dxa"/>
            <w:tcBorders>
              <w:top w:val="nil"/>
              <w:left w:val="nil"/>
              <w:bottom w:val="nil"/>
              <w:right w:val="nil"/>
            </w:tcBorders>
            <w:tcMar>
              <w:top w:w="40" w:type="dxa"/>
              <w:left w:w="90" w:type="dxa"/>
              <w:bottom w:w="40" w:type="dxa"/>
              <w:right w:w="90" w:type="dxa"/>
            </w:tcMar>
            <w:vAlign w:val="center"/>
          </w:tcPr>
          <w:p w14:paraId="2FD148B8">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Setting, locations, and periods (2021-2025)</w:t>
            </w:r>
          </w:p>
        </w:tc>
        <w:tc>
          <w:tcPr>
            <w:tcW w:w="3000" w:type="dxa"/>
            <w:tcBorders>
              <w:top w:val="nil"/>
              <w:left w:val="nil"/>
              <w:bottom w:val="nil"/>
              <w:right w:val="nil"/>
            </w:tcBorders>
            <w:tcMar>
              <w:top w:w="40" w:type="dxa"/>
              <w:left w:w="90" w:type="dxa"/>
              <w:bottom w:w="40" w:type="dxa"/>
              <w:right w:w="90" w:type="dxa"/>
            </w:tcMar>
            <w:vAlign w:val="center"/>
          </w:tcPr>
          <w:p w14:paraId="7D6FD436">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Study Design</w:t>
            </w:r>
          </w:p>
        </w:tc>
      </w:tr>
      <w:tr w14:paraId="7377EC4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660C589A">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6</w:t>
            </w:r>
          </w:p>
        </w:tc>
        <w:tc>
          <w:tcPr>
            <w:tcW w:w="4726" w:type="dxa"/>
            <w:tcBorders>
              <w:top w:val="nil"/>
              <w:left w:val="nil"/>
              <w:bottom w:val="nil"/>
              <w:right w:val="nil"/>
            </w:tcBorders>
            <w:tcMar>
              <w:top w:w="40" w:type="dxa"/>
              <w:left w:w="90" w:type="dxa"/>
              <w:bottom w:w="40" w:type="dxa"/>
              <w:right w:w="90" w:type="dxa"/>
            </w:tcMar>
            <w:vAlign w:val="center"/>
          </w:tcPr>
          <w:p w14:paraId="0069949F">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Eligibility criteria, sources, selection; staggered entry</w:t>
            </w:r>
          </w:p>
        </w:tc>
        <w:tc>
          <w:tcPr>
            <w:tcW w:w="3000" w:type="dxa"/>
            <w:tcBorders>
              <w:top w:val="nil"/>
              <w:left w:val="nil"/>
              <w:bottom w:val="nil"/>
              <w:right w:val="nil"/>
            </w:tcBorders>
            <w:tcMar>
              <w:top w:w="40" w:type="dxa"/>
              <w:left w:w="90" w:type="dxa"/>
              <w:bottom w:w="40" w:type="dxa"/>
              <w:right w:w="90" w:type="dxa"/>
            </w:tcMar>
            <w:vAlign w:val="center"/>
          </w:tcPr>
          <w:p w14:paraId="0FEFEB65">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Analytic Population; Figure 1</w:t>
            </w:r>
          </w:p>
        </w:tc>
      </w:tr>
      <w:tr w14:paraId="60DDBE9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0D1A2FBD">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7</w:t>
            </w:r>
          </w:p>
        </w:tc>
        <w:tc>
          <w:tcPr>
            <w:tcW w:w="4726" w:type="dxa"/>
            <w:tcBorders>
              <w:top w:val="nil"/>
              <w:left w:val="nil"/>
              <w:bottom w:val="nil"/>
              <w:right w:val="nil"/>
            </w:tcBorders>
            <w:tcMar>
              <w:top w:w="40" w:type="dxa"/>
              <w:left w:w="90" w:type="dxa"/>
              <w:bottom w:w="40" w:type="dxa"/>
              <w:right w:w="90" w:type="dxa"/>
            </w:tcMar>
            <w:vAlign w:val="center"/>
          </w:tcPr>
          <w:p w14:paraId="093ED1E5">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Outcomes, exposures, predictors, confounders defined</w:t>
            </w:r>
          </w:p>
        </w:tc>
        <w:tc>
          <w:tcPr>
            <w:tcW w:w="3000" w:type="dxa"/>
            <w:tcBorders>
              <w:top w:val="nil"/>
              <w:left w:val="nil"/>
              <w:bottom w:val="nil"/>
              <w:right w:val="nil"/>
            </w:tcBorders>
            <w:tcMar>
              <w:top w:w="40" w:type="dxa"/>
              <w:left w:w="90" w:type="dxa"/>
              <w:bottom w:w="40" w:type="dxa"/>
              <w:right w:w="90" w:type="dxa"/>
            </w:tcMar>
            <w:vAlign w:val="center"/>
          </w:tcPr>
          <w:p w14:paraId="7EEEBBE4">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Exposure / Outcomes and Covariates</w:t>
            </w:r>
          </w:p>
        </w:tc>
      </w:tr>
      <w:tr w14:paraId="301224C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62E436B3">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8</w:t>
            </w:r>
          </w:p>
        </w:tc>
        <w:tc>
          <w:tcPr>
            <w:tcW w:w="4726" w:type="dxa"/>
            <w:tcBorders>
              <w:top w:val="nil"/>
              <w:left w:val="nil"/>
              <w:bottom w:val="nil"/>
              <w:right w:val="nil"/>
            </w:tcBorders>
            <w:tcMar>
              <w:top w:w="40" w:type="dxa"/>
              <w:left w:w="90" w:type="dxa"/>
              <w:bottom w:w="40" w:type="dxa"/>
              <w:right w:w="90" w:type="dxa"/>
            </w:tcMar>
            <w:vAlign w:val="center"/>
          </w:tcPr>
          <w:p w14:paraId="1704ECCC">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Sources and methods of measurement</w:t>
            </w:r>
          </w:p>
        </w:tc>
        <w:tc>
          <w:tcPr>
            <w:tcW w:w="3000" w:type="dxa"/>
            <w:tcBorders>
              <w:top w:val="nil"/>
              <w:left w:val="nil"/>
              <w:bottom w:val="nil"/>
              <w:right w:val="nil"/>
            </w:tcBorders>
            <w:tcMar>
              <w:top w:w="40" w:type="dxa"/>
              <w:left w:w="90" w:type="dxa"/>
              <w:bottom w:w="40" w:type="dxa"/>
              <w:right w:w="90" w:type="dxa"/>
            </w:tcMar>
            <w:vAlign w:val="center"/>
          </w:tcPr>
          <w:p w14:paraId="40DF67C2">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Appendix S1.1</w:t>
            </w:r>
          </w:p>
        </w:tc>
      </w:tr>
      <w:tr w14:paraId="76BF348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7632EE86">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9</w:t>
            </w:r>
          </w:p>
        </w:tc>
        <w:tc>
          <w:tcPr>
            <w:tcW w:w="4726" w:type="dxa"/>
            <w:tcBorders>
              <w:top w:val="nil"/>
              <w:left w:val="nil"/>
              <w:bottom w:val="nil"/>
              <w:right w:val="nil"/>
            </w:tcBorders>
            <w:tcMar>
              <w:top w:w="40" w:type="dxa"/>
              <w:left w:w="90" w:type="dxa"/>
              <w:bottom w:w="40" w:type="dxa"/>
              <w:right w:w="90" w:type="dxa"/>
            </w:tcMar>
            <w:vAlign w:val="center"/>
          </w:tcPr>
          <w:p w14:paraId="2EE18D9D">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Bias: confounding, reverse causation, proxy response, loss to follow-up</w:t>
            </w:r>
          </w:p>
        </w:tc>
        <w:tc>
          <w:tcPr>
            <w:tcW w:w="3000" w:type="dxa"/>
            <w:tcBorders>
              <w:top w:val="nil"/>
              <w:left w:val="nil"/>
              <w:bottom w:val="nil"/>
              <w:right w:val="nil"/>
            </w:tcBorders>
            <w:tcMar>
              <w:top w:w="40" w:type="dxa"/>
              <w:left w:w="90" w:type="dxa"/>
              <w:bottom w:w="40" w:type="dxa"/>
              <w:right w:w="90" w:type="dxa"/>
            </w:tcMar>
            <w:vAlign w:val="center"/>
          </w:tcPr>
          <w:p w14:paraId="1CE8632B">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Statistical Analysis; Discussion</w:t>
            </w:r>
          </w:p>
        </w:tc>
      </w:tr>
      <w:tr w14:paraId="61F5672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1BB94B3B">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10</w:t>
            </w:r>
          </w:p>
        </w:tc>
        <w:tc>
          <w:tcPr>
            <w:tcW w:w="4726" w:type="dxa"/>
            <w:tcBorders>
              <w:top w:val="nil"/>
              <w:left w:val="nil"/>
              <w:bottom w:val="nil"/>
              <w:right w:val="nil"/>
            </w:tcBorders>
            <w:tcMar>
              <w:top w:w="40" w:type="dxa"/>
              <w:left w:w="90" w:type="dxa"/>
              <w:bottom w:w="40" w:type="dxa"/>
              <w:right w:w="90" w:type="dxa"/>
            </w:tcMar>
            <w:vAlign w:val="center"/>
          </w:tcPr>
          <w:p w14:paraId="3D863FD5">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Study size and unit of analysis (person-baseline)</w:t>
            </w:r>
          </w:p>
        </w:tc>
        <w:tc>
          <w:tcPr>
            <w:tcW w:w="3000" w:type="dxa"/>
            <w:tcBorders>
              <w:top w:val="nil"/>
              <w:left w:val="nil"/>
              <w:bottom w:val="nil"/>
              <w:right w:val="nil"/>
            </w:tcBorders>
            <w:tcMar>
              <w:top w:w="40" w:type="dxa"/>
              <w:left w:w="90" w:type="dxa"/>
              <w:bottom w:w="40" w:type="dxa"/>
              <w:right w:w="90" w:type="dxa"/>
            </w:tcMar>
            <w:vAlign w:val="center"/>
          </w:tcPr>
          <w:p w14:paraId="696901C1">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Analytic Population; Figure 1</w:t>
            </w:r>
          </w:p>
        </w:tc>
      </w:tr>
      <w:tr w14:paraId="794AFB2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73D19723">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11</w:t>
            </w:r>
          </w:p>
        </w:tc>
        <w:tc>
          <w:tcPr>
            <w:tcW w:w="4726" w:type="dxa"/>
            <w:tcBorders>
              <w:top w:val="nil"/>
              <w:left w:val="nil"/>
              <w:bottom w:val="nil"/>
              <w:right w:val="nil"/>
            </w:tcBorders>
            <w:tcMar>
              <w:top w:w="40" w:type="dxa"/>
              <w:left w:w="90" w:type="dxa"/>
              <w:bottom w:w="40" w:type="dxa"/>
              <w:right w:w="90" w:type="dxa"/>
            </w:tcMar>
            <w:vAlign w:val="center"/>
          </w:tcPr>
          <w:p w14:paraId="4EE2FB17">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Quantitative handling of variables; adjustment blocks M0-M4</w:t>
            </w:r>
          </w:p>
        </w:tc>
        <w:tc>
          <w:tcPr>
            <w:tcW w:w="3000" w:type="dxa"/>
            <w:tcBorders>
              <w:top w:val="nil"/>
              <w:left w:val="nil"/>
              <w:bottom w:val="nil"/>
              <w:right w:val="nil"/>
            </w:tcBorders>
            <w:tcMar>
              <w:top w:w="40" w:type="dxa"/>
              <w:left w:w="90" w:type="dxa"/>
              <w:bottom w:w="40" w:type="dxa"/>
              <w:right w:w="90" w:type="dxa"/>
            </w:tcMar>
            <w:vAlign w:val="center"/>
          </w:tcPr>
          <w:p w14:paraId="41F0B868">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Covariates and Statistical Analysis</w:t>
            </w:r>
          </w:p>
        </w:tc>
      </w:tr>
      <w:tr w14:paraId="1462A03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29F7A1E9">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12</w:t>
            </w:r>
          </w:p>
        </w:tc>
        <w:tc>
          <w:tcPr>
            <w:tcW w:w="4726" w:type="dxa"/>
            <w:tcBorders>
              <w:top w:val="nil"/>
              <w:left w:val="nil"/>
              <w:bottom w:val="nil"/>
              <w:right w:val="nil"/>
            </w:tcBorders>
            <w:tcMar>
              <w:top w:w="40" w:type="dxa"/>
              <w:left w:w="90" w:type="dxa"/>
              <w:bottom w:w="40" w:type="dxa"/>
              <w:right w:w="90" w:type="dxa"/>
            </w:tcMar>
            <w:vAlign w:val="center"/>
          </w:tcPr>
          <w:p w14:paraId="633AD2DE">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Statistical methods, survey design, stacked model, pooling, sensitivity</w:t>
            </w:r>
          </w:p>
        </w:tc>
        <w:tc>
          <w:tcPr>
            <w:tcW w:w="3000" w:type="dxa"/>
            <w:tcBorders>
              <w:top w:val="nil"/>
              <w:left w:val="nil"/>
              <w:bottom w:val="nil"/>
              <w:right w:val="nil"/>
            </w:tcBorders>
            <w:tcMar>
              <w:top w:w="40" w:type="dxa"/>
              <w:left w:w="90" w:type="dxa"/>
              <w:bottom w:w="40" w:type="dxa"/>
              <w:right w:w="90" w:type="dxa"/>
            </w:tcMar>
            <w:vAlign w:val="center"/>
          </w:tcPr>
          <w:p w14:paraId="1F35101C">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Statistical Analysis</w:t>
            </w:r>
          </w:p>
        </w:tc>
      </w:tr>
      <w:tr w14:paraId="75A6D868">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4ED1CEE3">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13</w:t>
            </w:r>
          </w:p>
        </w:tc>
        <w:tc>
          <w:tcPr>
            <w:tcW w:w="4726" w:type="dxa"/>
            <w:tcBorders>
              <w:top w:val="nil"/>
              <w:left w:val="nil"/>
              <w:bottom w:val="nil"/>
              <w:right w:val="nil"/>
            </w:tcBorders>
            <w:tcMar>
              <w:top w:w="40" w:type="dxa"/>
              <w:left w:w="90" w:type="dxa"/>
              <w:bottom w:w="40" w:type="dxa"/>
              <w:right w:w="90" w:type="dxa"/>
            </w:tcMar>
            <w:vAlign w:val="center"/>
          </w:tcPr>
          <w:p w14:paraId="3568FD07">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Participants and numbers at each stage</w:t>
            </w:r>
          </w:p>
        </w:tc>
        <w:tc>
          <w:tcPr>
            <w:tcW w:w="3000" w:type="dxa"/>
            <w:tcBorders>
              <w:top w:val="nil"/>
              <w:left w:val="nil"/>
              <w:bottom w:val="nil"/>
              <w:right w:val="nil"/>
            </w:tcBorders>
            <w:tcMar>
              <w:top w:w="40" w:type="dxa"/>
              <w:left w:w="90" w:type="dxa"/>
              <w:bottom w:w="40" w:type="dxa"/>
              <w:right w:w="90" w:type="dxa"/>
            </w:tcMar>
            <w:vAlign w:val="center"/>
          </w:tcPr>
          <w:p w14:paraId="17440C13">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Figure 1; Results, Baseline</w:t>
            </w:r>
          </w:p>
        </w:tc>
      </w:tr>
      <w:tr w14:paraId="6BFF76A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31255192">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14</w:t>
            </w:r>
          </w:p>
        </w:tc>
        <w:tc>
          <w:tcPr>
            <w:tcW w:w="4726" w:type="dxa"/>
            <w:tcBorders>
              <w:top w:val="nil"/>
              <w:left w:val="nil"/>
              <w:bottom w:val="nil"/>
              <w:right w:val="nil"/>
            </w:tcBorders>
            <w:tcMar>
              <w:top w:w="40" w:type="dxa"/>
              <w:left w:w="90" w:type="dxa"/>
              <w:bottom w:w="40" w:type="dxa"/>
              <w:right w:w="90" w:type="dxa"/>
            </w:tcMar>
            <w:vAlign w:val="center"/>
          </w:tcPr>
          <w:p w14:paraId="44F12703">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Descriptive data by exposure group</w:t>
            </w:r>
          </w:p>
        </w:tc>
        <w:tc>
          <w:tcPr>
            <w:tcW w:w="3000" w:type="dxa"/>
            <w:tcBorders>
              <w:top w:val="nil"/>
              <w:left w:val="nil"/>
              <w:bottom w:val="nil"/>
              <w:right w:val="nil"/>
            </w:tcBorders>
            <w:tcMar>
              <w:top w:w="40" w:type="dxa"/>
              <w:left w:w="90" w:type="dxa"/>
              <w:bottom w:w="40" w:type="dxa"/>
              <w:right w:w="90" w:type="dxa"/>
            </w:tcMar>
            <w:vAlign w:val="center"/>
          </w:tcPr>
          <w:p w14:paraId="186E71FA">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Table 1</w:t>
            </w:r>
          </w:p>
        </w:tc>
      </w:tr>
      <w:tr w14:paraId="66B8E8E0">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014DE0DF">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15</w:t>
            </w:r>
          </w:p>
        </w:tc>
        <w:tc>
          <w:tcPr>
            <w:tcW w:w="4726" w:type="dxa"/>
            <w:tcBorders>
              <w:top w:val="nil"/>
              <w:left w:val="nil"/>
              <w:bottom w:val="nil"/>
              <w:right w:val="nil"/>
            </w:tcBorders>
            <w:tcMar>
              <w:top w:w="40" w:type="dxa"/>
              <w:left w:w="90" w:type="dxa"/>
              <w:bottom w:w="40" w:type="dxa"/>
              <w:right w:w="90" w:type="dxa"/>
            </w:tcMar>
            <w:vAlign w:val="center"/>
          </w:tcPr>
          <w:p w14:paraId="2A881D05">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Outcome events over time; event counts</w:t>
            </w:r>
          </w:p>
        </w:tc>
        <w:tc>
          <w:tcPr>
            <w:tcW w:w="3000" w:type="dxa"/>
            <w:tcBorders>
              <w:top w:val="nil"/>
              <w:left w:val="nil"/>
              <w:bottom w:val="nil"/>
              <w:right w:val="nil"/>
            </w:tcBorders>
            <w:tcMar>
              <w:top w:w="40" w:type="dxa"/>
              <w:left w:w="90" w:type="dxa"/>
              <w:bottom w:w="40" w:type="dxa"/>
              <w:right w:w="90" w:type="dxa"/>
            </w:tcMar>
            <w:vAlign w:val="center"/>
          </w:tcPr>
          <w:p w14:paraId="32CF445E">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Table 2; Figure 4</w:t>
            </w:r>
          </w:p>
        </w:tc>
      </w:tr>
      <w:tr w14:paraId="2E6B625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4DBF24C3">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16</w:t>
            </w:r>
          </w:p>
        </w:tc>
        <w:tc>
          <w:tcPr>
            <w:tcW w:w="4726" w:type="dxa"/>
            <w:tcBorders>
              <w:top w:val="nil"/>
              <w:left w:val="nil"/>
              <w:bottom w:val="nil"/>
              <w:right w:val="nil"/>
            </w:tcBorders>
            <w:tcMar>
              <w:top w:w="40" w:type="dxa"/>
              <w:left w:w="90" w:type="dxa"/>
              <w:bottom w:w="40" w:type="dxa"/>
              <w:right w:w="90" w:type="dxa"/>
            </w:tcMar>
            <w:vAlign w:val="center"/>
          </w:tcPr>
          <w:p w14:paraId="5C97DB7F">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Main results with adjusted estimates and CIs</w:t>
            </w:r>
          </w:p>
        </w:tc>
        <w:tc>
          <w:tcPr>
            <w:tcW w:w="3000" w:type="dxa"/>
            <w:tcBorders>
              <w:top w:val="nil"/>
              <w:left w:val="nil"/>
              <w:bottom w:val="nil"/>
              <w:right w:val="nil"/>
            </w:tcBorders>
            <w:tcMar>
              <w:top w:w="40" w:type="dxa"/>
              <w:left w:w="90" w:type="dxa"/>
              <w:bottom w:w="40" w:type="dxa"/>
              <w:right w:w="90" w:type="dxa"/>
            </w:tcMar>
            <w:vAlign w:val="center"/>
          </w:tcPr>
          <w:p w14:paraId="04FAFDD4">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Table 3; Figures 2-3</w:t>
            </w:r>
          </w:p>
        </w:tc>
      </w:tr>
      <w:tr w14:paraId="1DB2A8F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4F49DD90">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17</w:t>
            </w:r>
          </w:p>
        </w:tc>
        <w:tc>
          <w:tcPr>
            <w:tcW w:w="4726" w:type="dxa"/>
            <w:tcBorders>
              <w:top w:val="nil"/>
              <w:left w:val="nil"/>
              <w:bottom w:val="nil"/>
              <w:right w:val="nil"/>
            </w:tcBorders>
            <w:tcMar>
              <w:top w:w="40" w:type="dxa"/>
              <w:left w:w="90" w:type="dxa"/>
              <w:bottom w:w="40" w:type="dxa"/>
              <w:right w:w="90" w:type="dxa"/>
            </w:tcMar>
            <w:vAlign w:val="center"/>
          </w:tcPr>
          <w:p w14:paraId="207C1509">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Other analyses: E-values, multiple imputation, competing risk, sensitivity</w:t>
            </w:r>
          </w:p>
        </w:tc>
        <w:tc>
          <w:tcPr>
            <w:tcW w:w="3000" w:type="dxa"/>
            <w:tcBorders>
              <w:top w:val="nil"/>
              <w:left w:val="nil"/>
              <w:bottom w:val="nil"/>
              <w:right w:val="nil"/>
            </w:tcBorders>
            <w:tcMar>
              <w:top w:w="40" w:type="dxa"/>
              <w:left w:w="90" w:type="dxa"/>
              <w:bottom w:w="40" w:type="dxa"/>
              <w:right w:w="90" w:type="dxa"/>
            </w:tcMar>
            <w:vAlign w:val="center"/>
          </w:tcPr>
          <w:p w14:paraId="427FC6A8">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Table 4; Suppl. Tables S1-S3</w:t>
            </w:r>
          </w:p>
        </w:tc>
      </w:tr>
      <w:tr w14:paraId="75D41E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22C67835">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18</w:t>
            </w:r>
          </w:p>
        </w:tc>
        <w:tc>
          <w:tcPr>
            <w:tcW w:w="4726" w:type="dxa"/>
            <w:tcBorders>
              <w:top w:val="nil"/>
              <w:left w:val="nil"/>
              <w:bottom w:val="nil"/>
              <w:right w:val="nil"/>
            </w:tcBorders>
            <w:tcMar>
              <w:top w:w="40" w:type="dxa"/>
              <w:left w:w="90" w:type="dxa"/>
              <w:bottom w:w="40" w:type="dxa"/>
              <w:right w:w="90" w:type="dxa"/>
            </w:tcMar>
            <w:vAlign w:val="center"/>
          </w:tcPr>
          <w:p w14:paraId="1EC65836">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Key results summarized with reference to objectives</w:t>
            </w:r>
          </w:p>
        </w:tc>
        <w:tc>
          <w:tcPr>
            <w:tcW w:w="3000" w:type="dxa"/>
            <w:tcBorders>
              <w:top w:val="nil"/>
              <w:left w:val="nil"/>
              <w:bottom w:val="nil"/>
              <w:right w:val="nil"/>
            </w:tcBorders>
            <w:tcMar>
              <w:top w:w="40" w:type="dxa"/>
              <w:left w:w="90" w:type="dxa"/>
              <w:bottom w:w="40" w:type="dxa"/>
              <w:right w:w="90" w:type="dxa"/>
            </w:tcMar>
            <w:vAlign w:val="center"/>
          </w:tcPr>
          <w:p w14:paraId="5A5F455C">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Discussion, Principal Findings</w:t>
            </w:r>
          </w:p>
        </w:tc>
      </w:tr>
      <w:tr w14:paraId="7863DA7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1145701C">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19</w:t>
            </w:r>
          </w:p>
        </w:tc>
        <w:tc>
          <w:tcPr>
            <w:tcW w:w="4726" w:type="dxa"/>
            <w:tcBorders>
              <w:top w:val="nil"/>
              <w:left w:val="nil"/>
              <w:bottom w:val="nil"/>
              <w:right w:val="nil"/>
            </w:tcBorders>
            <w:tcMar>
              <w:top w:w="40" w:type="dxa"/>
              <w:left w:w="90" w:type="dxa"/>
              <w:bottom w:w="40" w:type="dxa"/>
              <w:right w:w="90" w:type="dxa"/>
            </w:tcMar>
            <w:vAlign w:val="center"/>
          </w:tcPr>
          <w:p w14:paraId="783E304B">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Limitations, with direction and magnitude of potential bias</w:t>
            </w:r>
          </w:p>
        </w:tc>
        <w:tc>
          <w:tcPr>
            <w:tcW w:w="3000" w:type="dxa"/>
            <w:tcBorders>
              <w:top w:val="nil"/>
              <w:left w:val="nil"/>
              <w:bottom w:val="nil"/>
              <w:right w:val="nil"/>
            </w:tcBorders>
            <w:tcMar>
              <w:top w:w="40" w:type="dxa"/>
              <w:left w:w="90" w:type="dxa"/>
              <w:bottom w:w="40" w:type="dxa"/>
              <w:right w:w="90" w:type="dxa"/>
            </w:tcMar>
            <w:vAlign w:val="center"/>
          </w:tcPr>
          <w:p w14:paraId="0DE2B3A4">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Discussion, Strengths and Limitations</w:t>
            </w:r>
          </w:p>
        </w:tc>
      </w:tr>
      <w:tr w14:paraId="6156E12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774568DB">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20</w:t>
            </w:r>
          </w:p>
        </w:tc>
        <w:tc>
          <w:tcPr>
            <w:tcW w:w="4726" w:type="dxa"/>
            <w:tcBorders>
              <w:top w:val="nil"/>
              <w:left w:val="nil"/>
              <w:bottom w:val="nil"/>
              <w:right w:val="nil"/>
            </w:tcBorders>
            <w:tcMar>
              <w:top w:w="40" w:type="dxa"/>
              <w:left w:w="90" w:type="dxa"/>
              <w:bottom w:w="40" w:type="dxa"/>
              <w:right w:w="90" w:type="dxa"/>
            </w:tcMar>
            <w:vAlign w:val="center"/>
          </w:tcPr>
          <w:p w14:paraId="26C8659D">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Interpretation (prognostic, not causal)</w:t>
            </w:r>
          </w:p>
        </w:tc>
        <w:tc>
          <w:tcPr>
            <w:tcW w:w="3000" w:type="dxa"/>
            <w:tcBorders>
              <w:top w:val="nil"/>
              <w:left w:val="nil"/>
              <w:bottom w:val="nil"/>
              <w:right w:val="nil"/>
            </w:tcBorders>
            <w:tcMar>
              <w:top w:w="40" w:type="dxa"/>
              <w:left w:w="90" w:type="dxa"/>
              <w:bottom w:w="40" w:type="dxa"/>
              <w:right w:w="90" w:type="dxa"/>
            </w:tcMar>
            <w:vAlign w:val="center"/>
          </w:tcPr>
          <w:p w14:paraId="232D0773">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Discussion, A Prognostic Marker Not a Causal Factor</w:t>
            </w:r>
          </w:p>
        </w:tc>
      </w:tr>
      <w:tr w14:paraId="3DD1C1F3">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3B7A78A0">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21</w:t>
            </w:r>
          </w:p>
        </w:tc>
        <w:tc>
          <w:tcPr>
            <w:tcW w:w="4726" w:type="dxa"/>
            <w:tcBorders>
              <w:top w:val="nil"/>
              <w:left w:val="nil"/>
              <w:bottom w:val="nil"/>
              <w:right w:val="nil"/>
            </w:tcBorders>
            <w:tcMar>
              <w:top w:w="40" w:type="dxa"/>
              <w:left w:w="90" w:type="dxa"/>
              <w:bottom w:w="40" w:type="dxa"/>
              <w:right w:w="90" w:type="dxa"/>
            </w:tcMar>
            <w:vAlign w:val="center"/>
          </w:tcPr>
          <w:p w14:paraId="720442AC">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Generalizability</w:t>
            </w:r>
          </w:p>
        </w:tc>
        <w:tc>
          <w:tcPr>
            <w:tcW w:w="3000" w:type="dxa"/>
            <w:tcBorders>
              <w:top w:val="nil"/>
              <w:left w:val="nil"/>
              <w:bottom w:val="nil"/>
              <w:right w:val="nil"/>
            </w:tcBorders>
            <w:tcMar>
              <w:top w:w="40" w:type="dxa"/>
              <w:left w:w="90" w:type="dxa"/>
              <w:bottom w:w="40" w:type="dxa"/>
              <w:right w:w="90" w:type="dxa"/>
            </w:tcMar>
            <w:vAlign w:val="center"/>
          </w:tcPr>
          <w:p w14:paraId="1BC1DEB6">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Discussion; Methods (national sample)</w:t>
            </w:r>
          </w:p>
        </w:tc>
      </w:tr>
      <w:tr w14:paraId="2299C2E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79480330">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22</w:t>
            </w:r>
          </w:p>
        </w:tc>
        <w:tc>
          <w:tcPr>
            <w:tcW w:w="4726" w:type="dxa"/>
            <w:tcBorders>
              <w:top w:val="nil"/>
              <w:left w:val="nil"/>
              <w:bottom w:val="nil"/>
              <w:right w:val="nil"/>
            </w:tcBorders>
            <w:tcMar>
              <w:top w:w="40" w:type="dxa"/>
              <w:left w:w="90" w:type="dxa"/>
              <w:bottom w:w="40" w:type="dxa"/>
              <w:right w:w="90" w:type="dxa"/>
            </w:tcMar>
            <w:vAlign w:val="center"/>
          </w:tcPr>
          <w:p w14:paraId="5346472D">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Funding and role of the funder</w:t>
            </w:r>
          </w:p>
        </w:tc>
        <w:tc>
          <w:tcPr>
            <w:tcW w:w="3000" w:type="dxa"/>
            <w:tcBorders>
              <w:top w:val="nil"/>
              <w:left w:val="nil"/>
              <w:bottom w:val="nil"/>
              <w:right w:val="nil"/>
            </w:tcBorders>
            <w:tcMar>
              <w:top w:w="40" w:type="dxa"/>
              <w:left w:w="90" w:type="dxa"/>
              <w:bottom w:w="40" w:type="dxa"/>
              <w:right w:w="90" w:type="dxa"/>
            </w:tcMar>
            <w:vAlign w:val="center"/>
          </w:tcPr>
          <w:p w14:paraId="6F023FEB">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Declarations, Acknowledgments</w:t>
            </w:r>
          </w:p>
        </w:tc>
      </w:tr>
      <w:tr w14:paraId="28B7F9C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5CF7A9E1">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RECORD 6.1-6.3</w:t>
            </w:r>
          </w:p>
        </w:tc>
        <w:tc>
          <w:tcPr>
            <w:tcW w:w="4726" w:type="dxa"/>
            <w:tcBorders>
              <w:top w:val="nil"/>
              <w:left w:val="nil"/>
              <w:bottom w:val="nil"/>
              <w:right w:val="nil"/>
            </w:tcBorders>
            <w:tcMar>
              <w:top w:w="40" w:type="dxa"/>
              <w:left w:w="90" w:type="dxa"/>
              <w:bottom w:w="40" w:type="dxa"/>
              <w:right w:w="90" w:type="dxa"/>
            </w:tcMar>
            <w:vAlign w:val="center"/>
          </w:tcPr>
          <w:p w14:paraId="49A20786">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Data source, codes, validation; population selection</w:t>
            </w:r>
          </w:p>
        </w:tc>
        <w:tc>
          <w:tcPr>
            <w:tcW w:w="3000" w:type="dxa"/>
            <w:tcBorders>
              <w:top w:val="nil"/>
              <w:left w:val="nil"/>
              <w:bottom w:val="nil"/>
              <w:right w:val="nil"/>
            </w:tcBorders>
            <w:tcMar>
              <w:top w:w="40" w:type="dxa"/>
              <w:left w:w="90" w:type="dxa"/>
              <w:bottom w:w="40" w:type="dxa"/>
              <w:right w:w="90" w:type="dxa"/>
            </w:tcMar>
            <w:vAlign w:val="center"/>
          </w:tcPr>
          <w:p w14:paraId="48891402">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Methods; Appendix S1.1; Figure 1</w:t>
            </w:r>
          </w:p>
        </w:tc>
      </w:tr>
      <w:tr w14:paraId="7404867F">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450F1451">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RECORD 7.1</w:t>
            </w:r>
          </w:p>
        </w:tc>
        <w:tc>
          <w:tcPr>
            <w:tcW w:w="4726" w:type="dxa"/>
            <w:tcBorders>
              <w:top w:val="nil"/>
              <w:left w:val="nil"/>
              <w:bottom w:val="nil"/>
              <w:right w:val="nil"/>
            </w:tcBorders>
            <w:tcMar>
              <w:top w:w="40" w:type="dxa"/>
              <w:left w:w="90" w:type="dxa"/>
              <w:bottom w:w="40" w:type="dxa"/>
              <w:right w:w="90" w:type="dxa"/>
            </w:tcMar>
            <w:vAlign w:val="center"/>
          </w:tcPr>
          <w:p w14:paraId="63C05DB2">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Variables derived from routinely-collected data</w:t>
            </w:r>
          </w:p>
        </w:tc>
        <w:tc>
          <w:tcPr>
            <w:tcW w:w="3000" w:type="dxa"/>
            <w:tcBorders>
              <w:top w:val="nil"/>
              <w:left w:val="nil"/>
              <w:bottom w:val="nil"/>
              <w:right w:val="nil"/>
            </w:tcBorders>
            <w:tcMar>
              <w:top w:w="40" w:type="dxa"/>
              <w:left w:w="90" w:type="dxa"/>
              <w:bottom w:w="40" w:type="dxa"/>
              <w:right w:w="90" w:type="dxa"/>
            </w:tcMar>
            <w:vAlign w:val="center"/>
          </w:tcPr>
          <w:p w14:paraId="7B237E4A">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Appendix S1.1</w:t>
            </w:r>
          </w:p>
        </w:tc>
      </w:tr>
      <w:tr w14:paraId="3DAD093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nil"/>
              <w:right w:val="nil"/>
            </w:tcBorders>
            <w:tcMar>
              <w:top w:w="40" w:type="dxa"/>
              <w:left w:w="90" w:type="dxa"/>
              <w:bottom w:w="40" w:type="dxa"/>
              <w:right w:w="90" w:type="dxa"/>
            </w:tcMar>
            <w:vAlign w:val="center"/>
          </w:tcPr>
          <w:p w14:paraId="7D089D9E">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RECORD 13.1</w:t>
            </w:r>
          </w:p>
        </w:tc>
        <w:tc>
          <w:tcPr>
            <w:tcW w:w="4726" w:type="dxa"/>
            <w:tcBorders>
              <w:top w:val="nil"/>
              <w:left w:val="nil"/>
              <w:bottom w:val="nil"/>
              <w:right w:val="nil"/>
            </w:tcBorders>
            <w:tcMar>
              <w:top w:w="40" w:type="dxa"/>
              <w:left w:w="90" w:type="dxa"/>
              <w:bottom w:w="40" w:type="dxa"/>
              <w:right w:w="90" w:type="dxa"/>
            </w:tcMar>
            <w:vAlign w:val="center"/>
          </w:tcPr>
          <w:p w14:paraId="1946E55E">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Detailed selection of persons; linkage</w:t>
            </w:r>
          </w:p>
        </w:tc>
        <w:tc>
          <w:tcPr>
            <w:tcW w:w="3000" w:type="dxa"/>
            <w:tcBorders>
              <w:top w:val="nil"/>
              <w:left w:val="nil"/>
              <w:bottom w:val="nil"/>
              <w:right w:val="nil"/>
            </w:tcBorders>
            <w:tcMar>
              <w:top w:w="40" w:type="dxa"/>
              <w:left w:w="90" w:type="dxa"/>
              <w:bottom w:w="40" w:type="dxa"/>
              <w:right w:w="90" w:type="dxa"/>
            </w:tcMar>
            <w:vAlign w:val="center"/>
          </w:tcPr>
          <w:p w14:paraId="018E7C37">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Figure 1; Methods</w:t>
            </w:r>
          </w:p>
        </w:tc>
      </w:tr>
      <w:tr w14:paraId="365328D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10" w:type="dxa"/>
            <w:bottom w:w="0" w:type="dxa"/>
            <w:right w:w="10" w:type="dxa"/>
          </w:tblCellMar>
        </w:tblPrEx>
        <w:tc>
          <w:tcPr>
            <w:tcW w:w="1300" w:type="dxa"/>
            <w:tcBorders>
              <w:top w:val="nil"/>
              <w:left w:val="nil"/>
              <w:bottom w:val="single" w:color="000000" w:sz="12" w:space="0"/>
              <w:right w:val="nil"/>
            </w:tcBorders>
            <w:tcMar>
              <w:top w:w="40" w:type="dxa"/>
              <w:left w:w="90" w:type="dxa"/>
              <w:bottom w:w="40" w:type="dxa"/>
              <w:right w:w="90" w:type="dxa"/>
            </w:tcMar>
            <w:vAlign w:val="center"/>
          </w:tcPr>
          <w:p w14:paraId="52E03778">
            <w:pPr>
              <w:spacing w:before="20" w:after="20" w:line="240" w:lineRule="auto"/>
              <w:ind w:left="170"/>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RECORD 19.2</w:t>
            </w:r>
          </w:p>
        </w:tc>
        <w:tc>
          <w:tcPr>
            <w:tcW w:w="4726" w:type="dxa"/>
            <w:tcBorders>
              <w:top w:val="nil"/>
              <w:left w:val="nil"/>
              <w:bottom w:val="single" w:color="000000" w:sz="12" w:space="0"/>
              <w:right w:val="nil"/>
            </w:tcBorders>
            <w:tcMar>
              <w:top w:w="40" w:type="dxa"/>
              <w:left w:w="90" w:type="dxa"/>
              <w:bottom w:w="40" w:type="dxa"/>
              <w:right w:w="90" w:type="dxa"/>
            </w:tcMar>
            <w:vAlign w:val="center"/>
          </w:tcPr>
          <w:p w14:paraId="2C0DEB86">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Implications of using data not created for research</w:t>
            </w:r>
          </w:p>
        </w:tc>
        <w:tc>
          <w:tcPr>
            <w:tcW w:w="3000" w:type="dxa"/>
            <w:tcBorders>
              <w:top w:val="nil"/>
              <w:left w:val="nil"/>
              <w:bottom w:val="single" w:color="000000" w:sz="12" w:space="0"/>
              <w:right w:val="nil"/>
            </w:tcBorders>
            <w:tcMar>
              <w:top w:w="40" w:type="dxa"/>
              <w:left w:w="90" w:type="dxa"/>
              <w:bottom w:w="40" w:type="dxa"/>
              <w:right w:w="90" w:type="dxa"/>
            </w:tcMar>
            <w:vAlign w:val="center"/>
          </w:tcPr>
          <w:p w14:paraId="2161462B">
            <w:pPr>
              <w:spacing w:before="20" w:after="20" w:line="240" w:lineRule="auto"/>
              <w:jc w:val="left"/>
              <w:rPr>
                <w:rFonts w:ascii="Times New Roman" w:hAnsi="Times New Roman"/>
                <w:sz w:val="20"/>
                <w:szCs w:val="20"/>
              </w:rPr>
            </w:pPr>
            <w:r>
              <w:rPr>
                <w:rFonts w:ascii="Times New Roman" w:hAnsi="Times New Roman" w:eastAsia="Times New Roman" w:cs="Times New Roman"/>
                <w:b w:val="0"/>
                <w:bCs w:val="0"/>
                <w:i w:val="0"/>
                <w:iCs w:val="0"/>
                <w:sz w:val="20"/>
                <w:szCs w:val="20"/>
              </w:rPr>
              <w:t>Discussion, Strengths and Limitations</w:t>
            </w:r>
          </w:p>
        </w:tc>
      </w:tr>
    </w:tbl>
    <w:p w14:paraId="2B26E525">
      <w:pPr>
        <w:rPr>
          <w:rFonts w:ascii="Times New Roman" w:hAnsi="Times New Roman"/>
          <w:sz w:val="22"/>
          <w:szCs w:val="22"/>
        </w:rPr>
      </w:pPr>
    </w:p>
    <w:sectPr>
      <w:pgSz w:w="11906" w:h="16838"/>
      <w:pgMar w:top="1440" w:right="1440" w:bottom="1440" w:left="144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documentProtection w:enforcement="0"/>
  <w:compat>
    <w:useFELayout/>
    <w:compatSetting w:name="compatibilityMode" w:uri="http://schemas.microsoft.com/office/word" w:val="15"/>
  </w:compat>
  <w:rsids>
    <w:rsidRoot w:val="00000000"/>
    <w:rsid w:val="07707311"/>
    <w:rsid w:val="08BA4CE8"/>
    <w:rsid w:val="09FC30DE"/>
    <w:rsid w:val="0C796C68"/>
    <w:rsid w:val="0F5A4B2F"/>
    <w:rsid w:val="19AA66B3"/>
    <w:rsid w:val="2DB039A3"/>
    <w:rsid w:val="476A4089"/>
    <w:rsid w:val="4E8862BB"/>
    <w:rsid w:val="4ED80FF1"/>
    <w:rsid w:val="5B2630E4"/>
    <w:rsid w:val="5D4E7A02"/>
    <w:rsid w:val="64C71494"/>
    <w:rsid w:val="65AD68DC"/>
    <w:rsid w:val="66B752AC"/>
    <w:rsid w:val="687E455F"/>
    <w:rsid w:val="762B3D3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Times New Roman" w:cs="Times New Roman"/>
      <w:sz w:val="22"/>
      <w:szCs w:val="22"/>
    </w:rPr>
  </w:style>
  <w:style w:type="paragraph" w:styleId="2">
    <w:name w:val="heading 1"/>
    <w:next w:val="1"/>
    <w:qFormat/>
    <w:uiPriority w:val="0"/>
    <w:rPr>
      <w:rFonts w:ascii="Times New Roman" w:hAnsi="Times New Roman" w:eastAsia="Times New Roman" w:cs="Times New Roman"/>
      <w:color w:val="2E74B5"/>
      <w:sz w:val="32"/>
      <w:szCs w:val="32"/>
    </w:rPr>
  </w:style>
  <w:style w:type="paragraph" w:styleId="3">
    <w:name w:val="heading 2"/>
    <w:next w:val="1"/>
    <w:qFormat/>
    <w:uiPriority w:val="0"/>
    <w:rPr>
      <w:rFonts w:ascii="Times New Roman" w:hAnsi="Times New Roman" w:eastAsia="Times New Roman" w:cs="Times New Roman"/>
      <w:color w:val="2E74B5"/>
      <w:sz w:val="26"/>
      <w:szCs w:val="26"/>
    </w:rPr>
  </w:style>
  <w:style w:type="paragraph" w:styleId="4">
    <w:name w:val="heading 3"/>
    <w:next w:val="1"/>
    <w:qFormat/>
    <w:uiPriority w:val="0"/>
    <w:rPr>
      <w:rFonts w:ascii="Times New Roman" w:hAnsi="Times New Roman" w:eastAsia="Times New Roman" w:cs="Times New Roman"/>
      <w:color w:val="1F4D78"/>
      <w:sz w:val="24"/>
      <w:szCs w:val="24"/>
    </w:rPr>
  </w:style>
  <w:style w:type="paragraph" w:styleId="5">
    <w:name w:val="heading 4"/>
    <w:next w:val="1"/>
    <w:qFormat/>
    <w:uiPriority w:val="0"/>
    <w:rPr>
      <w:rFonts w:ascii="Times New Roman" w:hAnsi="Times New Roman" w:eastAsia="Times New Roman" w:cs="Times New Roman"/>
      <w:i/>
      <w:iCs/>
      <w:color w:val="2E74B5"/>
      <w:sz w:val="22"/>
      <w:szCs w:val="22"/>
    </w:rPr>
  </w:style>
  <w:style w:type="paragraph" w:styleId="6">
    <w:name w:val="heading 5"/>
    <w:next w:val="1"/>
    <w:qFormat/>
    <w:uiPriority w:val="0"/>
    <w:rPr>
      <w:rFonts w:ascii="Times New Roman" w:hAnsi="Times New Roman" w:eastAsia="Times New Roman" w:cs="Times New Roman"/>
      <w:color w:val="2E74B5"/>
      <w:sz w:val="22"/>
      <w:szCs w:val="22"/>
    </w:rPr>
  </w:style>
  <w:style w:type="paragraph" w:styleId="7">
    <w:name w:val="heading 6"/>
    <w:next w:val="1"/>
    <w:qFormat/>
    <w:uiPriority w:val="0"/>
    <w:rPr>
      <w:rFonts w:ascii="Times New Roman" w:hAnsi="Times New Roman" w:eastAsia="Times New Roman" w:cs="Times New Roman"/>
      <w:color w:val="1F4D78"/>
      <w:sz w:val="22"/>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8">
    <w:name w:val="endnote text"/>
    <w:link w:val="18"/>
    <w:semiHidden/>
    <w:unhideWhenUsed/>
    <w:qFormat/>
    <w:uiPriority w:val="99"/>
    <w:pPr>
      <w:spacing w:after="0" w:line="240" w:lineRule="auto"/>
    </w:pPr>
    <w:rPr>
      <w:rFonts w:ascii="Times New Roman" w:hAnsi="Times New Roman" w:eastAsia="Times New Roman" w:cs="Times New Roman"/>
      <w:sz w:val="20"/>
      <w:szCs w:val="20"/>
    </w:rPr>
  </w:style>
  <w:style w:type="paragraph" w:styleId="9">
    <w:name w:val="footnote text"/>
    <w:link w:val="17"/>
    <w:semiHidden/>
    <w:unhideWhenUsed/>
    <w:qFormat/>
    <w:uiPriority w:val="99"/>
    <w:pPr>
      <w:spacing w:after="0" w:line="240" w:lineRule="auto"/>
    </w:pPr>
    <w:rPr>
      <w:rFonts w:ascii="Times New Roman" w:hAnsi="Times New Roman" w:eastAsia="Times New Roman" w:cs="Times New Roman"/>
      <w:sz w:val="20"/>
      <w:szCs w:val="20"/>
    </w:rPr>
  </w:style>
  <w:style w:type="paragraph" w:styleId="10">
    <w:name w:val="Title"/>
    <w:qFormat/>
    <w:uiPriority w:val="0"/>
    <w:rPr>
      <w:rFonts w:ascii="Times New Roman" w:hAnsi="Times New Roman" w:eastAsia="Times New Roman" w:cs="Times New Roman"/>
      <w:sz w:val="56"/>
      <w:szCs w:val="56"/>
    </w:rPr>
  </w:style>
  <w:style w:type="character" w:styleId="13">
    <w:name w:val="endnote reference"/>
    <w:semiHidden/>
    <w:unhideWhenUsed/>
    <w:qFormat/>
    <w:uiPriority w:val="99"/>
    <w:rPr>
      <w:vertAlign w:val="superscript"/>
    </w:rPr>
  </w:style>
  <w:style w:type="character" w:styleId="14">
    <w:name w:val="Hyperlink"/>
    <w:unhideWhenUsed/>
    <w:qFormat/>
    <w:uiPriority w:val="99"/>
    <w:rPr>
      <w:color w:val="0563C1"/>
      <w:u w:val="single"/>
    </w:rPr>
  </w:style>
  <w:style w:type="character" w:styleId="15">
    <w:name w:val="footnote reference"/>
    <w:semiHidden/>
    <w:unhideWhenUsed/>
    <w:qFormat/>
    <w:uiPriority w:val="99"/>
    <w:rPr>
      <w:vertAlign w:val="superscript"/>
    </w:rPr>
  </w:style>
  <w:style w:type="paragraph" w:styleId="16">
    <w:name w:val="List Paragraph"/>
    <w:qFormat/>
    <w:uiPriority w:val="0"/>
    <w:rPr>
      <w:rFonts w:ascii="Times New Roman" w:hAnsi="Times New Roman" w:eastAsia="Times New Roman" w:cs="Times New Roman"/>
      <w:sz w:val="22"/>
      <w:szCs w:val="22"/>
    </w:rPr>
  </w:style>
  <w:style w:type="character" w:customStyle="1" w:styleId="17">
    <w:name w:val="Footnote Text Char"/>
    <w:link w:val="9"/>
    <w:semiHidden/>
    <w:unhideWhenUsed/>
    <w:qFormat/>
    <w:uiPriority w:val="99"/>
    <w:rPr>
      <w:sz w:val="20"/>
      <w:szCs w:val="20"/>
    </w:rPr>
  </w:style>
  <w:style w:type="character" w:customStyle="1" w:styleId="18">
    <w:name w:val="Endnote Text Char"/>
    <w:link w:val="8"/>
    <w:semiHidden/>
    <w:unhideWhenUsed/>
    <w:qFormat/>
    <w:uiPriority w:val="99"/>
    <w:rPr>
      <w:sz w:val="20"/>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Pages>
  <Words>1139</Words>
  <Characters>7344</Characters>
  <TotalTime>11</TotalTime>
  <ScaleCrop>false</ScaleCrop>
  <LinksUpToDate>false</LinksUpToDate>
  <CharactersWithSpaces>8324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2026-05-21T05:14:00Z</dcterms:created>
  <dc:creator>Un-named</dc:creator>
  <cp:lastModifiedBy>Y</cp:lastModifiedBy>
  <dcterms:modified xsi:type="dcterms:W3CDTF">2026-05-31T12:53:13Z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eyJoZGlkIjoiMGIxMjVhZjhmNzk2Y2JjZTg1MDZjYjExNGI3MDBiMGMiLCJ1c2VySWQiOiIxMzc1ODA3MzY2In0=</vt:lpwstr>
  </property>
  <property fmtid="{D5CDD505-2E9C-101B-9397-08002B2CF9AE}" pid="3" name="KSOProductBuildVer">
    <vt:lpwstr>2052-12.1.0.26895</vt:lpwstr>
  </property>
  <property fmtid="{D5CDD505-2E9C-101B-9397-08002B2CF9AE}" pid="4" name="ICV">
    <vt:lpwstr>D5051B33CD8144C6985818676605FECA_12</vt:lpwstr>
  </property>
</Properties>
</file>