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356718" w14:textId="77777777" w:rsidR="00E33E6F" w:rsidRDefault="00E33E6F" w:rsidP="00E33E6F">
      <w:pPr>
        <w:pStyle w:val="Heading2"/>
        <w:spacing w:before="0" w:after="0" w:line="480" w:lineRule="auto"/>
      </w:pPr>
      <w:r>
        <w:t>Supplemental Materials</w:t>
      </w:r>
    </w:p>
    <w:p w14:paraId="03F69DC9" w14:textId="77777777" w:rsidR="001D49D4" w:rsidRDefault="00E33E6F" w:rsidP="00E33E6F">
      <w:pPr>
        <w:spacing w:line="480" w:lineRule="auto"/>
      </w:pPr>
      <w:r>
        <w:rPr>
          <w:b/>
        </w:rPr>
        <w:t>Supplementary Table 1</w:t>
      </w:r>
      <w:r>
        <w:t xml:space="preserve"> | Studies included in the data set after screening based on criteria for inclusion. </w:t>
      </w:r>
    </w:p>
    <w:p w14:paraId="5988A79A" w14:textId="33B40DBA" w:rsidR="00E33E6F" w:rsidRPr="00253A6C" w:rsidRDefault="001D49D4" w:rsidP="00E33E6F">
      <w:pPr>
        <w:spacing w:line="480" w:lineRule="auto"/>
      </w:pPr>
      <w:r>
        <w:t>See attached data table file</w:t>
      </w:r>
      <w:r w:rsidRPr="001D49D4">
        <w:rPr>
          <w:i/>
          <w:iCs/>
        </w:rPr>
        <w:t xml:space="preserve"> supp_data_table1.csv</w:t>
      </w:r>
      <w:r w:rsidR="00E33E6F">
        <w:br w:type="page"/>
      </w:r>
    </w:p>
    <w:p w14:paraId="6A92A466" w14:textId="77777777" w:rsidR="00E33E6F" w:rsidRDefault="00E33E6F" w:rsidP="00E33E6F">
      <w:pPr>
        <w:spacing w:line="480" w:lineRule="auto"/>
      </w:pPr>
      <w:r>
        <w:rPr>
          <w:b/>
        </w:rPr>
        <w:lastRenderedPageBreak/>
        <w:t xml:space="preserve">Supplementary Table 2 </w:t>
      </w:r>
      <w:r>
        <w:t xml:space="preserve">| Model selection table used to select </w:t>
      </w:r>
      <w:proofErr w:type="spellStart"/>
      <w:r>
        <w:t>metaregression</w:t>
      </w:r>
      <w:proofErr w:type="spellEnd"/>
      <w:r>
        <w:t xml:space="preserve"> model. </w:t>
      </w:r>
    </w:p>
    <w:p w14:paraId="16B9CBA7" w14:textId="3894CD1B" w:rsidR="00E33E6F" w:rsidRDefault="001D49D4" w:rsidP="00E33E6F">
      <w:pPr>
        <w:spacing w:line="480" w:lineRule="auto"/>
      </w:pPr>
      <w:r>
        <w:t>See attached data table file</w:t>
      </w:r>
      <w:r w:rsidRPr="001D49D4">
        <w:rPr>
          <w:i/>
          <w:iCs/>
        </w:rPr>
        <w:t xml:space="preserve"> supp_data_table</w:t>
      </w:r>
      <w:r>
        <w:rPr>
          <w:i/>
          <w:iCs/>
        </w:rPr>
        <w:t>2</w:t>
      </w:r>
      <w:r w:rsidRPr="001D49D4">
        <w:rPr>
          <w:i/>
          <w:iCs/>
        </w:rPr>
        <w:t>.csv</w:t>
      </w:r>
      <w:r w:rsidR="00E33E6F">
        <w:br w:type="page"/>
      </w:r>
    </w:p>
    <w:p w14:paraId="70C67D0A" w14:textId="77777777" w:rsidR="00E33E6F" w:rsidRDefault="00E33E6F" w:rsidP="00E33E6F">
      <w:pPr>
        <w:spacing w:line="480" w:lineRule="auto"/>
      </w:pPr>
      <w:r>
        <w:rPr>
          <w:b/>
        </w:rPr>
        <w:lastRenderedPageBreak/>
        <w:t xml:space="preserve">Supplementary Table 3 </w:t>
      </w:r>
      <w:proofErr w:type="gramStart"/>
      <w:r>
        <w:t>|  Model</w:t>
      </w:r>
      <w:proofErr w:type="gramEnd"/>
      <w:r>
        <w:t xml:space="preserve"> selection results for dataset that excludes </w:t>
      </w:r>
      <w:proofErr w:type="spellStart"/>
      <w:r>
        <w:t>resids</w:t>
      </w:r>
      <w:proofErr w:type="spellEnd"/>
      <w:r>
        <w:t xml:space="preserve"> &gt; 10 or &lt;-10.</w:t>
      </w:r>
    </w:p>
    <w:p w14:paraId="09B7CB64" w14:textId="154E669D" w:rsidR="00E33E6F" w:rsidRDefault="001D49D4" w:rsidP="00E33E6F">
      <w:pPr>
        <w:spacing w:line="480" w:lineRule="auto"/>
      </w:pPr>
      <w:r>
        <w:t>See attached data table file</w:t>
      </w:r>
      <w:r w:rsidRPr="001D49D4">
        <w:rPr>
          <w:i/>
          <w:iCs/>
        </w:rPr>
        <w:t xml:space="preserve"> supp_data_table</w:t>
      </w:r>
      <w:r>
        <w:rPr>
          <w:i/>
          <w:iCs/>
        </w:rPr>
        <w:t>3</w:t>
      </w:r>
      <w:r w:rsidRPr="001D49D4">
        <w:rPr>
          <w:i/>
          <w:iCs/>
        </w:rPr>
        <w:t>.csv</w:t>
      </w:r>
      <w:r w:rsidR="00E33E6F">
        <w:br w:type="page"/>
      </w:r>
    </w:p>
    <w:p w14:paraId="7173AC05" w14:textId="7C44D129" w:rsidR="00E33E6F" w:rsidRDefault="00E33E6F" w:rsidP="00E33E6F">
      <w:pPr>
        <w:spacing w:line="480" w:lineRule="auto"/>
      </w:pPr>
      <w:r>
        <w:rPr>
          <w:b/>
        </w:rPr>
        <w:lastRenderedPageBreak/>
        <w:t xml:space="preserve">Supplementary Fig. 1 </w:t>
      </w:r>
      <w:r>
        <w:t xml:space="preserve">| A summary of the number of studies processed during screening, the number of thermal limits before and after major filtering, and the number of population pairs and effect size estimates used in our analyses. </w:t>
      </w:r>
      <w:r>
        <w:rPr>
          <w:noProof/>
        </w:rPr>
        <w:drawing>
          <wp:inline distT="114300" distB="114300" distL="114300" distR="114300" wp14:anchorId="0E429E90" wp14:editId="2CC9B150">
            <wp:extent cx="5943600" cy="6908800"/>
            <wp:effectExtent l="0" t="0" r="0" b="0"/>
            <wp:docPr id="14" name="image12.png" descr="Graphical user interfac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6"/>
                    <a:srcRect/>
                    <a:stretch>
                      <a:fillRect/>
                    </a:stretch>
                  </pic:blipFill>
                  <pic:spPr>
                    <a:xfrm>
                      <a:off x="0" y="0"/>
                      <a:ext cx="5943600" cy="6908800"/>
                    </a:xfrm>
                    <a:prstGeom prst="rect">
                      <a:avLst/>
                    </a:prstGeom>
                    <a:ln/>
                  </pic:spPr>
                </pic:pic>
              </a:graphicData>
            </a:graphic>
          </wp:inline>
        </w:drawing>
      </w:r>
    </w:p>
    <w:p w14:paraId="7D9B3F89" w14:textId="77777777" w:rsidR="00E33E6F" w:rsidRDefault="00E33E6F" w:rsidP="00E33E6F">
      <w:pPr>
        <w:spacing w:line="480" w:lineRule="auto"/>
      </w:pPr>
      <w:r>
        <w:br w:type="page"/>
      </w:r>
      <w:r>
        <w:rPr>
          <w:b/>
        </w:rPr>
        <w:lastRenderedPageBreak/>
        <w:t>Supplementary Fig. 2</w:t>
      </w:r>
      <w:r>
        <w:t xml:space="preserve"> | Boxplots showing absolute value of difference in thermal limits between terrestrial populations from studies examining altitudinal or elevational gradients compared with studies examining latitudinal gradients. </w:t>
      </w:r>
    </w:p>
    <w:p w14:paraId="47E1778F" w14:textId="77777777" w:rsidR="00E33E6F" w:rsidRDefault="00E33E6F" w:rsidP="00E33E6F">
      <w:pPr>
        <w:spacing w:line="480" w:lineRule="auto"/>
      </w:pPr>
    </w:p>
    <w:p w14:paraId="2FB48E7A" w14:textId="77777777" w:rsidR="00E33E6F" w:rsidRDefault="00E33E6F" w:rsidP="00E33E6F">
      <w:pPr>
        <w:spacing w:line="480" w:lineRule="auto"/>
      </w:pPr>
      <w:r>
        <w:rPr>
          <w:noProof/>
        </w:rPr>
        <w:drawing>
          <wp:inline distT="114300" distB="114300" distL="114300" distR="114300" wp14:anchorId="50A409FA" wp14:editId="401F9356">
            <wp:extent cx="5943600" cy="5689600"/>
            <wp:effectExtent l="0" t="0" r="0" b="0"/>
            <wp:docPr id="11" name="image4.jpg" descr="Chart, box and whisk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7"/>
                    <a:srcRect/>
                    <a:stretch>
                      <a:fillRect/>
                    </a:stretch>
                  </pic:blipFill>
                  <pic:spPr>
                    <a:xfrm>
                      <a:off x="0" y="0"/>
                      <a:ext cx="5943600" cy="5689600"/>
                    </a:xfrm>
                    <a:prstGeom prst="rect">
                      <a:avLst/>
                    </a:prstGeom>
                    <a:ln/>
                  </pic:spPr>
                </pic:pic>
              </a:graphicData>
            </a:graphic>
          </wp:inline>
        </w:drawing>
      </w:r>
      <w:r>
        <w:br w:type="page"/>
      </w:r>
    </w:p>
    <w:p w14:paraId="3CCABCE1" w14:textId="77777777" w:rsidR="00E33E6F" w:rsidRDefault="00E33E6F" w:rsidP="00E33E6F">
      <w:pPr>
        <w:spacing w:line="480" w:lineRule="auto"/>
      </w:pPr>
      <w:r>
        <w:rPr>
          <w:b/>
        </w:rPr>
        <w:lastRenderedPageBreak/>
        <w:t>Supplementary Fig. 3</w:t>
      </w:r>
      <w:r>
        <w:t xml:space="preserve"> | Comparison of mean intraspecific slope estimates (</w:t>
      </w:r>
      <w:r>
        <w:rPr>
          <w:u w:val="single"/>
        </w:rPr>
        <w:t>+</w:t>
      </w:r>
      <w:r>
        <w:t xml:space="preserve"> SE) for upper and lower thermal tolerance values against latitude for terrestrial taxa. Studies examining elevational differences are excluded. For comparison, interspecific slope estimates are included from Sunday et al. 2019. </w:t>
      </w:r>
    </w:p>
    <w:p w14:paraId="48BCE66B" w14:textId="77777777" w:rsidR="00E33E6F" w:rsidRDefault="00E33E6F" w:rsidP="00E33E6F">
      <w:pPr>
        <w:spacing w:line="480" w:lineRule="auto"/>
      </w:pPr>
    </w:p>
    <w:p w14:paraId="11E0792E" w14:textId="77777777" w:rsidR="00E33E6F" w:rsidRDefault="00E33E6F" w:rsidP="00E33E6F">
      <w:pPr>
        <w:spacing w:line="480" w:lineRule="auto"/>
      </w:pPr>
      <w:r>
        <w:rPr>
          <w:noProof/>
        </w:rPr>
        <w:drawing>
          <wp:inline distT="114300" distB="114300" distL="114300" distR="114300" wp14:anchorId="16642A14" wp14:editId="1BAF00F5">
            <wp:extent cx="5943600" cy="5575300"/>
            <wp:effectExtent l="0" t="0" r="0" b="0"/>
            <wp:docPr id="10" name="image8.jpg" descr="Chart, box and whisk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8"/>
                    <a:srcRect/>
                    <a:stretch>
                      <a:fillRect/>
                    </a:stretch>
                  </pic:blipFill>
                  <pic:spPr>
                    <a:xfrm>
                      <a:off x="0" y="0"/>
                      <a:ext cx="5943600" cy="5575300"/>
                    </a:xfrm>
                    <a:prstGeom prst="rect">
                      <a:avLst/>
                    </a:prstGeom>
                    <a:ln/>
                  </pic:spPr>
                </pic:pic>
              </a:graphicData>
            </a:graphic>
          </wp:inline>
        </w:drawing>
      </w:r>
      <w:r>
        <w:br w:type="page"/>
      </w:r>
    </w:p>
    <w:p w14:paraId="6B95992C" w14:textId="77777777" w:rsidR="00E33E6F" w:rsidRDefault="00E33E6F" w:rsidP="00E33E6F">
      <w:pPr>
        <w:spacing w:line="480" w:lineRule="auto"/>
      </w:pPr>
      <w:r>
        <w:rPr>
          <w:b/>
        </w:rPr>
        <w:lastRenderedPageBreak/>
        <w:t>Supplementary Fig. 4</w:t>
      </w:r>
      <w:r>
        <w:t xml:space="preserve"> | Comparison of the absolute difference in upper thermal limits between motile and non-motile taxa (motility defined here as whether or not an individual could control their microhabitat sufficiently to regulate body temperature using environmental thermal heterogeneity), calculated using both (a) unweighted raw mean differences and (b) inverse-weighted standardized mean differences (Hedges’ </w:t>
      </w:r>
      <w:r>
        <w:rPr>
          <w:i/>
        </w:rPr>
        <w:t>d</w:t>
      </w:r>
      <w:r>
        <w:t xml:space="preserve">). Samples sizes (the number of pairwise comparisons) are shown below each boxplot. </w:t>
      </w:r>
    </w:p>
    <w:p w14:paraId="6522276A" w14:textId="77777777" w:rsidR="00E33E6F" w:rsidRDefault="00E33E6F" w:rsidP="00E33E6F">
      <w:pPr>
        <w:spacing w:line="480" w:lineRule="auto"/>
      </w:pPr>
    </w:p>
    <w:p w14:paraId="6A4F0637" w14:textId="77777777" w:rsidR="00E33E6F" w:rsidRDefault="00E33E6F" w:rsidP="00E33E6F">
      <w:pPr>
        <w:spacing w:line="480" w:lineRule="auto"/>
      </w:pPr>
      <w:r>
        <w:rPr>
          <w:noProof/>
        </w:rPr>
        <w:drawing>
          <wp:inline distT="114300" distB="114300" distL="114300" distR="114300" wp14:anchorId="23C4799E" wp14:editId="437A683B">
            <wp:extent cx="5943600" cy="5143500"/>
            <wp:effectExtent l="0" t="0" r="0" b="0"/>
            <wp:docPr id="9" name="image3.jpg" descr="Chart, box and whisk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9"/>
                    <a:srcRect/>
                    <a:stretch>
                      <a:fillRect/>
                    </a:stretch>
                  </pic:blipFill>
                  <pic:spPr>
                    <a:xfrm>
                      <a:off x="0" y="0"/>
                      <a:ext cx="5943600" cy="5143500"/>
                    </a:xfrm>
                    <a:prstGeom prst="rect">
                      <a:avLst/>
                    </a:prstGeom>
                    <a:ln/>
                  </pic:spPr>
                </pic:pic>
              </a:graphicData>
            </a:graphic>
          </wp:inline>
        </w:drawing>
      </w:r>
    </w:p>
    <w:p w14:paraId="74AE5DB8" w14:textId="77777777" w:rsidR="00E33E6F" w:rsidRDefault="00E33E6F" w:rsidP="00E33E6F">
      <w:pPr>
        <w:spacing w:line="480" w:lineRule="auto"/>
      </w:pPr>
      <w:r>
        <w:br w:type="page"/>
      </w:r>
    </w:p>
    <w:p w14:paraId="604E51B4" w14:textId="77777777" w:rsidR="00E33E6F" w:rsidRDefault="00E33E6F" w:rsidP="00E33E6F">
      <w:pPr>
        <w:spacing w:line="480" w:lineRule="auto"/>
      </w:pPr>
      <w:r>
        <w:rPr>
          <w:b/>
        </w:rPr>
        <w:lastRenderedPageBreak/>
        <w:t>Supplementary</w:t>
      </w:r>
      <w:r>
        <w:t xml:space="preserve"> </w:t>
      </w:r>
      <w:r>
        <w:rPr>
          <w:b/>
        </w:rPr>
        <w:t>Fig. 5</w:t>
      </w:r>
      <w:r>
        <w:t xml:space="preserve"> | A comparison of water temperature estimates from </w:t>
      </w:r>
      <w:proofErr w:type="spellStart"/>
      <w:r>
        <w:t>EarthEnv</w:t>
      </w:r>
      <w:proofErr w:type="spellEnd"/>
      <w:r>
        <w:t xml:space="preserve"> and air temperature estimates from CHELSA. The tight 1:1 relationship justifies the usage of CHELSA air temperature estimates for freshwater taxa. Mean temperatures are shown in blue and maximum temperatures are shown in red. </w:t>
      </w:r>
    </w:p>
    <w:p w14:paraId="37A15BF4" w14:textId="77777777" w:rsidR="00E33E6F" w:rsidRDefault="00E33E6F" w:rsidP="00E33E6F">
      <w:pPr>
        <w:spacing w:line="480" w:lineRule="auto"/>
      </w:pPr>
    </w:p>
    <w:p w14:paraId="44517941" w14:textId="77777777" w:rsidR="00E33E6F" w:rsidRDefault="00E33E6F" w:rsidP="00E33E6F">
      <w:pPr>
        <w:spacing w:line="480" w:lineRule="auto"/>
      </w:pPr>
      <w:r>
        <w:rPr>
          <w:noProof/>
        </w:rPr>
        <w:drawing>
          <wp:inline distT="114300" distB="114300" distL="114300" distR="114300" wp14:anchorId="49FD845D" wp14:editId="1DCBB0F7">
            <wp:extent cx="5450931" cy="5424725"/>
            <wp:effectExtent l="0" t="0" r="0" b="0"/>
            <wp:docPr id="6" name="image6.png" descr="Chart, scatt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5450931" cy="5424725"/>
                    </a:xfrm>
                    <a:prstGeom prst="rect">
                      <a:avLst/>
                    </a:prstGeom>
                    <a:ln/>
                  </pic:spPr>
                </pic:pic>
              </a:graphicData>
            </a:graphic>
          </wp:inline>
        </w:drawing>
      </w:r>
    </w:p>
    <w:p w14:paraId="04A595BF" w14:textId="77777777" w:rsidR="00E33E6F" w:rsidRDefault="00E33E6F" w:rsidP="00E33E6F">
      <w:pPr>
        <w:spacing w:line="480" w:lineRule="auto"/>
        <w:jc w:val="center"/>
      </w:pPr>
      <w:r>
        <w:br w:type="page"/>
      </w:r>
    </w:p>
    <w:p w14:paraId="5F6E7FC6" w14:textId="77777777" w:rsidR="00E33E6F" w:rsidRDefault="00E33E6F" w:rsidP="00E33E6F">
      <w:pPr>
        <w:spacing w:line="480" w:lineRule="auto"/>
      </w:pPr>
      <w:r>
        <w:rPr>
          <w:b/>
        </w:rPr>
        <w:lastRenderedPageBreak/>
        <w:t>Supplementary Fig. 6</w:t>
      </w:r>
      <w:r>
        <w:t xml:space="preserve"> | Illustration of the two approaches used to estimate thermal tolerance in the field. Figure is for a hypothetical study that measures thermal tolerance in three populations. When a study exposes each of the populations to two acclimation temperatures (</w:t>
      </w:r>
      <w:r>
        <w:rPr>
          <w:b/>
        </w:rPr>
        <w:t>a</w:t>
      </w:r>
      <w:r>
        <w:t>), the resulting reaction norms are used to adjust thermal tolerance to reflect the mean temperature at the collection location for each population. When a study does not expose populations to multiple acclimation temperatures (</w:t>
      </w:r>
      <w:r>
        <w:rPr>
          <w:b/>
        </w:rPr>
        <w:t>b</w:t>
      </w:r>
      <w:r>
        <w:t xml:space="preserve">), Acclimation response ratio (ARR) is predicted for each population based on its thermal tolerance and the ecosystem. This ARR is then used to adjust thermal tolerance based on the difference between acclimation temperature and the mean temperature of each population’s collection location. </w:t>
      </w:r>
    </w:p>
    <w:p w14:paraId="2D28C265" w14:textId="77777777" w:rsidR="00E33E6F" w:rsidRDefault="00E33E6F" w:rsidP="00E33E6F">
      <w:pPr>
        <w:spacing w:line="480" w:lineRule="auto"/>
      </w:pPr>
    </w:p>
    <w:p w14:paraId="0FB67303" w14:textId="77777777" w:rsidR="00E33E6F" w:rsidRPr="00253A6C" w:rsidRDefault="00E33E6F" w:rsidP="00E33E6F">
      <w:pPr>
        <w:spacing w:line="480" w:lineRule="auto"/>
      </w:pPr>
      <w:r>
        <w:rPr>
          <w:noProof/>
        </w:rPr>
        <w:drawing>
          <wp:inline distT="114300" distB="114300" distL="114300" distR="114300" wp14:anchorId="2A50AAA8" wp14:editId="73AFA7F9">
            <wp:extent cx="5943600" cy="3213100"/>
            <wp:effectExtent l="0" t="0" r="0" b="0"/>
            <wp:docPr id="13" name="image10.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1"/>
                    <a:srcRect/>
                    <a:stretch>
                      <a:fillRect/>
                    </a:stretch>
                  </pic:blipFill>
                  <pic:spPr>
                    <a:xfrm>
                      <a:off x="0" y="0"/>
                      <a:ext cx="5943600" cy="3213100"/>
                    </a:xfrm>
                    <a:prstGeom prst="rect">
                      <a:avLst/>
                    </a:prstGeom>
                    <a:ln/>
                  </pic:spPr>
                </pic:pic>
              </a:graphicData>
            </a:graphic>
          </wp:inline>
        </w:drawing>
      </w:r>
      <w:r>
        <w:br w:type="page"/>
      </w:r>
    </w:p>
    <w:p w14:paraId="6566F728" w14:textId="77777777" w:rsidR="00E33E6F" w:rsidRDefault="00E33E6F" w:rsidP="00E33E6F">
      <w:pPr>
        <w:spacing w:line="480" w:lineRule="auto"/>
      </w:pPr>
      <w:r>
        <w:rPr>
          <w:b/>
        </w:rPr>
        <w:lastRenderedPageBreak/>
        <w:t>Supplementary Fig. 7</w:t>
      </w:r>
      <w:r>
        <w:t xml:space="preserve"> | Histograms of the predicted changes in mean temperature (a), maximum temperature (b), and warming tolerance (c). Positive changes indicate increases in the future (years 2040-2050 from RCP 4.5 / SSP 245) relative to current conditions, while negative changes indicate decreases. Bars along the zero-line indicate the mean changes for each ecosystem. </w:t>
      </w:r>
    </w:p>
    <w:p w14:paraId="3A2494CB" w14:textId="77777777" w:rsidR="00E33E6F" w:rsidRDefault="00E33E6F" w:rsidP="00E33E6F">
      <w:pPr>
        <w:spacing w:line="480" w:lineRule="auto"/>
      </w:pPr>
    </w:p>
    <w:p w14:paraId="286D12BA" w14:textId="77777777" w:rsidR="00E33E6F" w:rsidRDefault="00E33E6F" w:rsidP="00E33E6F">
      <w:pPr>
        <w:spacing w:line="480" w:lineRule="auto"/>
      </w:pPr>
      <w:r>
        <w:rPr>
          <w:noProof/>
        </w:rPr>
        <w:drawing>
          <wp:inline distT="114300" distB="114300" distL="114300" distR="114300" wp14:anchorId="34CBFD75" wp14:editId="10C7510A">
            <wp:extent cx="5943600" cy="5613400"/>
            <wp:effectExtent l="0" t="0" r="0" b="0"/>
            <wp:docPr id="3" name="image2.png" descr="A picture containing 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5943600" cy="5613400"/>
                    </a:xfrm>
                    <a:prstGeom prst="rect">
                      <a:avLst/>
                    </a:prstGeom>
                    <a:ln/>
                  </pic:spPr>
                </pic:pic>
              </a:graphicData>
            </a:graphic>
          </wp:inline>
        </w:drawing>
      </w:r>
      <w:r>
        <w:br w:type="page"/>
      </w:r>
    </w:p>
    <w:p w14:paraId="7B744162" w14:textId="77777777" w:rsidR="00E33E6F" w:rsidRDefault="00E33E6F" w:rsidP="00E33E6F">
      <w:pPr>
        <w:spacing w:line="480" w:lineRule="auto"/>
      </w:pPr>
      <w:r>
        <w:rPr>
          <w:b/>
        </w:rPr>
        <w:lastRenderedPageBreak/>
        <w:t>Supplementary Fig. 8</w:t>
      </w:r>
      <w:r>
        <w:t xml:space="preserve"> | Funnel plots depicting effect sizes and precision (standard error) from the </w:t>
      </w:r>
      <w:proofErr w:type="spellStart"/>
      <w:r>
        <w:t>metaregression</w:t>
      </w:r>
      <w:proofErr w:type="spellEnd"/>
      <w:r>
        <w:t xml:space="preserve"> model for the full data set (</w:t>
      </w:r>
      <w:r>
        <w:rPr>
          <w:b/>
        </w:rPr>
        <w:t>a</w:t>
      </w:r>
      <w:r>
        <w:t>) and for when effect sizes with absolute values greater than 10 are excluded from the model (</w:t>
      </w:r>
      <w:r>
        <w:rPr>
          <w:b/>
        </w:rPr>
        <w:t>b</w:t>
      </w:r>
      <w:r>
        <w:t xml:space="preserve">). </w:t>
      </w:r>
    </w:p>
    <w:p w14:paraId="35FD484F" w14:textId="77777777" w:rsidR="00E33E6F" w:rsidRDefault="00E33E6F" w:rsidP="00E33E6F">
      <w:pPr>
        <w:spacing w:line="480" w:lineRule="auto"/>
      </w:pPr>
      <w:r>
        <w:rPr>
          <w:noProof/>
        </w:rPr>
        <w:drawing>
          <wp:inline distT="114300" distB="114300" distL="114300" distR="114300" wp14:anchorId="497CB6D0" wp14:editId="507E1CA8">
            <wp:extent cx="5943600" cy="2946400"/>
            <wp:effectExtent l="0" t="0" r="0" b="0"/>
            <wp:docPr id="12" name="image13.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3"/>
                    <a:srcRect/>
                    <a:stretch>
                      <a:fillRect/>
                    </a:stretch>
                  </pic:blipFill>
                  <pic:spPr>
                    <a:xfrm>
                      <a:off x="0" y="0"/>
                      <a:ext cx="5943600" cy="2946400"/>
                    </a:xfrm>
                    <a:prstGeom prst="rect">
                      <a:avLst/>
                    </a:prstGeom>
                    <a:ln/>
                  </pic:spPr>
                </pic:pic>
              </a:graphicData>
            </a:graphic>
          </wp:inline>
        </w:drawing>
      </w:r>
    </w:p>
    <w:p w14:paraId="50CBD457" w14:textId="77777777" w:rsidR="003F05BB" w:rsidRDefault="004611D2"/>
    <w:sectPr w:rsidR="003F05BB" w:rsidSect="000C71FC">
      <w:headerReference w:type="default" r:id="rId14"/>
      <w:footerReference w:type="default" r:id="rId15"/>
      <w:pgSz w:w="12240" w:h="15840"/>
      <w:pgMar w:top="1440" w:right="1440" w:bottom="1440" w:left="1440" w:header="720" w:footer="720"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C605EA" w14:textId="77777777" w:rsidR="004611D2" w:rsidRDefault="004611D2">
      <w:pPr>
        <w:spacing w:line="240" w:lineRule="auto"/>
      </w:pPr>
      <w:r>
        <w:separator/>
      </w:r>
    </w:p>
  </w:endnote>
  <w:endnote w:type="continuationSeparator" w:id="0">
    <w:p w14:paraId="3973FCEA" w14:textId="77777777" w:rsidR="004611D2" w:rsidRDefault="004611D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5D325D" w14:textId="77777777" w:rsidR="001F67FB" w:rsidRDefault="001D49D4">
    <w:pPr>
      <w:jc w:val="right"/>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637F29" w14:textId="77777777" w:rsidR="004611D2" w:rsidRDefault="004611D2">
      <w:pPr>
        <w:spacing w:line="240" w:lineRule="auto"/>
      </w:pPr>
      <w:r>
        <w:separator/>
      </w:r>
    </w:p>
  </w:footnote>
  <w:footnote w:type="continuationSeparator" w:id="0">
    <w:p w14:paraId="299F0FB8" w14:textId="77777777" w:rsidR="004611D2" w:rsidRDefault="004611D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1E43BB" w14:textId="77777777" w:rsidR="001F67FB" w:rsidRDefault="004611D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3E6F"/>
    <w:rsid w:val="00013E20"/>
    <w:rsid w:val="00032C36"/>
    <w:rsid w:val="0004627E"/>
    <w:rsid w:val="00074DB9"/>
    <w:rsid w:val="00083808"/>
    <w:rsid w:val="00084A83"/>
    <w:rsid w:val="0008634C"/>
    <w:rsid w:val="000A3836"/>
    <w:rsid w:val="000A5966"/>
    <w:rsid w:val="000C7958"/>
    <w:rsid w:val="000E5FB7"/>
    <w:rsid w:val="000F4D58"/>
    <w:rsid w:val="00127EA5"/>
    <w:rsid w:val="00141AB1"/>
    <w:rsid w:val="00165D9F"/>
    <w:rsid w:val="00173E06"/>
    <w:rsid w:val="00181DF8"/>
    <w:rsid w:val="001C1039"/>
    <w:rsid w:val="001D23BD"/>
    <w:rsid w:val="001D49D4"/>
    <w:rsid w:val="001D6AF0"/>
    <w:rsid w:val="001E3B0D"/>
    <w:rsid w:val="002016BA"/>
    <w:rsid w:val="002219D8"/>
    <w:rsid w:val="002408B4"/>
    <w:rsid w:val="00245BC8"/>
    <w:rsid w:val="00263534"/>
    <w:rsid w:val="00294C57"/>
    <w:rsid w:val="003359E1"/>
    <w:rsid w:val="003534C0"/>
    <w:rsid w:val="0035405B"/>
    <w:rsid w:val="0038179F"/>
    <w:rsid w:val="003829FC"/>
    <w:rsid w:val="00396D1E"/>
    <w:rsid w:val="003A2583"/>
    <w:rsid w:val="003A2A42"/>
    <w:rsid w:val="00435BB7"/>
    <w:rsid w:val="004611D2"/>
    <w:rsid w:val="004819CE"/>
    <w:rsid w:val="004878C4"/>
    <w:rsid w:val="004F7744"/>
    <w:rsid w:val="005453D3"/>
    <w:rsid w:val="00564F44"/>
    <w:rsid w:val="00577E73"/>
    <w:rsid w:val="005B2181"/>
    <w:rsid w:val="005E7259"/>
    <w:rsid w:val="0062269E"/>
    <w:rsid w:val="00625FA3"/>
    <w:rsid w:val="0065213A"/>
    <w:rsid w:val="00673389"/>
    <w:rsid w:val="006C25E2"/>
    <w:rsid w:val="006C71C1"/>
    <w:rsid w:val="006D6753"/>
    <w:rsid w:val="007A1B4A"/>
    <w:rsid w:val="007E40F4"/>
    <w:rsid w:val="008162E5"/>
    <w:rsid w:val="00876D55"/>
    <w:rsid w:val="008B7517"/>
    <w:rsid w:val="008D0FF4"/>
    <w:rsid w:val="008D44CC"/>
    <w:rsid w:val="00923EF4"/>
    <w:rsid w:val="00986476"/>
    <w:rsid w:val="0099355D"/>
    <w:rsid w:val="009C3F58"/>
    <w:rsid w:val="00A0745A"/>
    <w:rsid w:val="00A14C38"/>
    <w:rsid w:val="00A20996"/>
    <w:rsid w:val="00A451BF"/>
    <w:rsid w:val="00A62819"/>
    <w:rsid w:val="00A86AA7"/>
    <w:rsid w:val="00B33BA9"/>
    <w:rsid w:val="00B97C1C"/>
    <w:rsid w:val="00B97DCE"/>
    <w:rsid w:val="00BF3F15"/>
    <w:rsid w:val="00C46FA7"/>
    <w:rsid w:val="00CC5F0A"/>
    <w:rsid w:val="00CD55C2"/>
    <w:rsid w:val="00CF3BED"/>
    <w:rsid w:val="00D051EB"/>
    <w:rsid w:val="00D2680C"/>
    <w:rsid w:val="00DA4BCC"/>
    <w:rsid w:val="00DF0DAE"/>
    <w:rsid w:val="00E074AB"/>
    <w:rsid w:val="00E33E6F"/>
    <w:rsid w:val="00E4276A"/>
    <w:rsid w:val="00E53AC8"/>
    <w:rsid w:val="00E608B3"/>
    <w:rsid w:val="00E6601D"/>
    <w:rsid w:val="00E8324A"/>
    <w:rsid w:val="00EB3E42"/>
    <w:rsid w:val="00EB5369"/>
    <w:rsid w:val="00EC72DD"/>
    <w:rsid w:val="00ED3C4D"/>
    <w:rsid w:val="00EE7668"/>
    <w:rsid w:val="00EF0D9C"/>
    <w:rsid w:val="00F55125"/>
    <w:rsid w:val="00F8324D"/>
    <w:rsid w:val="00FA212A"/>
    <w:rsid w:val="00FB0F6A"/>
    <w:rsid w:val="00FB1307"/>
    <w:rsid w:val="00FB2657"/>
    <w:rsid w:val="00FC30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03312C7"/>
  <w15:chartTrackingRefBased/>
  <w15:docId w15:val="{C0385675-A19E-DD42-88CC-AC5C7D4EA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33E6F"/>
    <w:pPr>
      <w:spacing w:line="276" w:lineRule="auto"/>
    </w:pPr>
    <w:rPr>
      <w:rFonts w:ascii="Arial" w:eastAsia="Arial" w:hAnsi="Arial" w:cs="Arial"/>
      <w:sz w:val="22"/>
      <w:szCs w:val="22"/>
      <w:lang w:val="en"/>
    </w:rPr>
  </w:style>
  <w:style w:type="paragraph" w:styleId="Heading2">
    <w:name w:val="heading 2"/>
    <w:basedOn w:val="Normal"/>
    <w:next w:val="Normal"/>
    <w:link w:val="Heading2Char"/>
    <w:uiPriority w:val="9"/>
    <w:unhideWhenUsed/>
    <w:qFormat/>
    <w:rsid w:val="00E33E6F"/>
    <w:pPr>
      <w:keepNext/>
      <w:keepLines/>
      <w:spacing w:before="180" w:after="180"/>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33E6F"/>
    <w:rPr>
      <w:rFonts w:ascii="Arial" w:eastAsia="Arial" w:hAnsi="Arial" w:cs="Arial"/>
      <w:b/>
      <w:sz w:val="22"/>
      <w:szCs w:val="22"/>
      <w:lang w:val="en"/>
    </w:rPr>
  </w:style>
  <w:style w:type="character" w:styleId="LineNumber">
    <w:name w:val="line number"/>
    <w:basedOn w:val="DefaultParagraphFont"/>
    <w:uiPriority w:val="99"/>
    <w:semiHidden/>
    <w:unhideWhenUsed/>
    <w:rsid w:val="00E33E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520</Words>
  <Characters>2970</Characters>
  <Application>Microsoft Office Word</Application>
  <DocSecurity>0</DocSecurity>
  <Lines>24</Lines>
  <Paragraphs>6</Paragraphs>
  <ScaleCrop>false</ScaleCrop>
  <Company/>
  <LinksUpToDate>false</LinksUpToDate>
  <CharactersWithSpaces>3484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Sasaki, Matthew</dc:creator>
  <cp:keywords/>
  <dc:description/>
  <cp:lastModifiedBy>Sasaki, Matthew</cp:lastModifiedBy>
  <cp:revision>3</cp:revision>
  <dcterms:created xsi:type="dcterms:W3CDTF">2021-10-06T20:28:00Z</dcterms:created>
  <dcterms:modified xsi:type="dcterms:W3CDTF">2021-10-17T20:24:00Z</dcterms:modified>
</cp:coreProperties>
</file>